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t>UK CAR</w:t>
      </w:r>
      <w:r w:rsidRPr="00D62A9D">
        <w:rPr>
          <w:rFonts w:ascii="Arial" w:eastAsiaTheme="minorEastAsia" w:hAnsi="Arial" w:cs="Arial"/>
          <w:bCs/>
          <w:color w:val="1074CB"/>
          <w:sz w:val="44"/>
          <w:szCs w:val="44"/>
        </w:rPr>
        <w:t xml:space="preserve"> MANUFACTURING</w:t>
      </w:r>
    </w:p>
    <w:p w:rsidR="00E75134" w:rsidRPr="00D62A9D" w:rsidRDefault="000C7D2F" w:rsidP="00E75134">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16 May</w:t>
      </w:r>
      <w:r w:rsidR="006402BB">
        <w:rPr>
          <w:rFonts w:ascii="Arial" w:eastAsiaTheme="minorEastAsia" w:hAnsi="Arial" w:cs="Arial"/>
          <w:b w:val="0"/>
          <w:bCs/>
          <w:color w:val="1074CB"/>
          <w:sz w:val="44"/>
          <w:szCs w:val="44"/>
        </w:rPr>
        <w:t xml:space="preserve"> </w:t>
      </w:r>
      <w:r w:rsidR="00E75134" w:rsidRPr="00D62A9D">
        <w:rPr>
          <w:rFonts w:ascii="Arial" w:eastAsiaTheme="minorEastAsia" w:hAnsi="Arial" w:cs="Arial"/>
          <w:b w:val="0"/>
          <w:bCs/>
          <w:color w:val="1074CB"/>
          <w:sz w:val="44"/>
          <w:szCs w:val="44"/>
        </w:rPr>
        <w:t xml:space="preserve">2013 </w:t>
      </w:r>
      <w:r w:rsidR="00E75134"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 xml:space="preserve">April </w:t>
      </w:r>
      <w:r w:rsidR="00E75134" w:rsidRPr="00D62A9D">
        <w:rPr>
          <w:rFonts w:ascii="Arial" w:eastAsiaTheme="minorEastAsia" w:hAnsi="Arial" w:cs="Arial"/>
          <w:b w:val="0"/>
          <w:bCs/>
          <w:color w:val="1074CB"/>
          <w:sz w:val="32"/>
          <w:szCs w:val="32"/>
        </w:rPr>
        <w:t>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EA17B0" w:rsidRDefault="00415FBF" w:rsidP="00EA17B0">
      <w:pPr>
        <w:tabs>
          <w:tab w:val="left" w:pos="889"/>
        </w:tabs>
        <w:rPr>
          <w:rFonts w:ascii="Arial" w:hAnsi="Arial" w:cs="Arial"/>
          <w:sz w:val="20"/>
        </w:rPr>
      </w:pPr>
      <w:r w:rsidRPr="00415FBF">
        <w:rPr>
          <w:rFonts w:ascii="Arial" w:eastAsiaTheme="minorEastAsia" w:hAnsi="Arial" w:cs="Arial"/>
          <w:b/>
          <w:bCs/>
          <w:noProof/>
          <w:color w:val="1074CB"/>
          <w:sz w:val="20"/>
        </w:rPr>
        <w:pict>
          <v:line id="_x0000_s1028" style="position:absolute;z-index:251658752" from=".55pt,.6pt" to="464.4pt,.6pt" strokecolor="#1074cb"/>
        </w:pict>
      </w:r>
      <w:r w:rsidR="00EA17B0" w:rsidRPr="00EA17B0">
        <w:rPr>
          <w:rFonts w:ascii="Arial" w:hAnsi="Arial" w:cs="Arial"/>
          <w:sz w:val="20"/>
        </w:rPr>
        <w:tab/>
      </w:r>
    </w:p>
    <w:p w:rsidR="00E75134" w:rsidRPr="00D62A9D" w:rsidRDefault="00A76181" w:rsidP="00EA17B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Car output </w:t>
      </w:r>
      <w:r w:rsidR="00F138D6">
        <w:rPr>
          <w:rFonts w:ascii="Arial" w:eastAsiaTheme="minorEastAsia" w:hAnsi="Arial" w:cs="Arial"/>
          <w:bCs/>
          <w:color w:val="1074CB"/>
          <w:sz w:val="36"/>
          <w:szCs w:val="36"/>
        </w:rPr>
        <w:t>rebounds</w:t>
      </w:r>
      <w:r w:rsidR="00A07284">
        <w:rPr>
          <w:rFonts w:ascii="Arial" w:eastAsiaTheme="minorEastAsia" w:hAnsi="Arial" w:cs="Arial"/>
          <w:bCs/>
          <w:color w:val="1074CB"/>
          <w:sz w:val="36"/>
          <w:szCs w:val="36"/>
        </w:rPr>
        <w:t xml:space="preserve"> in April to lift year-to-date </w:t>
      </w:r>
      <w:r w:rsidR="00E93AC6">
        <w:rPr>
          <w:rFonts w:ascii="Arial" w:eastAsiaTheme="minorEastAsia" w:hAnsi="Arial" w:cs="Arial"/>
          <w:bCs/>
          <w:color w:val="1074CB"/>
          <w:sz w:val="36"/>
          <w:szCs w:val="36"/>
        </w:rPr>
        <w:t>total</w:t>
      </w:r>
    </w:p>
    <w:p w:rsidR="00E75134" w:rsidRDefault="00E75134" w:rsidP="00EA17B0">
      <w:pPr>
        <w:rPr>
          <w:rFonts w:ascii="Arial" w:hAnsi="Arial" w:cs="Arial"/>
          <w:sz w:val="20"/>
        </w:rPr>
      </w:pPr>
    </w:p>
    <w:p w:rsidR="00A76181" w:rsidRDefault="00E75134" w:rsidP="00F33706">
      <w:pPr>
        <w:pStyle w:val="ListParagraph"/>
        <w:numPr>
          <w:ilvl w:val="0"/>
          <w:numId w:val="1"/>
        </w:numPr>
        <w:spacing w:line="276" w:lineRule="auto"/>
        <w:rPr>
          <w:rFonts w:ascii="Arial" w:hAnsi="Arial" w:cs="Arial"/>
          <w:sz w:val="20"/>
        </w:rPr>
      </w:pPr>
      <w:r w:rsidRPr="00DE09BC">
        <w:rPr>
          <w:rFonts w:ascii="Arial" w:hAnsi="Arial" w:cs="Arial"/>
          <w:sz w:val="20"/>
        </w:rPr>
        <w:t xml:space="preserve">Car manufacturing </w:t>
      </w:r>
      <w:r w:rsidR="00F138D6">
        <w:rPr>
          <w:rFonts w:ascii="Arial" w:hAnsi="Arial" w:cs="Arial"/>
          <w:sz w:val="20"/>
        </w:rPr>
        <w:t xml:space="preserve">rose </w:t>
      </w:r>
      <w:r w:rsidR="005B2080">
        <w:rPr>
          <w:rFonts w:ascii="Arial" w:hAnsi="Arial" w:cs="Arial"/>
          <w:sz w:val="20"/>
        </w:rPr>
        <w:t xml:space="preserve">16.6% </w:t>
      </w:r>
      <w:r w:rsidR="00A76181">
        <w:rPr>
          <w:rFonts w:ascii="Arial" w:hAnsi="Arial" w:cs="Arial"/>
          <w:sz w:val="20"/>
        </w:rPr>
        <w:t>to 1</w:t>
      </w:r>
      <w:r w:rsidR="001C18F3">
        <w:rPr>
          <w:rFonts w:ascii="Arial" w:hAnsi="Arial" w:cs="Arial"/>
          <w:sz w:val="20"/>
        </w:rPr>
        <w:t>10,033</w:t>
      </w:r>
      <w:r w:rsidR="00A76181">
        <w:rPr>
          <w:rFonts w:ascii="Arial" w:hAnsi="Arial" w:cs="Arial"/>
          <w:sz w:val="20"/>
        </w:rPr>
        <w:t xml:space="preserve"> units</w:t>
      </w:r>
      <w:r w:rsidR="001C18F3">
        <w:rPr>
          <w:rFonts w:ascii="Arial" w:hAnsi="Arial" w:cs="Arial"/>
          <w:sz w:val="20"/>
        </w:rPr>
        <w:t xml:space="preserve"> in April</w:t>
      </w:r>
      <w:r w:rsidR="00A76181">
        <w:rPr>
          <w:rFonts w:ascii="Arial" w:hAnsi="Arial" w:cs="Arial"/>
          <w:sz w:val="20"/>
        </w:rPr>
        <w:t>.</w:t>
      </w:r>
    </w:p>
    <w:p w:rsidR="00E75134" w:rsidRPr="00A76181" w:rsidRDefault="00550EAD" w:rsidP="00F33706">
      <w:pPr>
        <w:pStyle w:val="ListParagraph"/>
        <w:numPr>
          <w:ilvl w:val="0"/>
          <w:numId w:val="1"/>
        </w:numPr>
        <w:spacing w:line="276" w:lineRule="auto"/>
        <w:rPr>
          <w:rFonts w:ascii="Arial" w:hAnsi="Arial" w:cs="Arial"/>
          <w:sz w:val="20"/>
        </w:rPr>
      </w:pPr>
      <w:r>
        <w:rPr>
          <w:rFonts w:ascii="Arial" w:hAnsi="Arial" w:cs="Arial"/>
          <w:sz w:val="20"/>
        </w:rPr>
        <w:t>After a subdued Q1</w:t>
      </w:r>
      <w:r w:rsidR="001C18F3">
        <w:rPr>
          <w:rFonts w:ascii="Arial" w:hAnsi="Arial" w:cs="Arial"/>
          <w:sz w:val="20"/>
        </w:rPr>
        <w:t>, o</w:t>
      </w:r>
      <w:r w:rsidR="00A76181" w:rsidRPr="00A76181">
        <w:rPr>
          <w:rFonts w:ascii="Arial" w:hAnsi="Arial" w:cs="Arial"/>
          <w:sz w:val="20"/>
        </w:rPr>
        <w:t>utput</w:t>
      </w:r>
      <w:r w:rsidR="00F138D6">
        <w:rPr>
          <w:rFonts w:ascii="Arial" w:hAnsi="Arial" w:cs="Arial"/>
          <w:sz w:val="20"/>
        </w:rPr>
        <w:t xml:space="preserve"> so far this year increased </w:t>
      </w:r>
      <w:r w:rsidR="005E7032">
        <w:rPr>
          <w:rFonts w:ascii="Arial" w:hAnsi="Arial" w:cs="Arial"/>
          <w:sz w:val="20"/>
        </w:rPr>
        <w:t>1.5% to 503,449</w:t>
      </w:r>
      <w:r w:rsidR="001C18F3">
        <w:rPr>
          <w:rFonts w:ascii="Arial" w:hAnsi="Arial" w:cs="Arial"/>
          <w:sz w:val="20"/>
        </w:rPr>
        <w:t xml:space="preserve"> units</w:t>
      </w:r>
      <w:r w:rsidR="00E75134" w:rsidRPr="00A76181">
        <w:rPr>
          <w:rFonts w:ascii="Arial" w:hAnsi="Arial" w:cs="Arial"/>
          <w:sz w:val="20"/>
        </w:rPr>
        <w:t>.</w:t>
      </w:r>
    </w:p>
    <w:p w:rsidR="00E75134" w:rsidRDefault="001C18F3" w:rsidP="00F33706">
      <w:pPr>
        <w:pStyle w:val="ListParagraph"/>
        <w:numPr>
          <w:ilvl w:val="0"/>
          <w:numId w:val="1"/>
        </w:numPr>
        <w:spacing w:line="276" w:lineRule="auto"/>
        <w:rPr>
          <w:rFonts w:ascii="Arial" w:hAnsi="Arial" w:cs="Arial"/>
          <w:sz w:val="20"/>
        </w:rPr>
      </w:pPr>
      <w:r>
        <w:rPr>
          <w:rFonts w:ascii="Arial" w:hAnsi="Arial" w:cs="Arial"/>
          <w:sz w:val="20"/>
        </w:rPr>
        <w:t xml:space="preserve">Growth reflects </w:t>
      </w:r>
      <w:r w:rsidR="00F138D6">
        <w:rPr>
          <w:rFonts w:ascii="Arial" w:hAnsi="Arial" w:cs="Arial"/>
          <w:sz w:val="20"/>
        </w:rPr>
        <w:t>demand in the</w:t>
      </w:r>
      <w:r w:rsidR="00300A48">
        <w:rPr>
          <w:rFonts w:ascii="Arial" w:hAnsi="Arial" w:cs="Arial"/>
          <w:sz w:val="20"/>
        </w:rPr>
        <w:t xml:space="preserve"> home market, up 66.1% in April and in economies outside of Europe</w:t>
      </w:r>
      <w:r w:rsidR="00F138D6">
        <w:rPr>
          <w:rFonts w:ascii="Arial" w:hAnsi="Arial" w:cs="Arial"/>
          <w:sz w:val="20"/>
        </w:rPr>
        <w:t>. W</w:t>
      </w:r>
      <w:r>
        <w:rPr>
          <w:rFonts w:ascii="Arial" w:hAnsi="Arial" w:cs="Arial"/>
          <w:sz w:val="20"/>
        </w:rPr>
        <w:t>eak E</w:t>
      </w:r>
      <w:r w:rsidR="006402BB">
        <w:rPr>
          <w:rFonts w:ascii="Arial" w:hAnsi="Arial" w:cs="Arial"/>
          <w:sz w:val="20"/>
        </w:rPr>
        <w:t>uropean demand</w:t>
      </w:r>
      <w:r w:rsidR="00F138D6">
        <w:rPr>
          <w:rFonts w:ascii="Arial" w:hAnsi="Arial" w:cs="Arial"/>
          <w:sz w:val="20"/>
        </w:rPr>
        <w:t xml:space="preserve"> </w:t>
      </w:r>
      <w:r w:rsidR="00300A48">
        <w:rPr>
          <w:rFonts w:ascii="Arial" w:hAnsi="Arial" w:cs="Arial"/>
          <w:sz w:val="20"/>
        </w:rPr>
        <w:t xml:space="preserve">remains a </w:t>
      </w:r>
      <w:r>
        <w:rPr>
          <w:rFonts w:ascii="Arial" w:hAnsi="Arial" w:cs="Arial"/>
          <w:sz w:val="20"/>
        </w:rPr>
        <w:t>concern.</w:t>
      </w:r>
    </w:p>
    <w:p w:rsidR="00300A48" w:rsidRPr="00300A48" w:rsidRDefault="00300A48" w:rsidP="00F33706">
      <w:pPr>
        <w:pStyle w:val="ListParagraph"/>
        <w:numPr>
          <w:ilvl w:val="0"/>
          <w:numId w:val="1"/>
        </w:numPr>
        <w:spacing w:line="276" w:lineRule="auto"/>
        <w:rPr>
          <w:rFonts w:ascii="Arial" w:hAnsi="Arial" w:cs="Arial"/>
          <w:sz w:val="20"/>
        </w:rPr>
      </w:pPr>
      <w:r>
        <w:rPr>
          <w:rFonts w:ascii="Arial" w:hAnsi="Arial" w:cs="Arial"/>
          <w:sz w:val="20"/>
        </w:rPr>
        <w:t>Independent analysts suggest that UK car manufacturing could grow a third bigger by 2016 with growth expected year-on-year.</w:t>
      </w:r>
    </w:p>
    <w:p w:rsidR="00300A48" w:rsidRPr="00E425AC" w:rsidRDefault="00300A48" w:rsidP="00E425AC">
      <w:pPr>
        <w:pStyle w:val="ListParagraph"/>
        <w:spacing w:line="276" w:lineRule="auto"/>
        <w:rPr>
          <w:rFonts w:ascii="Arial" w:hAnsi="Arial" w:cs="Arial"/>
          <w:sz w:val="20"/>
        </w:rPr>
      </w:pPr>
    </w:p>
    <w:p w:rsidR="00E425AC" w:rsidRPr="00E425AC" w:rsidRDefault="00E425AC" w:rsidP="00E425AC">
      <w:pPr>
        <w:spacing w:line="276" w:lineRule="auto"/>
        <w:rPr>
          <w:rFonts w:ascii="Arial" w:eastAsiaTheme="minorHAnsi" w:hAnsi="Arial" w:cs="Arial"/>
          <w:sz w:val="20"/>
        </w:rPr>
      </w:pPr>
      <w:r w:rsidRPr="00E425AC">
        <w:rPr>
          <w:rFonts w:ascii="Arial" w:hAnsi="Arial" w:cs="Arial"/>
          <w:sz w:val="20"/>
        </w:rPr>
        <w:t>"UK car production bounced back in April, up almost 17%, following a sluggish Q1 that was impacted by an early Easter and continuing uncertainty across Europe," said Mike Baunton, SMMT Interim Chief Executive. "Significant growth in output for the home market reflects trends in new car buying in the UK, and the focus on growing in new markets, beyond Europe, has provided further buoyancy to volumes. While demand in Europe overall is very weak, the global appeal of our products</w:t>
      </w:r>
      <w:r w:rsidR="00626E86">
        <w:rPr>
          <w:rFonts w:ascii="Arial" w:hAnsi="Arial" w:cs="Arial"/>
          <w:sz w:val="20"/>
        </w:rPr>
        <w:t>,</w:t>
      </w:r>
      <w:r w:rsidRPr="00E425AC">
        <w:rPr>
          <w:rFonts w:ascii="Arial" w:hAnsi="Arial" w:cs="Arial"/>
          <w:sz w:val="20"/>
        </w:rPr>
        <w:t xml:space="preserve"> coupled with long-term investment s</w:t>
      </w:r>
      <w:r w:rsidR="0037147F">
        <w:rPr>
          <w:rFonts w:ascii="Arial" w:hAnsi="Arial" w:cs="Arial"/>
          <w:sz w:val="20"/>
        </w:rPr>
        <w:t>trategies</w:t>
      </w:r>
      <w:r w:rsidR="00626E86">
        <w:rPr>
          <w:rFonts w:ascii="Arial" w:hAnsi="Arial" w:cs="Arial"/>
          <w:sz w:val="20"/>
        </w:rPr>
        <w:t>,</w:t>
      </w:r>
      <w:r w:rsidR="0037147F">
        <w:rPr>
          <w:rFonts w:ascii="Arial" w:hAnsi="Arial" w:cs="Arial"/>
          <w:sz w:val="20"/>
        </w:rPr>
        <w:t xml:space="preserve"> position the UK on a </w:t>
      </w:r>
      <w:r w:rsidRPr="00E425AC">
        <w:rPr>
          <w:rFonts w:ascii="Arial" w:hAnsi="Arial" w:cs="Arial"/>
          <w:sz w:val="20"/>
        </w:rPr>
        <w:t>secure path to achieve further growth and jobs in the sector."</w:t>
      </w:r>
    </w:p>
    <w:p w:rsidR="00506E24" w:rsidRPr="00506E24" w:rsidRDefault="00506E24" w:rsidP="00EA17B0">
      <w:pPr>
        <w:spacing w:line="360" w:lineRule="auto"/>
        <w:rPr>
          <w:rFonts w:ascii="Arial" w:hAnsi="Arial" w:cs="Arial"/>
          <w:sz w:val="16"/>
          <w:szCs w:val="16"/>
        </w:rPr>
      </w:pPr>
    </w:p>
    <w:tbl>
      <w:tblPr>
        <w:tblW w:w="9511" w:type="dxa"/>
        <w:tblInd w:w="95" w:type="dxa"/>
        <w:tblLayout w:type="fixed"/>
        <w:tblLook w:val="04A0"/>
      </w:tblPr>
      <w:tblGrid>
        <w:gridCol w:w="2140"/>
        <w:gridCol w:w="1228"/>
        <w:gridCol w:w="1229"/>
        <w:gridCol w:w="1228"/>
        <w:gridCol w:w="1229"/>
        <w:gridCol w:w="1228"/>
        <w:gridCol w:w="1229"/>
      </w:tblGrid>
      <w:tr w:rsidR="00E6267F" w:rsidRPr="00A76181" w:rsidTr="00506E24">
        <w:trPr>
          <w:trHeight w:val="270"/>
        </w:trPr>
        <w:tc>
          <w:tcPr>
            <w:tcW w:w="2140" w:type="dxa"/>
            <w:tcBorders>
              <w:top w:val="single" w:sz="8" w:space="0" w:color="548DD4"/>
              <w:left w:val="single" w:sz="8" w:space="0" w:color="548DD4"/>
              <w:bottom w:val="single" w:sz="8" w:space="0" w:color="548DD4"/>
              <w:right w:val="single" w:sz="8" w:space="0" w:color="548DD4"/>
            </w:tcBorders>
            <w:shd w:val="clear" w:color="auto" w:fill="auto"/>
            <w:noWrap/>
            <w:hideMark/>
          </w:tcPr>
          <w:p w:rsidR="00E6267F" w:rsidRPr="00A76181" w:rsidRDefault="00E6267F" w:rsidP="00A76181">
            <w:pPr>
              <w:rPr>
                <w:rFonts w:ascii="Arial" w:eastAsia="Times New Roman" w:hAnsi="Arial" w:cs="Arial"/>
                <w:b/>
                <w:bCs/>
                <w:color w:val="1074CB"/>
                <w:sz w:val="20"/>
              </w:rPr>
            </w:pPr>
            <w:r w:rsidRPr="00A76181">
              <w:rPr>
                <w:rFonts w:ascii="Arial" w:eastAsia="Times New Roman" w:hAnsi="Arial" w:cs="Arial"/>
                <w:b/>
                <w:bCs/>
                <w:color w:val="1074CB"/>
                <w:sz w:val="20"/>
              </w:rPr>
              <w:t>Car manufacturing</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Apr-12</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Apr-13</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 xml:space="preserve">% Change </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YTD-12</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YTD-13</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 Change</w:t>
            </w:r>
          </w:p>
        </w:tc>
      </w:tr>
      <w:tr w:rsidR="00E6267F"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E6267F" w:rsidRPr="00A76181" w:rsidRDefault="00E6267F" w:rsidP="00A76181">
            <w:pPr>
              <w:jc w:val="right"/>
              <w:rPr>
                <w:rFonts w:ascii="Arial" w:eastAsia="Times New Roman" w:hAnsi="Arial" w:cs="Arial"/>
                <w:color w:val="1074CB"/>
                <w:sz w:val="20"/>
              </w:rPr>
            </w:pPr>
            <w:r w:rsidRPr="00A76181">
              <w:rPr>
                <w:rFonts w:ascii="Arial" w:eastAsia="Times New Roman" w:hAnsi="Arial" w:cs="Arial"/>
                <w:bCs/>
                <w:color w:val="1074CB"/>
                <w:sz w:val="20"/>
              </w:rPr>
              <w:t>Total</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94,352</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110,033</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16.6%</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495,777</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503,449</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1.5%</w:t>
            </w:r>
          </w:p>
        </w:tc>
      </w:tr>
      <w:tr w:rsidR="00E6267F"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E6267F" w:rsidRPr="00A76181" w:rsidRDefault="00E6267F" w:rsidP="00A76181">
            <w:pPr>
              <w:jc w:val="right"/>
              <w:rPr>
                <w:rFonts w:ascii="Arial" w:eastAsia="Times New Roman" w:hAnsi="Arial" w:cs="Arial"/>
                <w:color w:val="1074CB"/>
                <w:sz w:val="20"/>
              </w:rPr>
            </w:pPr>
            <w:r w:rsidRPr="00A76181">
              <w:rPr>
                <w:rFonts w:ascii="Arial" w:eastAsia="Times New Roman" w:hAnsi="Arial" w:cs="Arial"/>
                <w:bCs/>
                <w:color w:val="1074CB"/>
                <w:sz w:val="20"/>
              </w:rPr>
              <w:t>Home</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13,416</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22,278</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66.1%</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87,693</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112,531</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28.3%</w:t>
            </w:r>
          </w:p>
        </w:tc>
      </w:tr>
      <w:tr w:rsidR="00E6267F"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E6267F" w:rsidRPr="00A76181" w:rsidRDefault="00E6267F" w:rsidP="00A76181">
            <w:pPr>
              <w:jc w:val="right"/>
              <w:rPr>
                <w:rFonts w:ascii="Arial" w:eastAsia="Times New Roman" w:hAnsi="Arial" w:cs="Arial"/>
                <w:color w:val="1074CB"/>
                <w:sz w:val="20"/>
              </w:rPr>
            </w:pPr>
            <w:r w:rsidRPr="00A76181">
              <w:rPr>
                <w:rFonts w:ascii="Arial" w:eastAsia="Times New Roman" w:hAnsi="Arial" w:cs="Arial"/>
                <w:bCs/>
                <w:color w:val="1074CB"/>
                <w:sz w:val="20"/>
              </w:rPr>
              <w:t>Export</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80,936</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87,755</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8.4%</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408,084</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390,918</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-4.2%</w:t>
            </w:r>
          </w:p>
        </w:tc>
      </w:tr>
      <w:tr w:rsidR="00E6267F"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E6267F" w:rsidRPr="00A76181" w:rsidRDefault="00E6267F" w:rsidP="00A76181">
            <w:pPr>
              <w:jc w:val="right"/>
              <w:rPr>
                <w:rFonts w:ascii="Arial" w:eastAsia="Times New Roman" w:hAnsi="Arial" w:cs="Arial"/>
                <w:color w:val="1074CB"/>
                <w:sz w:val="20"/>
              </w:rPr>
            </w:pPr>
            <w:r w:rsidRPr="00A76181">
              <w:rPr>
                <w:rFonts w:ascii="Arial" w:eastAsia="Times New Roman" w:hAnsi="Arial" w:cs="Arial"/>
                <w:bCs/>
                <w:color w:val="1074CB"/>
                <w:sz w:val="20"/>
              </w:rPr>
              <w:t>% export</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85.8%</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79.8%</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 </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82.3%</w:t>
            </w:r>
          </w:p>
        </w:tc>
        <w:tc>
          <w:tcPr>
            <w:tcW w:w="1228"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77.6%</w:t>
            </w:r>
          </w:p>
        </w:tc>
        <w:tc>
          <w:tcPr>
            <w:tcW w:w="1229"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 </w:t>
            </w:r>
          </w:p>
        </w:tc>
      </w:tr>
    </w:tbl>
    <w:p w:rsidR="00A76181" w:rsidRDefault="00A76181" w:rsidP="007B7D91">
      <w:pPr>
        <w:keepNext/>
        <w:spacing w:line="276" w:lineRule="auto"/>
        <w:rPr>
          <w:rFonts w:ascii="Arial" w:hAnsi="Arial" w:cs="Arial"/>
          <w:b/>
          <w:color w:val="0D2255"/>
          <w:sz w:val="20"/>
        </w:rPr>
      </w:pPr>
    </w:p>
    <w:p w:rsidR="007B7D91" w:rsidRDefault="007B7D91" w:rsidP="007B7D91">
      <w:pPr>
        <w:keepNext/>
        <w:spacing w:line="276" w:lineRule="auto"/>
        <w:rPr>
          <w:rFonts w:ascii="Arial" w:hAnsi="Arial" w:cs="Arial"/>
          <w:b/>
          <w:color w:val="0D2255"/>
          <w:sz w:val="20"/>
        </w:rPr>
      </w:pPr>
      <w:r w:rsidRPr="00D62A9D">
        <w:rPr>
          <w:rFonts w:ascii="Arial" w:hAnsi="Arial" w:cs="Arial"/>
          <w:b/>
          <w:color w:val="0D2255"/>
          <w:sz w:val="20"/>
        </w:rPr>
        <w:t>Car output rolling year total</w:t>
      </w:r>
    </w:p>
    <w:p w:rsidR="007B7D91" w:rsidRPr="00D62A9D" w:rsidRDefault="00E6267F" w:rsidP="007B7D91">
      <w:pPr>
        <w:keepNext/>
        <w:spacing w:line="276" w:lineRule="auto"/>
        <w:rPr>
          <w:rFonts w:ascii="Arial" w:hAnsi="Arial" w:cs="Arial"/>
        </w:rPr>
        <w:sectPr w:rsidR="007B7D91" w:rsidRPr="00D62A9D" w:rsidSect="00446AC5">
          <w:headerReference w:type="default" r:id="rId7"/>
          <w:footerReference w:type="default" r:id="rId8"/>
          <w:pgSz w:w="11906" w:h="16838" w:code="9"/>
          <w:pgMar w:top="709" w:right="1077" w:bottom="1134" w:left="1077" w:header="0" w:footer="397" w:gutter="0"/>
          <w:cols w:space="720"/>
          <w:docGrid w:linePitch="360"/>
        </w:sectPr>
      </w:pPr>
      <w:r w:rsidRPr="00E6267F">
        <w:rPr>
          <w:rFonts w:ascii="Arial" w:hAnsi="Arial" w:cs="Arial"/>
          <w:b/>
          <w:noProof/>
          <w:color w:val="0D2255"/>
          <w:sz w:val="20"/>
        </w:rPr>
        <w:drawing>
          <wp:inline distT="0" distB="0" distL="0" distR="0">
            <wp:extent cx="5542059" cy="2202511"/>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B7D91" w:rsidRPr="00D62A9D">
        <w:rPr>
          <w:rFonts w:ascii="Arial" w:hAnsi="Arial" w:cs="Arial"/>
          <w:b/>
          <w:color w:val="0D2255"/>
          <w:sz w:val="20"/>
        </w:rPr>
        <w:tab/>
      </w:r>
      <w:bookmarkStart w:id="0" w:name="_GoBack"/>
      <w:bookmarkEnd w:id="0"/>
      <w:r w:rsidR="007B7D91" w:rsidRPr="00D62A9D">
        <w:rPr>
          <w:rFonts w:ascii="Arial" w:hAnsi="Arial" w:cs="Arial"/>
          <w:b/>
          <w:color w:val="0D2255"/>
          <w:sz w:val="20"/>
        </w:rPr>
        <w:tab/>
        <w:t xml:space="preserve">                 </w:t>
      </w:r>
    </w:p>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COMMERCIAL VEHICLE</w:t>
      </w:r>
      <w:r w:rsidRPr="00D62A9D">
        <w:rPr>
          <w:rFonts w:ascii="Arial" w:eastAsiaTheme="minorEastAsia" w:hAnsi="Arial" w:cs="Arial"/>
          <w:bCs/>
          <w:color w:val="1074CB"/>
          <w:sz w:val="44"/>
          <w:szCs w:val="44"/>
        </w:rPr>
        <w:t xml:space="preserve"> MANUFACTURING</w:t>
      </w:r>
    </w:p>
    <w:p w:rsidR="009C2767" w:rsidRPr="00D62A9D" w:rsidRDefault="009C2767" w:rsidP="009C2767">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 xml:space="preserve">16 May </w:t>
      </w:r>
      <w:r w:rsidRPr="00D62A9D">
        <w:rPr>
          <w:rFonts w:ascii="Arial" w:eastAsiaTheme="minorEastAsia" w:hAnsi="Arial" w:cs="Arial"/>
          <w:b w:val="0"/>
          <w:bCs/>
          <w:color w:val="1074CB"/>
          <w:sz w:val="44"/>
          <w:szCs w:val="44"/>
        </w:rPr>
        <w:t xml:space="preserve">2013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 xml:space="preserve">April </w:t>
      </w:r>
      <w:r w:rsidRPr="00D62A9D">
        <w:rPr>
          <w:rFonts w:ascii="Arial" w:eastAsiaTheme="minorEastAsia" w:hAnsi="Arial" w:cs="Arial"/>
          <w:b w:val="0"/>
          <w:bCs/>
          <w:color w:val="1074CB"/>
          <w:sz w:val="32"/>
          <w:szCs w:val="32"/>
        </w:rPr>
        <w:t>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7B7D91" w:rsidRDefault="00415FBF" w:rsidP="00E75134">
      <w:r w:rsidRPr="00415FBF">
        <w:rPr>
          <w:rFonts w:ascii="Arial" w:eastAsiaTheme="minorEastAsia" w:hAnsi="Arial" w:cs="Arial"/>
          <w:b/>
          <w:bCs/>
          <w:noProof/>
          <w:color w:val="1074CB"/>
          <w:sz w:val="20"/>
        </w:rPr>
        <w:pict>
          <v:line id="_x0000_s1026" style="position:absolute;z-index:251656704" from=".55pt,3.7pt" to="487.1pt,3.7pt" strokecolor="#1074cb"/>
        </w:pict>
      </w:r>
    </w:p>
    <w:p w:rsidR="007B7D91" w:rsidRDefault="001C18F3" w:rsidP="00017AB7">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Rate of decline in </w:t>
      </w:r>
      <w:r w:rsidR="00506E24">
        <w:rPr>
          <w:rFonts w:ascii="Arial" w:eastAsiaTheme="minorEastAsia" w:hAnsi="Arial" w:cs="Arial"/>
          <w:bCs/>
          <w:color w:val="1074CB"/>
          <w:sz w:val="36"/>
          <w:szCs w:val="36"/>
        </w:rPr>
        <w:t xml:space="preserve">CV output </w:t>
      </w:r>
      <w:r w:rsidR="00A07284">
        <w:rPr>
          <w:rFonts w:ascii="Arial" w:eastAsiaTheme="minorEastAsia" w:hAnsi="Arial" w:cs="Arial"/>
          <w:bCs/>
          <w:color w:val="1074CB"/>
          <w:sz w:val="36"/>
          <w:szCs w:val="36"/>
        </w:rPr>
        <w:t xml:space="preserve">slows </w:t>
      </w:r>
      <w:r>
        <w:rPr>
          <w:rFonts w:ascii="Arial" w:eastAsiaTheme="minorEastAsia" w:hAnsi="Arial" w:cs="Arial"/>
          <w:bCs/>
          <w:color w:val="1074CB"/>
          <w:sz w:val="36"/>
          <w:szCs w:val="36"/>
        </w:rPr>
        <w:t>in April</w:t>
      </w:r>
      <w:r w:rsidR="003E262D">
        <w:rPr>
          <w:rFonts w:ascii="Arial" w:eastAsiaTheme="minorEastAsia" w:hAnsi="Arial" w:cs="Arial"/>
          <w:bCs/>
          <w:color w:val="1074CB"/>
          <w:sz w:val="36"/>
          <w:szCs w:val="36"/>
        </w:rPr>
        <w:t xml:space="preserve"> </w:t>
      </w:r>
    </w:p>
    <w:p w:rsidR="00017AB7" w:rsidRPr="00017AB7" w:rsidRDefault="00017AB7" w:rsidP="00017AB7"/>
    <w:p w:rsidR="00E75134" w:rsidRPr="00D72D2A" w:rsidRDefault="00E75134" w:rsidP="00E75134">
      <w:pPr>
        <w:numPr>
          <w:ilvl w:val="0"/>
          <w:numId w:val="2"/>
        </w:numPr>
        <w:spacing w:line="276" w:lineRule="auto"/>
        <w:rPr>
          <w:rFonts w:ascii="Arial" w:hAnsi="Arial" w:cs="Arial"/>
          <w:sz w:val="20"/>
        </w:rPr>
      </w:pPr>
      <w:r w:rsidRPr="00D62A9D">
        <w:rPr>
          <w:rFonts w:ascii="Arial" w:hAnsi="Arial" w:cs="Arial"/>
          <w:sz w:val="20"/>
        </w:rPr>
        <w:t>C</w:t>
      </w:r>
      <w:r>
        <w:rPr>
          <w:rFonts w:ascii="Arial" w:hAnsi="Arial" w:cs="Arial"/>
          <w:sz w:val="20"/>
        </w:rPr>
        <w:t>ommercial vehicle (CV)</w:t>
      </w:r>
      <w:r w:rsidRPr="00D62A9D">
        <w:rPr>
          <w:rFonts w:ascii="Arial" w:hAnsi="Arial" w:cs="Arial"/>
          <w:sz w:val="20"/>
        </w:rPr>
        <w:t xml:space="preserve"> output fell </w:t>
      </w:r>
      <w:r w:rsidR="001C18F3">
        <w:rPr>
          <w:rFonts w:ascii="Arial" w:hAnsi="Arial" w:cs="Arial"/>
          <w:sz w:val="20"/>
        </w:rPr>
        <w:t>3.3</w:t>
      </w:r>
      <w:r w:rsidRPr="00D62A9D">
        <w:rPr>
          <w:rFonts w:ascii="Arial" w:hAnsi="Arial" w:cs="Arial"/>
          <w:sz w:val="20"/>
        </w:rPr>
        <w:t xml:space="preserve">% in </w:t>
      </w:r>
      <w:r w:rsidR="001C18F3" w:rsidRPr="00D72D2A">
        <w:rPr>
          <w:rFonts w:ascii="Arial" w:hAnsi="Arial" w:cs="Arial"/>
          <w:sz w:val="20"/>
        </w:rPr>
        <w:t>April</w:t>
      </w:r>
      <w:r w:rsidR="0038282A" w:rsidRPr="00D72D2A">
        <w:rPr>
          <w:rFonts w:ascii="Arial" w:hAnsi="Arial" w:cs="Arial"/>
          <w:sz w:val="20"/>
        </w:rPr>
        <w:t xml:space="preserve"> to </w:t>
      </w:r>
      <w:r w:rsidR="001C18F3" w:rsidRPr="00D72D2A">
        <w:rPr>
          <w:rFonts w:ascii="Arial" w:hAnsi="Arial" w:cs="Arial"/>
          <w:sz w:val="20"/>
        </w:rPr>
        <w:t>8,</w:t>
      </w:r>
      <w:r w:rsidR="00D72D2A" w:rsidRPr="00D72D2A">
        <w:rPr>
          <w:rFonts w:ascii="Arial" w:hAnsi="Arial" w:cs="Arial"/>
          <w:sz w:val="20"/>
        </w:rPr>
        <w:t>623</w:t>
      </w:r>
      <w:r w:rsidR="00506E24" w:rsidRPr="00D72D2A">
        <w:rPr>
          <w:rFonts w:ascii="Arial" w:hAnsi="Arial" w:cs="Arial"/>
          <w:sz w:val="20"/>
        </w:rPr>
        <w:t xml:space="preserve"> </w:t>
      </w:r>
      <w:r w:rsidRPr="00D72D2A">
        <w:rPr>
          <w:rFonts w:ascii="Arial" w:hAnsi="Arial" w:cs="Arial"/>
          <w:sz w:val="20"/>
        </w:rPr>
        <w:t>units.</w:t>
      </w:r>
    </w:p>
    <w:p w:rsidR="00506E24" w:rsidRDefault="00A07284" w:rsidP="00E75134">
      <w:pPr>
        <w:pStyle w:val="ListParagraph"/>
        <w:numPr>
          <w:ilvl w:val="0"/>
          <w:numId w:val="2"/>
        </w:numPr>
        <w:spacing w:line="276" w:lineRule="auto"/>
        <w:rPr>
          <w:rFonts w:ascii="Arial" w:hAnsi="Arial" w:cs="Arial"/>
          <w:sz w:val="20"/>
        </w:rPr>
      </w:pPr>
      <w:r>
        <w:rPr>
          <w:rFonts w:ascii="Arial" w:hAnsi="Arial" w:cs="Arial"/>
          <w:sz w:val="20"/>
        </w:rPr>
        <w:t xml:space="preserve">While output continued to decline in April, </w:t>
      </w:r>
      <w:r w:rsidR="001C18F3">
        <w:rPr>
          <w:rFonts w:ascii="Arial" w:hAnsi="Arial" w:cs="Arial"/>
          <w:sz w:val="20"/>
        </w:rPr>
        <w:t>the fall was less pr</w:t>
      </w:r>
      <w:r>
        <w:rPr>
          <w:rFonts w:ascii="Arial" w:hAnsi="Arial" w:cs="Arial"/>
          <w:sz w:val="20"/>
        </w:rPr>
        <w:t xml:space="preserve">onounced and output for </w:t>
      </w:r>
      <w:r w:rsidR="00F140C7">
        <w:rPr>
          <w:rFonts w:ascii="Arial" w:hAnsi="Arial" w:cs="Arial"/>
          <w:sz w:val="20"/>
        </w:rPr>
        <w:t xml:space="preserve">the </w:t>
      </w:r>
      <w:r>
        <w:rPr>
          <w:rFonts w:ascii="Arial" w:hAnsi="Arial" w:cs="Arial"/>
          <w:sz w:val="20"/>
        </w:rPr>
        <w:t>home market grew</w:t>
      </w:r>
      <w:r w:rsidR="00506E24">
        <w:rPr>
          <w:rFonts w:ascii="Arial" w:hAnsi="Arial" w:cs="Arial"/>
          <w:sz w:val="20"/>
        </w:rPr>
        <w:t>.</w:t>
      </w:r>
    </w:p>
    <w:p w:rsidR="00E75134" w:rsidRPr="00506E24" w:rsidRDefault="001C18F3" w:rsidP="00E75134">
      <w:pPr>
        <w:pStyle w:val="ListParagraph"/>
        <w:numPr>
          <w:ilvl w:val="0"/>
          <w:numId w:val="2"/>
        </w:numPr>
        <w:spacing w:line="276" w:lineRule="auto"/>
        <w:rPr>
          <w:rFonts w:ascii="Arial" w:hAnsi="Arial" w:cs="Arial"/>
          <w:sz w:val="20"/>
        </w:rPr>
      </w:pPr>
      <w:r>
        <w:rPr>
          <w:rFonts w:ascii="Arial" w:hAnsi="Arial" w:cs="Arial"/>
          <w:sz w:val="20"/>
        </w:rPr>
        <w:t xml:space="preserve">CV output </w:t>
      </w:r>
      <w:r w:rsidR="00A07284">
        <w:rPr>
          <w:rFonts w:ascii="Arial" w:hAnsi="Arial" w:cs="Arial"/>
          <w:sz w:val="20"/>
        </w:rPr>
        <w:t>so far this year is down 15.2% and while some CV manufacturers are performing better than others,</w:t>
      </w:r>
      <w:r>
        <w:rPr>
          <w:rFonts w:ascii="Arial" w:hAnsi="Arial" w:cs="Arial"/>
          <w:sz w:val="20"/>
        </w:rPr>
        <w:t xml:space="preserve"> net volumes are expected to fall over the full year</w:t>
      </w:r>
      <w:r w:rsidR="00E75134" w:rsidRPr="00506E24">
        <w:rPr>
          <w:rFonts w:ascii="Arial" w:hAnsi="Arial" w:cs="Arial"/>
          <w:sz w:val="20"/>
        </w:rPr>
        <w:t>.</w:t>
      </w:r>
    </w:p>
    <w:p w:rsidR="00E75134" w:rsidRDefault="00E75134" w:rsidP="00E75134">
      <w:pPr>
        <w:spacing w:line="276" w:lineRule="auto"/>
        <w:rPr>
          <w:rFonts w:ascii="Arial" w:hAnsi="Arial" w:cs="Arial"/>
          <w:sz w:val="20"/>
        </w:rPr>
      </w:pPr>
    </w:p>
    <w:p w:rsidR="00E425AC" w:rsidRPr="00E425AC" w:rsidRDefault="00E425AC" w:rsidP="00E425AC">
      <w:pPr>
        <w:spacing w:line="276" w:lineRule="auto"/>
        <w:rPr>
          <w:rFonts w:ascii="Arial" w:hAnsi="Arial" w:cs="Arial"/>
          <w:sz w:val="20"/>
        </w:rPr>
      </w:pPr>
      <w:r w:rsidRPr="00E425AC">
        <w:rPr>
          <w:rFonts w:ascii="Arial" w:hAnsi="Arial" w:cs="Arial"/>
          <w:sz w:val="20"/>
        </w:rPr>
        <w:t>"Demand for UK-built commercial vehicles continued to fall in April, with output dropping 3.3%. There is growth at some UK plants which helped to ease the rate of decline compared to previous months this year," said Mike Baunton, SMMT Interim Chief Executive. "2013 is proving to be a difficult year for our CV manufacturers as they experience weak demand from export markets, particularly Europe. Rising output for the home market is encouraging, demonstrating that UK operators are keen to ex</w:t>
      </w:r>
      <w:r w:rsidR="00626E86">
        <w:rPr>
          <w:rFonts w:ascii="Arial" w:hAnsi="Arial" w:cs="Arial"/>
          <w:sz w:val="20"/>
        </w:rPr>
        <w:t>ploit the diverse variety of CV</w:t>
      </w:r>
      <w:r w:rsidRPr="00E425AC">
        <w:rPr>
          <w:rFonts w:ascii="Arial" w:hAnsi="Arial" w:cs="Arial"/>
          <w:sz w:val="20"/>
        </w:rPr>
        <w:t>s made in the UK from light vans to double-decker buses and large trucks." </w:t>
      </w:r>
    </w:p>
    <w:p w:rsidR="00506E24" w:rsidRPr="00506E24" w:rsidRDefault="00506E24" w:rsidP="00506E24">
      <w:pPr>
        <w:spacing w:line="360" w:lineRule="auto"/>
        <w:rPr>
          <w:rFonts w:ascii="Arial" w:hAnsi="Arial" w:cs="Arial"/>
          <w:sz w:val="16"/>
          <w:szCs w:val="16"/>
        </w:rPr>
      </w:pPr>
    </w:p>
    <w:tbl>
      <w:tblPr>
        <w:tblW w:w="9511" w:type="dxa"/>
        <w:tblInd w:w="95" w:type="dxa"/>
        <w:tblLayout w:type="fixed"/>
        <w:tblLook w:val="04A0"/>
      </w:tblPr>
      <w:tblGrid>
        <w:gridCol w:w="2140"/>
        <w:gridCol w:w="1228"/>
        <w:gridCol w:w="1229"/>
        <w:gridCol w:w="1228"/>
        <w:gridCol w:w="1229"/>
        <w:gridCol w:w="1228"/>
        <w:gridCol w:w="1229"/>
      </w:tblGrid>
      <w:tr w:rsidR="001C18F3" w:rsidRPr="00A76181" w:rsidTr="00506E24">
        <w:trPr>
          <w:trHeight w:val="270"/>
        </w:trPr>
        <w:tc>
          <w:tcPr>
            <w:tcW w:w="2140" w:type="dxa"/>
            <w:tcBorders>
              <w:top w:val="single" w:sz="8" w:space="0" w:color="548DD4"/>
              <w:left w:val="single" w:sz="8" w:space="0" w:color="548DD4"/>
              <w:bottom w:val="single" w:sz="8" w:space="0" w:color="548DD4"/>
              <w:right w:val="single" w:sz="8" w:space="0" w:color="548DD4"/>
            </w:tcBorders>
            <w:shd w:val="clear" w:color="auto" w:fill="auto"/>
            <w:noWrap/>
            <w:hideMark/>
          </w:tcPr>
          <w:p w:rsidR="001C18F3" w:rsidRDefault="001C18F3">
            <w:pPr>
              <w:rPr>
                <w:rFonts w:ascii="Arial" w:hAnsi="Arial" w:cs="Arial"/>
                <w:b/>
                <w:bCs/>
                <w:color w:val="1074CB"/>
                <w:sz w:val="20"/>
              </w:rPr>
            </w:pPr>
            <w:r>
              <w:rPr>
                <w:rFonts w:ascii="Arial" w:hAnsi="Arial" w:cs="Arial"/>
                <w:b/>
                <w:bCs/>
                <w:color w:val="1074CB"/>
                <w:sz w:val="20"/>
              </w:rPr>
              <w:t>CV manufacturing</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b/>
                <w:bCs/>
                <w:color w:val="0070C0"/>
                <w:sz w:val="20"/>
              </w:rPr>
            </w:pPr>
            <w:r>
              <w:rPr>
                <w:rFonts w:ascii="Arial" w:hAnsi="Arial" w:cs="Arial"/>
                <w:b/>
                <w:bCs/>
                <w:color w:val="0070C0"/>
                <w:sz w:val="20"/>
              </w:rPr>
              <w:t>Apr-12</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b/>
                <w:bCs/>
                <w:color w:val="0070C0"/>
                <w:sz w:val="20"/>
              </w:rPr>
            </w:pPr>
            <w:r>
              <w:rPr>
                <w:rFonts w:ascii="Arial" w:hAnsi="Arial" w:cs="Arial"/>
                <w:b/>
                <w:bCs/>
                <w:color w:val="0070C0"/>
                <w:sz w:val="20"/>
              </w:rPr>
              <w:t>Apr-13</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b/>
                <w:bCs/>
                <w:color w:val="0070C0"/>
                <w:sz w:val="20"/>
              </w:rPr>
            </w:pPr>
            <w:r>
              <w:rPr>
                <w:rFonts w:ascii="Arial" w:hAnsi="Arial" w:cs="Arial"/>
                <w:b/>
                <w:bCs/>
                <w:color w:val="0070C0"/>
                <w:sz w:val="20"/>
              </w:rPr>
              <w:t xml:space="preserve">% Change </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b/>
                <w:bCs/>
                <w:color w:val="0070C0"/>
                <w:sz w:val="20"/>
              </w:rPr>
            </w:pPr>
            <w:r>
              <w:rPr>
                <w:rFonts w:ascii="Arial" w:hAnsi="Arial" w:cs="Arial"/>
                <w:b/>
                <w:bCs/>
                <w:color w:val="0070C0"/>
                <w:sz w:val="20"/>
              </w:rPr>
              <w:t>YTD-12</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b/>
                <w:bCs/>
                <w:color w:val="0070C0"/>
                <w:sz w:val="20"/>
              </w:rPr>
            </w:pPr>
            <w:r>
              <w:rPr>
                <w:rFonts w:ascii="Arial" w:hAnsi="Arial" w:cs="Arial"/>
                <w:b/>
                <w:bCs/>
                <w:color w:val="0070C0"/>
                <w:sz w:val="20"/>
              </w:rPr>
              <w:t>YTD-13</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b/>
                <w:bCs/>
                <w:color w:val="0070C0"/>
                <w:sz w:val="20"/>
              </w:rPr>
            </w:pPr>
            <w:r>
              <w:rPr>
                <w:rFonts w:ascii="Arial" w:hAnsi="Arial" w:cs="Arial"/>
                <w:b/>
                <w:bCs/>
                <w:color w:val="0070C0"/>
                <w:sz w:val="20"/>
              </w:rPr>
              <w:t>% Change</w:t>
            </w:r>
          </w:p>
        </w:tc>
      </w:tr>
      <w:tr w:rsidR="001C18F3"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1074CB"/>
                <w:sz w:val="20"/>
              </w:rPr>
            </w:pPr>
            <w:r>
              <w:rPr>
                <w:rFonts w:ascii="Arial" w:hAnsi="Arial" w:cs="Arial"/>
                <w:bCs/>
                <w:color w:val="1074CB"/>
                <w:sz w:val="20"/>
              </w:rPr>
              <w:t>Total</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8,913</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8,623</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-3.3%</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38,284</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32,477</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-15.2%</w:t>
            </w:r>
          </w:p>
        </w:tc>
      </w:tr>
      <w:tr w:rsidR="001C18F3"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1074CB"/>
                <w:sz w:val="20"/>
              </w:rPr>
            </w:pPr>
            <w:r>
              <w:rPr>
                <w:rFonts w:ascii="Arial" w:hAnsi="Arial" w:cs="Arial"/>
                <w:bCs/>
                <w:color w:val="1074CB"/>
                <w:sz w:val="20"/>
              </w:rPr>
              <w:t>Home</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3,131</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3,897</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24.5%</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15,177</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16,563</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9.1%</w:t>
            </w:r>
          </w:p>
        </w:tc>
      </w:tr>
      <w:tr w:rsidR="001C18F3"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1074CB"/>
                <w:sz w:val="20"/>
              </w:rPr>
            </w:pPr>
            <w:r>
              <w:rPr>
                <w:rFonts w:ascii="Arial" w:hAnsi="Arial" w:cs="Arial"/>
                <w:bCs/>
                <w:color w:val="1074CB"/>
                <w:sz w:val="20"/>
              </w:rPr>
              <w:t>Export</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5,782</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4,726</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-18.3%</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23,107</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15,914</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-31.1%</w:t>
            </w:r>
          </w:p>
        </w:tc>
      </w:tr>
      <w:tr w:rsidR="001C18F3"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1074CB"/>
                <w:sz w:val="20"/>
              </w:rPr>
            </w:pPr>
            <w:r>
              <w:rPr>
                <w:rFonts w:ascii="Arial" w:hAnsi="Arial" w:cs="Arial"/>
                <w:bCs/>
                <w:color w:val="1074CB"/>
                <w:sz w:val="20"/>
              </w:rPr>
              <w:t>% export</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64.9%</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54.8%</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 </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60.4%</w:t>
            </w:r>
          </w:p>
        </w:tc>
        <w:tc>
          <w:tcPr>
            <w:tcW w:w="1228"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49.0%</w:t>
            </w:r>
          </w:p>
        </w:tc>
        <w:tc>
          <w:tcPr>
            <w:tcW w:w="1229" w:type="dxa"/>
            <w:tcBorders>
              <w:top w:val="nil"/>
              <w:left w:val="nil"/>
              <w:bottom w:val="single" w:sz="8" w:space="0" w:color="548DD4"/>
              <w:right w:val="single" w:sz="8" w:space="0" w:color="548DD4"/>
            </w:tcBorders>
            <w:shd w:val="clear" w:color="auto" w:fill="auto"/>
            <w:noWrap/>
            <w:vAlign w:val="bottom"/>
            <w:hideMark/>
          </w:tcPr>
          <w:p w:rsidR="001C18F3" w:rsidRDefault="001C18F3">
            <w:pPr>
              <w:jc w:val="right"/>
              <w:rPr>
                <w:rFonts w:ascii="Arial" w:hAnsi="Arial" w:cs="Arial"/>
                <w:color w:val="0070C0"/>
                <w:sz w:val="20"/>
              </w:rPr>
            </w:pPr>
            <w:r>
              <w:rPr>
                <w:rFonts w:ascii="Arial" w:hAnsi="Arial" w:cs="Arial"/>
                <w:color w:val="0070C0"/>
                <w:sz w:val="20"/>
              </w:rPr>
              <w:t> </w:t>
            </w:r>
          </w:p>
        </w:tc>
      </w:tr>
    </w:tbl>
    <w:p w:rsidR="00506E24" w:rsidRDefault="00506E24" w:rsidP="00506E24">
      <w:pPr>
        <w:keepNext/>
        <w:spacing w:line="276" w:lineRule="auto"/>
        <w:rPr>
          <w:rFonts w:ascii="Arial" w:hAnsi="Arial" w:cs="Arial"/>
          <w:b/>
          <w:color w:val="0D2255"/>
          <w:sz w:val="20"/>
        </w:rPr>
      </w:pPr>
    </w:p>
    <w:p w:rsidR="007B7D91" w:rsidRDefault="00B64BF5" w:rsidP="007B7D91">
      <w:pPr>
        <w:rPr>
          <w:rFonts w:ascii="Arial" w:hAnsi="Arial" w:cs="Arial"/>
          <w:sz w:val="20"/>
        </w:rPr>
      </w:pPr>
      <w:r>
        <w:rPr>
          <w:rFonts w:ascii="Arial" w:hAnsi="Arial" w:cs="Arial"/>
          <w:b/>
          <w:color w:val="0D2255"/>
          <w:sz w:val="20"/>
        </w:rPr>
        <w:t xml:space="preserve">CV </w:t>
      </w:r>
      <w:r w:rsidR="007B7D91" w:rsidRPr="00D62A9D">
        <w:rPr>
          <w:rFonts w:ascii="Arial" w:hAnsi="Arial" w:cs="Arial"/>
          <w:b/>
          <w:color w:val="0D2255"/>
          <w:sz w:val="20"/>
        </w:rPr>
        <w:t>output rolling year total</w:t>
      </w:r>
      <w:r w:rsidR="00CC6F26">
        <w:rPr>
          <w:rFonts w:ascii="Arial" w:hAnsi="Arial" w:cs="Arial"/>
          <w:b/>
          <w:color w:val="0D2255"/>
          <w:sz w:val="20"/>
        </w:rPr>
        <w:tab/>
        <w:t xml:space="preserve">   </w:t>
      </w:r>
      <w:r w:rsidR="00AF5E02">
        <w:rPr>
          <w:rFonts w:ascii="Arial" w:hAnsi="Arial" w:cs="Arial"/>
          <w:b/>
          <w:color w:val="0D2255"/>
          <w:sz w:val="20"/>
        </w:rPr>
        <w:t xml:space="preserve">               </w:t>
      </w:r>
    </w:p>
    <w:p w:rsidR="007B7D91" w:rsidRDefault="00E6267F" w:rsidP="00B01A93">
      <w:pPr>
        <w:tabs>
          <w:tab w:val="left" w:pos="5529"/>
        </w:tabs>
        <w:rPr>
          <w:rFonts w:ascii="Verdana" w:hAnsi="Verdana"/>
          <w:sz w:val="20"/>
        </w:rPr>
      </w:pPr>
      <w:r w:rsidRPr="00E6267F">
        <w:rPr>
          <w:rFonts w:ascii="Verdana" w:hAnsi="Verdana"/>
          <w:noProof/>
          <w:sz w:val="20"/>
        </w:rPr>
        <w:drawing>
          <wp:inline distT="0" distB="0" distL="0" distR="0">
            <wp:extent cx="6384898" cy="2234316"/>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ENGINE</w:t>
      </w:r>
      <w:r w:rsidRPr="00D62A9D">
        <w:rPr>
          <w:rFonts w:ascii="Arial" w:eastAsiaTheme="minorEastAsia" w:hAnsi="Arial" w:cs="Arial"/>
          <w:bCs/>
          <w:color w:val="1074CB"/>
          <w:sz w:val="44"/>
          <w:szCs w:val="44"/>
        </w:rPr>
        <w:t xml:space="preserve"> MANUFACTURING</w:t>
      </w:r>
    </w:p>
    <w:p w:rsidR="009C2767" w:rsidRPr="00D62A9D" w:rsidRDefault="009C2767" w:rsidP="009C2767">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 xml:space="preserve">16 May </w:t>
      </w:r>
      <w:r w:rsidRPr="00D62A9D">
        <w:rPr>
          <w:rFonts w:ascii="Arial" w:eastAsiaTheme="minorEastAsia" w:hAnsi="Arial" w:cs="Arial"/>
          <w:b w:val="0"/>
          <w:bCs/>
          <w:color w:val="1074CB"/>
          <w:sz w:val="44"/>
          <w:szCs w:val="44"/>
        </w:rPr>
        <w:t xml:space="preserve">2013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 xml:space="preserve">April </w:t>
      </w:r>
      <w:r w:rsidRPr="00D62A9D">
        <w:rPr>
          <w:rFonts w:ascii="Arial" w:eastAsiaTheme="minorEastAsia" w:hAnsi="Arial" w:cs="Arial"/>
          <w:b w:val="0"/>
          <w:bCs/>
          <w:color w:val="1074CB"/>
          <w:sz w:val="32"/>
          <w:szCs w:val="32"/>
        </w:rPr>
        <w:t>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7B7D91" w:rsidRDefault="00415FBF" w:rsidP="00E75134">
      <w:r w:rsidRPr="00415FBF">
        <w:rPr>
          <w:rFonts w:ascii="Arial" w:eastAsiaTheme="minorEastAsia" w:hAnsi="Arial" w:cs="Arial"/>
          <w:b/>
          <w:bCs/>
          <w:noProof/>
          <w:color w:val="1074CB"/>
          <w:sz w:val="20"/>
        </w:rPr>
        <w:pict>
          <v:line id="_x0000_s1027" style="position:absolute;z-index:251657728" from=".55pt,3.7pt" to="487.1pt,3.7pt" strokecolor="#1074cb"/>
        </w:pict>
      </w:r>
    </w:p>
    <w:p w:rsidR="00E75134" w:rsidRPr="00B53741" w:rsidRDefault="00E75134" w:rsidP="00E75134">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w:t>
      </w:r>
      <w:r w:rsidR="00446AC5">
        <w:rPr>
          <w:rFonts w:ascii="Arial" w:eastAsiaTheme="minorEastAsia" w:hAnsi="Arial" w:cs="Arial"/>
          <w:bCs/>
          <w:color w:val="1074CB"/>
          <w:sz w:val="36"/>
          <w:szCs w:val="36"/>
        </w:rPr>
        <w:t>e</w:t>
      </w:r>
      <w:r w:rsidR="00E50950">
        <w:rPr>
          <w:rFonts w:ascii="Arial" w:eastAsiaTheme="minorEastAsia" w:hAnsi="Arial" w:cs="Arial"/>
          <w:bCs/>
          <w:color w:val="1074CB"/>
          <w:sz w:val="36"/>
          <w:szCs w:val="36"/>
        </w:rPr>
        <w:t>ngine</w:t>
      </w:r>
      <w:r w:rsidR="008130AD">
        <w:rPr>
          <w:rFonts w:ascii="Arial" w:eastAsiaTheme="minorEastAsia" w:hAnsi="Arial" w:cs="Arial"/>
          <w:bCs/>
          <w:color w:val="1074CB"/>
          <w:sz w:val="36"/>
          <w:szCs w:val="36"/>
        </w:rPr>
        <w:t xml:space="preserve"> production</w:t>
      </w:r>
      <w:r w:rsidR="00E50950">
        <w:rPr>
          <w:rFonts w:ascii="Arial" w:eastAsiaTheme="minorEastAsia" w:hAnsi="Arial" w:cs="Arial"/>
          <w:bCs/>
          <w:color w:val="1074CB"/>
          <w:sz w:val="36"/>
          <w:szCs w:val="36"/>
        </w:rPr>
        <w:t xml:space="preserve"> </w:t>
      </w:r>
      <w:r w:rsidR="00257BE3">
        <w:rPr>
          <w:rFonts w:ascii="Arial" w:eastAsiaTheme="minorEastAsia" w:hAnsi="Arial" w:cs="Arial"/>
          <w:bCs/>
          <w:color w:val="1074CB"/>
          <w:sz w:val="36"/>
          <w:szCs w:val="36"/>
        </w:rPr>
        <w:t>up 10% in April</w:t>
      </w:r>
    </w:p>
    <w:p w:rsidR="00E75134" w:rsidRDefault="00E75134" w:rsidP="00E75134">
      <w:pPr>
        <w:spacing w:line="276" w:lineRule="auto"/>
        <w:rPr>
          <w:rFonts w:ascii="Verdana" w:hAnsi="Verdana"/>
          <w:sz w:val="20"/>
        </w:rPr>
      </w:pPr>
    </w:p>
    <w:p w:rsidR="00E75134" w:rsidRPr="00300A48" w:rsidRDefault="00E75134" w:rsidP="00F33706">
      <w:pPr>
        <w:pStyle w:val="ListParagraph"/>
        <w:numPr>
          <w:ilvl w:val="0"/>
          <w:numId w:val="3"/>
        </w:numPr>
        <w:spacing w:line="276" w:lineRule="auto"/>
        <w:rPr>
          <w:rFonts w:ascii="Arial" w:hAnsi="Arial" w:cs="Arial"/>
          <w:sz w:val="20"/>
        </w:rPr>
      </w:pPr>
      <w:r w:rsidRPr="00300A48">
        <w:rPr>
          <w:rFonts w:ascii="Arial" w:hAnsi="Arial" w:cs="Arial"/>
          <w:sz w:val="20"/>
        </w:rPr>
        <w:t>U</w:t>
      </w:r>
      <w:r w:rsidR="00300A48" w:rsidRPr="00300A48">
        <w:rPr>
          <w:rFonts w:ascii="Arial" w:hAnsi="Arial" w:cs="Arial"/>
          <w:sz w:val="20"/>
        </w:rPr>
        <w:t>K engine output</w:t>
      </w:r>
      <w:r w:rsidR="003E262D" w:rsidRPr="00300A48">
        <w:rPr>
          <w:rFonts w:ascii="Arial" w:hAnsi="Arial" w:cs="Arial"/>
          <w:sz w:val="20"/>
        </w:rPr>
        <w:t xml:space="preserve"> </w:t>
      </w:r>
      <w:r w:rsidR="008130AD" w:rsidRPr="00300A48">
        <w:rPr>
          <w:rFonts w:ascii="Arial" w:hAnsi="Arial" w:cs="Arial"/>
          <w:sz w:val="20"/>
        </w:rPr>
        <w:t xml:space="preserve">rose </w:t>
      </w:r>
      <w:r w:rsidR="00257BE3" w:rsidRPr="00300A48">
        <w:rPr>
          <w:rFonts w:ascii="Arial" w:hAnsi="Arial" w:cs="Arial"/>
          <w:sz w:val="20"/>
        </w:rPr>
        <w:t>9.9% i</w:t>
      </w:r>
      <w:r w:rsidR="006402BB" w:rsidRPr="00300A48">
        <w:rPr>
          <w:rFonts w:ascii="Arial" w:hAnsi="Arial" w:cs="Arial"/>
          <w:sz w:val="20"/>
        </w:rPr>
        <w:t xml:space="preserve">n </w:t>
      </w:r>
      <w:r w:rsidR="00257BE3" w:rsidRPr="00300A48">
        <w:rPr>
          <w:rFonts w:ascii="Arial" w:hAnsi="Arial" w:cs="Arial"/>
          <w:sz w:val="20"/>
        </w:rPr>
        <w:t>April</w:t>
      </w:r>
      <w:r w:rsidR="006402BB" w:rsidRPr="00300A48">
        <w:rPr>
          <w:rFonts w:ascii="Arial" w:hAnsi="Arial" w:cs="Arial"/>
          <w:sz w:val="20"/>
        </w:rPr>
        <w:t xml:space="preserve"> to </w:t>
      </w:r>
      <w:r w:rsidR="00D72D2A">
        <w:rPr>
          <w:rFonts w:ascii="Arial" w:hAnsi="Arial" w:cs="Arial"/>
          <w:sz w:val="20"/>
        </w:rPr>
        <w:t>211,452</w:t>
      </w:r>
      <w:r w:rsidRPr="00300A48">
        <w:rPr>
          <w:rFonts w:ascii="Arial" w:hAnsi="Arial" w:cs="Arial"/>
          <w:sz w:val="20"/>
        </w:rPr>
        <w:t xml:space="preserve"> units.</w:t>
      </w:r>
    </w:p>
    <w:p w:rsidR="00E50950" w:rsidRDefault="00E50950" w:rsidP="00F33706">
      <w:pPr>
        <w:numPr>
          <w:ilvl w:val="0"/>
          <w:numId w:val="2"/>
        </w:numPr>
        <w:spacing w:line="276" w:lineRule="auto"/>
        <w:rPr>
          <w:rFonts w:ascii="Arial" w:hAnsi="Arial" w:cs="Arial"/>
          <w:sz w:val="20"/>
        </w:rPr>
      </w:pPr>
      <w:r>
        <w:rPr>
          <w:rFonts w:ascii="Arial" w:hAnsi="Arial" w:cs="Arial"/>
          <w:sz w:val="20"/>
        </w:rPr>
        <w:t>E</w:t>
      </w:r>
      <w:r w:rsidR="00257BE3">
        <w:rPr>
          <w:rFonts w:ascii="Arial" w:hAnsi="Arial" w:cs="Arial"/>
          <w:sz w:val="20"/>
        </w:rPr>
        <w:t>arlier shortfalls ensure e</w:t>
      </w:r>
      <w:r w:rsidR="008130AD">
        <w:rPr>
          <w:rFonts w:ascii="Arial" w:hAnsi="Arial" w:cs="Arial"/>
          <w:sz w:val="20"/>
        </w:rPr>
        <w:t>ngine production during</w:t>
      </w:r>
      <w:r>
        <w:rPr>
          <w:rFonts w:ascii="Arial" w:hAnsi="Arial" w:cs="Arial"/>
          <w:sz w:val="20"/>
        </w:rPr>
        <w:t xml:space="preserve"> the </w:t>
      </w:r>
      <w:r w:rsidR="00257BE3">
        <w:rPr>
          <w:rFonts w:ascii="Arial" w:hAnsi="Arial" w:cs="Arial"/>
          <w:sz w:val="20"/>
        </w:rPr>
        <w:t xml:space="preserve">year-to-date </w:t>
      </w:r>
      <w:r w:rsidR="008130AD">
        <w:rPr>
          <w:rFonts w:ascii="Arial" w:hAnsi="Arial" w:cs="Arial"/>
          <w:sz w:val="20"/>
        </w:rPr>
        <w:t xml:space="preserve">fell </w:t>
      </w:r>
      <w:r w:rsidR="00257BE3">
        <w:rPr>
          <w:rFonts w:ascii="Arial" w:hAnsi="Arial" w:cs="Arial"/>
          <w:sz w:val="20"/>
        </w:rPr>
        <w:t>2.1</w:t>
      </w:r>
      <w:r w:rsidR="006402BB">
        <w:rPr>
          <w:rFonts w:ascii="Arial" w:hAnsi="Arial" w:cs="Arial"/>
          <w:sz w:val="20"/>
        </w:rPr>
        <w:t xml:space="preserve">% </w:t>
      </w:r>
      <w:r w:rsidR="00257BE3">
        <w:rPr>
          <w:rFonts w:ascii="Arial" w:hAnsi="Arial" w:cs="Arial"/>
          <w:sz w:val="20"/>
        </w:rPr>
        <w:t>a</w:t>
      </w:r>
      <w:r w:rsidR="006402BB">
        <w:rPr>
          <w:rFonts w:ascii="Arial" w:hAnsi="Arial" w:cs="Arial"/>
          <w:sz w:val="20"/>
        </w:rPr>
        <w:t xml:space="preserve">t </w:t>
      </w:r>
      <w:r w:rsidR="00257BE3">
        <w:rPr>
          <w:rFonts w:ascii="Arial" w:hAnsi="Arial" w:cs="Arial"/>
          <w:sz w:val="20"/>
        </w:rPr>
        <w:t>871,707</w:t>
      </w:r>
      <w:r w:rsidR="006402BB">
        <w:rPr>
          <w:rFonts w:ascii="Arial" w:hAnsi="Arial" w:cs="Arial"/>
          <w:sz w:val="20"/>
        </w:rPr>
        <w:t xml:space="preserve"> units.</w:t>
      </w:r>
    </w:p>
    <w:p w:rsidR="00E50950" w:rsidRDefault="00300A48" w:rsidP="00F33706">
      <w:pPr>
        <w:numPr>
          <w:ilvl w:val="0"/>
          <w:numId w:val="2"/>
        </w:numPr>
        <w:spacing w:line="276" w:lineRule="auto"/>
        <w:rPr>
          <w:rFonts w:ascii="Arial" w:hAnsi="Arial" w:cs="Arial"/>
          <w:sz w:val="20"/>
        </w:rPr>
      </w:pPr>
      <w:r>
        <w:rPr>
          <w:rFonts w:ascii="Arial" w:hAnsi="Arial" w:cs="Arial"/>
          <w:sz w:val="20"/>
        </w:rPr>
        <w:t>Volumes</w:t>
      </w:r>
      <w:r w:rsidR="00257BE3">
        <w:rPr>
          <w:rFonts w:ascii="Arial" w:hAnsi="Arial" w:cs="Arial"/>
          <w:sz w:val="20"/>
        </w:rPr>
        <w:t xml:space="preserve"> for the home market</w:t>
      </w:r>
      <w:r w:rsidR="008130AD">
        <w:rPr>
          <w:rFonts w:ascii="Arial" w:hAnsi="Arial" w:cs="Arial"/>
          <w:sz w:val="20"/>
        </w:rPr>
        <w:t xml:space="preserve"> rose</w:t>
      </w:r>
      <w:r w:rsidR="00257BE3">
        <w:rPr>
          <w:rFonts w:ascii="Arial" w:hAnsi="Arial" w:cs="Arial"/>
          <w:sz w:val="20"/>
        </w:rPr>
        <w:t xml:space="preserve">, in line </w:t>
      </w:r>
      <w:r w:rsidR="00626E86">
        <w:rPr>
          <w:rFonts w:ascii="Arial" w:hAnsi="Arial" w:cs="Arial"/>
          <w:sz w:val="20"/>
        </w:rPr>
        <w:t>with registration trends. E</w:t>
      </w:r>
      <w:r>
        <w:rPr>
          <w:rFonts w:ascii="Arial" w:hAnsi="Arial" w:cs="Arial"/>
          <w:sz w:val="20"/>
        </w:rPr>
        <w:t>xport</w:t>
      </w:r>
      <w:r w:rsidR="008130AD">
        <w:rPr>
          <w:rFonts w:ascii="Arial" w:hAnsi="Arial" w:cs="Arial"/>
          <w:sz w:val="20"/>
        </w:rPr>
        <w:t xml:space="preserve"> volumes</w:t>
      </w:r>
      <w:r w:rsidR="00257BE3">
        <w:rPr>
          <w:rFonts w:ascii="Arial" w:hAnsi="Arial" w:cs="Arial"/>
          <w:sz w:val="20"/>
        </w:rPr>
        <w:t xml:space="preserve"> have fallen </w:t>
      </w:r>
      <w:r w:rsidR="008130AD">
        <w:rPr>
          <w:rFonts w:ascii="Arial" w:hAnsi="Arial" w:cs="Arial"/>
          <w:sz w:val="20"/>
        </w:rPr>
        <w:t>so far this year</w:t>
      </w:r>
      <w:r w:rsidR="00626E86">
        <w:rPr>
          <w:rFonts w:ascii="Arial" w:hAnsi="Arial" w:cs="Arial"/>
          <w:sz w:val="20"/>
        </w:rPr>
        <w:t>, however,</w:t>
      </w:r>
      <w:r w:rsidR="00257BE3">
        <w:rPr>
          <w:rFonts w:ascii="Arial" w:hAnsi="Arial" w:cs="Arial"/>
          <w:sz w:val="20"/>
        </w:rPr>
        <w:t xml:space="preserve"> did rise modestly in April</w:t>
      </w:r>
      <w:r w:rsidR="00E50950">
        <w:rPr>
          <w:rFonts w:ascii="Arial" w:hAnsi="Arial" w:cs="Arial"/>
          <w:sz w:val="20"/>
        </w:rPr>
        <w:t xml:space="preserve">. </w:t>
      </w:r>
    </w:p>
    <w:p w:rsidR="00506E24" w:rsidRPr="00506E24" w:rsidRDefault="00506E24" w:rsidP="00506E24">
      <w:pPr>
        <w:pStyle w:val="ListParagraph"/>
        <w:spacing w:line="360" w:lineRule="auto"/>
        <w:ind w:left="360"/>
        <w:rPr>
          <w:rFonts w:ascii="Arial" w:hAnsi="Arial" w:cs="Arial"/>
          <w:sz w:val="16"/>
          <w:szCs w:val="16"/>
        </w:rPr>
      </w:pPr>
    </w:p>
    <w:tbl>
      <w:tblPr>
        <w:tblW w:w="9652" w:type="dxa"/>
        <w:tblInd w:w="95" w:type="dxa"/>
        <w:tblLayout w:type="fixed"/>
        <w:tblLook w:val="04A0"/>
      </w:tblPr>
      <w:tblGrid>
        <w:gridCol w:w="2423"/>
        <w:gridCol w:w="1204"/>
        <w:gridCol w:w="1205"/>
        <w:gridCol w:w="1205"/>
        <w:gridCol w:w="1205"/>
        <w:gridCol w:w="1205"/>
        <w:gridCol w:w="1205"/>
      </w:tblGrid>
      <w:tr w:rsidR="00E6267F" w:rsidRPr="00A76181" w:rsidTr="00E50950">
        <w:trPr>
          <w:trHeight w:val="270"/>
        </w:trPr>
        <w:tc>
          <w:tcPr>
            <w:tcW w:w="2423" w:type="dxa"/>
            <w:tcBorders>
              <w:top w:val="single" w:sz="8" w:space="0" w:color="548DD4"/>
              <w:left w:val="single" w:sz="8" w:space="0" w:color="548DD4"/>
              <w:bottom w:val="single" w:sz="8" w:space="0" w:color="548DD4"/>
              <w:right w:val="single" w:sz="8" w:space="0" w:color="548DD4"/>
            </w:tcBorders>
            <w:shd w:val="clear" w:color="auto" w:fill="auto"/>
            <w:noWrap/>
            <w:hideMark/>
          </w:tcPr>
          <w:p w:rsidR="00E6267F" w:rsidRDefault="00E6267F">
            <w:pPr>
              <w:rPr>
                <w:rFonts w:ascii="Arial" w:hAnsi="Arial" w:cs="Arial"/>
                <w:b/>
                <w:bCs/>
                <w:color w:val="1074CB"/>
                <w:sz w:val="20"/>
              </w:rPr>
            </w:pPr>
            <w:r>
              <w:rPr>
                <w:rFonts w:ascii="Arial" w:hAnsi="Arial" w:cs="Arial"/>
                <w:b/>
                <w:bCs/>
                <w:color w:val="1074CB"/>
                <w:sz w:val="20"/>
              </w:rPr>
              <w:t>Engine manufacturing</w:t>
            </w:r>
          </w:p>
        </w:tc>
        <w:tc>
          <w:tcPr>
            <w:tcW w:w="1204"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Apr-12</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Apr-13</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 xml:space="preserve">% Change </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YTD-12</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YTD-13</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b/>
                <w:bCs/>
                <w:color w:val="0070C0"/>
                <w:sz w:val="20"/>
              </w:rPr>
            </w:pPr>
            <w:r>
              <w:rPr>
                <w:rFonts w:ascii="Arial" w:hAnsi="Arial" w:cs="Arial"/>
                <w:b/>
                <w:bCs/>
                <w:color w:val="0070C0"/>
                <w:sz w:val="20"/>
              </w:rPr>
              <w:t>% Change</w:t>
            </w:r>
          </w:p>
        </w:tc>
      </w:tr>
      <w:tr w:rsidR="00E6267F"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1074CB"/>
                <w:sz w:val="20"/>
              </w:rPr>
            </w:pPr>
            <w:r>
              <w:rPr>
                <w:rFonts w:ascii="Arial" w:hAnsi="Arial" w:cs="Arial"/>
                <w:color w:val="1074CB"/>
                <w:sz w:val="20"/>
              </w:rPr>
              <w:t>Total</w:t>
            </w:r>
          </w:p>
        </w:tc>
        <w:tc>
          <w:tcPr>
            <w:tcW w:w="1204"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192,408</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211,452</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9.9%</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890,154</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871,707</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-2.1%</w:t>
            </w:r>
          </w:p>
        </w:tc>
      </w:tr>
      <w:tr w:rsidR="00E6267F"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1074CB"/>
                <w:sz w:val="20"/>
              </w:rPr>
            </w:pPr>
            <w:r>
              <w:rPr>
                <w:rFonts w:ascii="Arial" w:hAnsi="Arial" w:cs="Arial"/>
                <w:color w:val="1074CB"/>
                <w:sz w:val="20"/>
              </w:rPr>
              <w:t>Home</w:t>
            </w:r>
          </w:p>
        </w:tc>
        <w:tc>
          <w:tcPr>
            <w:tcW w:w="1204"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66,271</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83,837</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26.5%</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314,023</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338,119</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7.7%</w:t>
            </w:r>
          </w:p>
        </w:tc>
      </w:tr>
      <w:tr w:rsidR="00E6267F"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1074CB"/>
                <w:sz w:val="20"/>
              </w:rPr>
            </w:pPr>
            <w:r>
              <w:rPr>
                <w:rFonts w:ascii="Arial" w:hAnsi="Arial" w:cs="Arial"/>
                <w:color w:val="1074CB"/>
                <w:sz w:val="20"/>
              </w:rPr>
              <w:t>Export</w:t>
            </w:r>
          </w:p>
        </w:tc>
        <w:tc>
          <w:tcPr>
            <w:tcW w:w="1204"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126,137</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127,615</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1.2%</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576,131</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533,588</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-7.4%</w:t>
            </w:r>
          </w:p>
        </w:tc>
      </w:tr>
      <w:tr w:rsidR="00E6267F"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1074CB"/>
                <w:sz w:val="20"/>
              </w:rPr>
            </w:pPr>
            <w:r>
              <w:rPr>
                <w:rFonts w:ascii="Arial" w:hAnsi="Arial" w:cs="Arial"/>
                <w:color w:val="1074CB"/>
                <w:sz w:val="20"/>
              </w:rPr>
              <w:t>% export</w:t>
            </w:r>
          </w:p>
        </w:tc>
        <w:tc>
          <w:tcPr>
            <w:tcW w:w="1204"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65.6%</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60.4%</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 </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64.7%</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61.2%</w:t>
            </w:r>
          </w:p>
        </w:tc>
        <w:tc>
          <w:tcPr>
            <w:tcW w:w="1205" w:type="dxa"/>
            <w:tcBorders>
              <w:top w:val="nil"/>
              <w:left w:val="nil"/>
              <w:bottom w:val="single" w:sz="8" w:space="0" w:color="548DD4"/>
              <w:right w:val="single" w:sz="8" w:space="0" w:color="548DD4"/>
            </w:tcBorders>
            <w:shd w:val="clear" w:color="auto" w:fill="auto"/>
            <w:noWrap/>
            <w:vAlign w:val="bottom"/>
            <w:hideMark/>
          </w:tcPr>
          <w:p w:rsidR="00E6267F" w:rsidRDefault="00E6267F">
            <w:pPr>
              <w:jc w:val="right"/>
              <w:rPr>
                <w:rFonts w:ascii="Arial" w:hAnsi="Arial" w:cs="Arial"/>
                <w:color w:val="0070C0"/>
                <w:sz w:val="20"/>
              </w:rPr>
            </w:pPr>
            <w:r>
              <w:rPr>
                <w:rFonts w:ascii="Arial" w:hAnsi="Arial" w:cs="Arial"/>
                <w:color w:val="0070C0"/>
                <w:sz w:val="20"/>
              </w:rPr>
              <w:t> </w:t>
            </w:r>
          </w:p>
        </w:tc>
      </w:tr>
    </w:tbl>
    <w:p w:rsidR="00506E24" w:rsidRPr="00506E24" w:rsidRDefault="00506E24" w:rsidP="00506E24">
      <w:pPr>
        <w:pStyle w:val="ListParagraph"/>
        <w:keepNext/>
        <w:spacing w:line="276" w:lineRule="auto"/>
        <w:ind w:left="360"/>
        <w:rPr>
          <w:rFonts w:ascii="Arial" w:hAnsi="Arial" w:cs="Arial"/>
          <w:b/>
          <w:color w:val="0D2255"/>
          <w:sz w:val="20"/>
        </w:rPr>
      </w:pPr>
    </w:p>
    <w:p w:rsidR="00B53741" w:rsidRDefault="00B53741" w:rsidP="007F526E">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p>
    <w:p w:rsidR="00015D3B" w:rsidRPr="00E75134" w:rsidRDefault="00E6267F" w:rsidP="00E75134">
      <w:pPr>
        <w:rPr>
          <w:rFonts w:ascii="Verdana" w:hAnsi="Verdana"/>
          <w:sz w:val="20"/>
        </w:rPr>
      </w:pPr>
      <w:r w:rsidRPr="00E6267F">
        <w:rPr>
          <w:rFonts w:ascii="Verdana" w:hAnsi="Verdana"/>
          <w:noProof/>
          <w:sz w:val="20"/>
        </w:rPr>
        <w:drawing>
          <wp:inline distT="0" distB="0" distL="0" distR="0">
            <wp:extent cx="6154310" cy="27432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015D3B" w:rsidRPr="00E75134" w:rsidSect="00015D3B">
      <w:headerReference w:type="default" r:id="rId12"/>
      <w:pgSz w:w="12240" w:h="15840" w:code="1"/>
      <w:pgMar w:top="1134" w:right="1077" w:bottom="1134" w:left="107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AC" w:rsidRDefault="00E425AC" w:rsidP="007B7D91">
      <w:r>
        <w:separator/>
      </w:r>
    </w:p>
  </w:endnote>
  <w:endnote w:type="continuationSeparator" w:id="0">
    <w:p w:rsidR="00E425AC" w:rsidRDefault="00E425AC" w:rsidP="007B7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C" w:rsidRDefault="00E425AC" w:rsidP="00EA17B0">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E425AC" w:rsidRDefault="00E425AC" w:rsidP="00446AC5">
    <w:pPr>
      <w:pStyle w:val="Heading1"/>
      <w:ind w:left="0" w:firstLine="0"/>
      <w:rPr>
        <w:rFonts w:ascii="Arial" w:hAnsi="Arial" w:cs="Arial"/>
        <w:b w:val="0"/>
        <w:color w:val="1074CB"/>
        <w:sz w:val="16"/>
        <w:szCs w:val="16"/>
      </w:rPr>
    </w:pPr>
    <w:r>
      <w:rPr>
        <w:rFonts w:ascii="Arial" w:hAnsi="Arial" w:cs="Arial"/>
        <w:b w:val="0"/>
        <w:color w:val="1074CB"/>
        <w:sz w:val="16"/>
        <w:szCs w:val="16"/>
      </w:rPr>
      <w:t>Data presented is from a regular survey of selected UK manufacturers: 14 car manufacturers, nine CV and six engine manufacturers.</w:t>
    </w:r>
  </w:p>
  <w:p w:rsidR="00E425AC" w:rsidRPr="00EA17B0" w:rsidRDefault="00E425AC" w:rsidP="00EA17B0">
    <w:pPr>
      <w:pStyle w:val="Heading1"/>
      <w:ind w:left="0" w:firstLine="0"/>
      <w:rPr>
        <w:rFonts w:ascii="Arial" w:hAnsi="Arial" w:cs="Arial"/>
        <w:b w:val="0"/>
        <w:color w:val="1074CB"/>
        <w:sz w:val="12"/>
        <w:szCs w:val="12"/>
      </w:rPr>
    </w:pPr>
  </w:p>
  <w:p w:rsidR="00E425AC" w:rsidRPr="0093616F" w:rsidRDefault="00E425AC" w:rsidP="00EA17B0">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sidRPr="00D62A9D">
      <w:rPr>
        <w:rFonts w:ascii="Arial" w:hAnsi="Arial" w:cs="Arial"/>
        <w:color w:val="1074CB"/>
        <w:sz w:val="16"/>
        <w:szCs w:val="16"/>
      </w:rPr>
      <w:t>£55 billion turnover</w:t>
    </w:r>
    <w:r>
      <w:rPr>
        <w:rFonts w:ascii="Arial" w:hAnsi="Arial" w:cs="Arial"/>
        <w:b w:val="0"/>
        <w:color w:val="1074CB"/>
        <w:sz w:val="16"/>
        <w:szCs w:val="16"/>
      </w:rPr>
      <w:t xml:space="preserve"> and </w:t>
    </w:r>
    <w:r w:rsidRPr="00D62A9D">
      <w:rPr>
        <w:rFonts w:ascii="Arial" w:hAnsi="Arial" w:cs="Arial"/>
        <w:color w:val="1074CB"/>
        <w:sz w:val="16"/>
        <w:szCs w:val="16"/>
      </w:rPr>
      <w:t>£12 billion value added</w:t>
    </w:r>
    <w:r w:rsidRPr="0098763B">
      <w:rPr>
        <w:rFonts w:ascii="Arial" w:hAnsi="Arial" w:cs="Arial"/>
        <w:b w:val="0"/>
        <w:color w:val="1074CB"/>
        <w:sz w:val="16"/>
        <w:szCs w:val="16"/>
      </w:rPr>
      <w:t xml:space="preserve">. With </w:t>
    </w:r>
    <w:r>
      <w:rPr>
        <w:rFonts w:ascii="Arial" w:hAnsi="Arial" w:cs="Arial"/>
        <w:b w:val="0"/>
        <w:color w:val="1074CB"/>
        <w:sz w:val="16"/>
        <w:szCs w:val="16"/>
      </w:rPr>
      <w:t>more than</w:t>
    </w:r>
    <w:r w:rsidRPr="0098763B">
      <w:rPr>
        <w:rFonts w:ascii="Arial" w:hAnsi="Arial" w:cs="Arial"/>
        <w:b w:val="0"/>
        <w:color w:val="1074CB"/>
        <w:sz w:val="16"/>
        <w:szCs w:val="16"/>
      </w:rPr>
      <w:t xml:space="preserve"> </w:t>
    </w:r>
    <w:r w:rsidRPr="00D62A9D">
      <w:rPr>
        <w:rFonts w:ascii="Arial" w:hAnsi="Arial" w:cs="Arial"/>
        <w:color w:val="1074CB"/>
        <w:sz w:val="16"/>
        <w:szCs w:val="16"/>
      </w:rPr>
      <w:t>700,000 jobs</w:t>
    </w:r>
    <w:r w:rsidRPr="0098763B">
      <w:rPr>
        <w:rFonts w:ascii="Arial" w:hAnsi="Arial" w:cs="Arial"/>
        <w:b w:val="0"/>
        <w:color w:val="1074CB"/>
        <w:sz w:val="16"/>
        <w:szCs w:val="16"/>
      </w:rPr>
      <w:t xml:space="preserve"> dependent on the industry, it accounts for </w:t>
    </w:r>
    <w:r w:rsidRPr="00D62A9D">
      <w:rPr>
        <w:rFonts w:ascii="Arial" w:hAnsi="Arial" w:cs="Arial"/>
        <w:color w:val="1074CB"/>
        <w:sz w:val="16"/>
        <w:szCs w:val="16"/>
      </w:rPr>
      <w:t>10% of total exports</w:t>
    </w:r>
    <w:r w:rsidRPr="0098763B">
      <w:rPr>
        <w:rFonts w:ascii="Arial" w:hAnsi="Arial" w:cs="Arial"/>
        <w:b w:val="0"/>
        <w:color w:val="1074CB"/>
        <w:sz w:val="16"/>
        <w:szCs w:val="16"/>
      </w:rPr>
      <w:t xml:space="preserve"> and invests </w:t>
    </w:r>
    <w:r w:rsidRPr="00D62A9D">
      <w:rPr>
        <w:rFonts w:ascii="Arial" w:hAnsi="Arial" w:cs="Arial"/>
        <w:color w:val="1074CB"/>
        <w:sz w:val="16"/>
        <w:szCs w:val="16"/>
      </w:rPr>
      <w:t>£1.3 billion</w:t>
    </w:r>
    <w:r w:rsidRPr="0098763B">
      <w:rPr>
        <w:rFonts w:ascii="Arial" w:hAnsi="Arial" w:cs="Arial"/>
        <w:b w:val="0"/>
        <w:color w:val="1074CB"/>
        <w:sz w:val="16"/>
        <w:szCs w:val="16"/>
      </w:rPr>
      <w:t xml:space="preserve"> each year in automotive R&amp;D. </w:t>
    </w:r>
    <w:r w:rsidRPr="00281847">
      <w:rPr>
        <w:rFonts w:ascii="Arial" w:hAnsi="Arial" w:cs="Arial"/>
        <w:b w:val="0"/>
        <w:color w:val="1074CB"/>
        <w:sz w:val="16"/>
        <w:szCs w:val="16"/>
      </w:rPr>
      <w:t>For more details, see SMMT’s Sustainability Report 20</w:t>
    </w:r>
    <w:r>
      <w:rPr>
        <w:rFonts w:ascii="Arial" w:hAnsi="Arial" w:cs="Arial"/>
        <w:b w:val="0"/>
        <w:color w:val="1074CB"/>
        <w:sz w:val="16"/>
        <w:szCs w:val="16"/>
      </w:rPr>
      <w:t>12 and Motor Industry Facts 2013</w:t>
    </w:r>
    <w:r w:rsidRPr="00281847">
      <w:rPr>
        <w:rFonts w:ascii="Arial" w:hAnsi="Arial" w:cs="Arial"/>
        <w:b w:val="0"/>
        <w:color w:val="1074CB"/>
        <w:sz w:val="16"/>
        <w:szCs w:val="16"/>
      </w:rPr>
      <w:t xml:space="preserve"> at </w:t>
    </w:r>
    <w:hyperlink r:id="rId1" w:history="1">
      <w:r w:rsidRPr="00281847">
        <w:rPr>
          <w:rStyle w:val="Hyperlink"/>
          <w:rFonts w:ascii="Arial" w:hAnsi="Arial" w:cs="Arial"/>
          <w:sz w:val="16"/>
          <w:szCs w:val="16"/>
        </w:rPr>
        <w:t>www.smmt.co.uk/publications</w:t>
      </w:r>
    </w:hyperlink>
  </w:p>
  <w:p w:rsidR="00E425AC" w:rsidRPr="00EA17B0" w:rsidRDefault="00E425AC" w:rsidP="00EA17B0">
    <w:pPr>
      <w:rPr>
        <w:rFonts w:ascii="Arial" w:hAnsi="Arial" w:cs="Arial"/>
        <w:b/>
        <w:color w:val="1074CB"/>
        <w:sz w:val="12"/>
        <w:szCs w:val="12"/>
      </w:rPr>
    </w:pPr>
  </w:p>
  <w:p w:rsidR="00E425AC" w:rsidRDefault="00E425AC" w:rsidP="00EA17B0">
    <w:pPr>
      <w:rPr>
        <w:rFonts w:ascii="Arial" w:hAnsi="Arial" w:cs="Arial"/>
        <w:b/>
        <w:color w:val="1074CB"/>
        <w:sz w:val="16"/>
        <w:szCs w:val="16"/>
      </w:rPr>
    </w:pPr>
    <w:r>
      <w:rPr>
        <w:rFonts w:ascii="Arial" w:hAnsi="Arial" w:cs="Arial"/>
        <w:b/>
        <w:color w:val="1074CB"/>
        <w:sz w:val="16"/>
        <w:szCs w:val="16"/>
      </w:rPr>
      <w:t>Media contacts:</w:t>
    </w:r>
  </w:p>
  <w:p w:rsidR="00E425AC" w:rsidRPr="005B770B" w:rsidRDefault="00E425AC" w:rsidP="00EA17B0">
    <w:r>
      <w:rPr>
        <w:rFonts w:ascii="Arial" w:hAnsi="Arial" w:cs="Arial"/>
        <w:color w:val="1074CB"/>
        <w:sz w:val="16"/>
        <w:szCs w:val="16"/>
      </w:rPr>
      <w:t>Kayleigh Lawrence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FC69B3">
        <w:rPr>
          <w:rStyle w:val="Hyperlink"/>
          <w:rFonts w:ascii="Arial" w:hAnsi="Arial" w:cs="Arial"/>
          <w:sz w:val="16"/>
          <w:szCs w:val="16"/>
        </w:rPr>
        <w:t>klawrence@smmt.co.uk</w:t>
      </w:r>
    </w:hyperlink>
  </w:p>
  <w:p w:rsidR="00E425AC" w:rsidRDefault="00E425AC" w:rsidP="00EA17B0">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t>9263</w:t>
    </w:r>
    <w:r>
      <w:rPr>
        <w:rFonts w:ascii="Arial" w:hAnsi="Arial" w:cs="Arial"/>
        <w:color w:val="1074CB"/>
        <w:sz w:val="16"/>
        <w:szCs w:val="16"/>
      </w:rPr>
      <w:tab/>
    </w:r>
    <w:r>
      <w:rPr>
        <w:rFonts w:ascii="Arial" w:hAnsi="Arial" w:cs="Arial"/>
        <w:color w:val="1074CB"/>
        <w:sz w:val="16"/>
        <w:szCs w:val="16"/>
      </w:rPr>
      <w:tab/>
    </w:r>
    <w:hyperlink r:id="rId3" w:history="1">
      <w:r w:rsidRPr="007252B7">
        <w:rPr>
          <w:rStyle w:val="Hyperlink"/>
          <w:rFonts w:ascii="Arial" w:hAnsi="Arial" w:cs="Arial"/>
          <w:sz w:val="16"/>
          <w:szCs w:val="16"/>
        </w:rPr>
        <w:t>jvisscher@smmt.co.uk</w:t>
      </w:r>
    </w:hyperlink>
    <w:r>
      <w:rPr>
        <w:rFonts w:ascii="Arial" w:hAnsi="Arial" w:cs="Arial"/>
        <w:color w:val="1074CB"/>
        <w:sz w:val="16"/>
        <w:szCs w:val="16"/>
      </w:rPr>
      <w:t xml:space="preserve"> </w:t>
    </w:r>
  </w:p>
  <w:p w:rsidR="00E425AC" w:rsidRDefault="00E425AC" w:rsidP="00EA17B0">
    <w:pPr>
      <w:rPr>
        <w:rFonts w:ascii="Arial" w:hAnsi="Arial" w:cs="Arial"/>
        <w:color w:val="1074C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AC" w:rsidRDefault="00E425AC" w:rsidP="007B7D91">
      <w:r>
        <w:separator/>
      </w:r>
    </w:p>
  </w:footnote>
  <w:footnote w:type="continuationSeparator" w:id="0">
    <w:p w:rsidR="00E425AC" w:rsidRDefault="00E425AC" w:rsidP="007B7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C" w:rsidRDefault="00E425AC" w:rsidP="00EA17B0">
    <w:pPr>
      <w:rPr>
        <w:rStyle w:val="Strong"/>
        <w:rFonts w:ascii="Arial" w:hAnsi="Arial" w:cs="Arial"/>
        <w:color w:val="1074CB"/>
        <w:sz w:val="20"/>
      </w:rPr>
    </w:pPr>
    <w:r>
      <w:rPr>
        <w:rStyle w:val="Strong"/>
        <w:rFonts w:ascii="Arial" w:hAnsi="Arial" w:cs="Arial"/>
        <w:color w:val="1074CB"/>
        <w:sz w:val="20"/>
      </w:rPr>
      <w:t xml:space="preserve">                                                                                  </w:t>
    </w:r>
  </w:p>
  <w:p w:rsidR="00E425AC" w:rsidRDefault="00E425AC" w:rsidP="00EA17B0">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4384" behindDoc="0" locked="0" layoutInCell="1" allowOverlap="1">
          <wp:simplePos x="0" y="0"/>
          <wp:positionH relativeFrom="column">
            <wp:posOffset>4114902</wp:posOffset>
          </wp:positionH>
          <wp:positionV relativeFrom="paragraph">
            <wp:posOffset>254</wp:posOffset>
          </wp:positionV>
          <wp:extent cx="1963369" cy="746151"/>
          <wp:effectExtent l="1905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63369" cy="746151"/>
                  </a:xfrm>
                  <a:prstGeom prst="rect">
                    <a:avLst/>
                  </a:prstGeom>
                  <a:noFill/>
                  <a:ln w="9525">
                    <a:noFill/>
                    <a:miter lim="800000"/>
                    <a:headEnd/>
                    <a:tailEnd/>
                  </a:ln>
                </pic:spPr>
              </pic:pic>
            </a:graphicData>
          </a:graphic>
        </wp:anchor>
      </w:drawing>
    </w:r>
  </w:p>
  <w:p w:rsidR="00E425AC" w:rsidRDefault="00E425AC" w:rsidP="00EA17B0">
    <w:pPr>
      <w:rPr>
        <w:rStyle w:val="Strong"/>
        <w:rFonts w:ascii="Arial" w:hAnsi="Arial" w:cs="Arial"/>
        <w:color w:val="1074CB"/>
        <w:sz w:val="20"/>
      </w:rPr>
    </w:pPr>
  </w:p>
  <w:p w:rsidR="00E425AC" w:rsidRDefault="00E425AC" w:rsidP="00EA17B0">
    <w:pPr>
      <w:jc w:val="right"/>
      <w:rPr>
        <w:rStyle w:val="Strong"/>
        <w:rFonts w:ascii="Arial" w:hAnsi="Arial" w:cs="Arial"/>
        <w:color w:val="1074CB"/>
        <w:sz w:val="20"/>
      </w:rPr>
    </w:pPr>
  </w:p>
  <w:p w:rsidR="00E425AC" w:rsidRDefault="00E425AC" w:rsidP="00EA17B0">
    <w:pPr>
      <w:jc w:val="right"/>
      <w:rPr>
        <w:rStyle w:val="Strong"/>
        <w:rFonts w:ascii="Arial" w:hAnsi="Arial" w:cs="Arial"/>
        <w:color w:val="1074CB"/>
        <w:sz w:val="20"/>
      </w:rPr>
    </w:pPr>
  </w:p>
  <w:p w:rsidR="00E425AC" w:rsidRDefault="00E425AC" w:rsidP="00EA17B0">
    <w:pPr>
      <w:jc w:val="right"/>
      <w:rPr>
        <w:rStyle w:val="Strong"/>
        <w:rFonts w:ascii="Arial" w:hAnsi="Arial" w:cs="Arial"/>
        <w:color w:val="1074CB"/>
        <w:sz w:val="20"/>
      </w:rPr>
    </w:pPr>
  </w:p>
  <w:p w:rsidR="00E425AC" w:rsidRDefault="00E425AC" w:rsidP="00EA17B0">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E425AC" w:rsidRPr="00D22872" w:rsidRDefault="00E425AC" w:rsidP="00EA17B0">
    <w:pPr>
      <w:pStyle w:val="Heading1"/>
      <w:ind w:right="142"/>
      <w:rPr>
        <w:rFonts w:ascii="Arial" w:eastAsiaTheme="minorEastAsia" w:hAnsi="Arial" w:cs="Arial"/>
        <w:bCs/>
        <w:color w:val="1074C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C" w:rsidRDefault="00E425AC" w:rsidP="007B7D91">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2336" behindDoc="0" locked="0" layoutInCell="1" allowOverlap="1">
          <wp:simplePos x="0" y="0"/>
          <wp:positionH relativeFrom="column">
            <wp:posOffset>4483210</wp:posOffset>
          </wp:positionH>
          <wp:positionV relativeFrom="paragraph">
            <wp:posOffset>-156016</wp:posOffset>
          </wp:positionV>
          <wp:extent cx="1968777" cy="739471"/>
          <wp:effectExtent l="19050" t="0" r="0"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68777" cy="739471"/>
                  </a:xfrm>
                  <a:prstGeom prst="rect">
                    <a:avLst/>
                  </a:prstGeom>
                  <a:noFill/>
                  <a:ln w="9525">
                    <a:noFill/>
                    <a:miter lim="800000"/>
                    <a:headEnd/>
                    <a:tailEnd/>
                  </a:ln>
                </pic:spPr>
              </pic:pic>
            </a:graphicData>
          </a:graphic>
        </wp:anchor>
      </w:drawing>
    </w:r>
  </w:p>
  <w:p w:rsidR="00E425AC" w:rsidRDefault="00E425AC" w:rsidP="007B7D91">
    <w:pPr>
      <w:jc w:val="right"/>
      <w:rPr>
        <w:rStyle w:val="Strong"/>
        <w:rFonts w:ascii="Arial" w:hAnsi="Arial" w:cs="Arial"/>
        <w:color w:val="1074CB"/>
        <w:sz w:val="20"/>
      </w:rPr>
    </w:pPr>
  </w:p>
  <w:p w:rsidR="00E425AC" w:rsidRDefault="00E425AC" w:rsidP="007B7D91">
    <w:pPr>
      <w:jc w:val="right"/>
      <w:rPr>
        <w:rStyle w:val="Strong"/>
        <w:rFonts w:ascii="Arial" w:hAnsi="Arial" w:cs="Arial"/>
        <w:color w:val="1074CB"/>
        <w:sz w:val="20"/>
      </w:rPr>
    </w:pPr>
  </w:p>
  <w:p w:rsidR="00E425AC" w:rsidRDefault="00E425AC" w:rsidP="007B7D91">
    <w:pPr>
      <w:jc w:val="right"/>
      <w:rPr>
        <w:rStyle w:val="Strong"/>
        <w:rFonts w:ascii="Arial" w:hAnsi="Arial" w:cs="Arial"/>
        <w:color w:val="1074CB"/>
        <w:sz w:val="20"/>
      </w:rPr>
    </w:pPr>
  </w:p>
  <w:p w:rsidR="00E425AC" w:rsidRDefault="00E425AC" w:rsidP="007B7D91">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E425AC" w:rsidRPr="00015D3B" w:rsidRDefault="00E425AC" w:rsidP="007B7D91">
    <w:pPr>
      <w:pStyle w:val="Heading1"/>
      <w:ind w:right="142"/>
      <w:rPr>
        <w:rFonts w:ascii="Arial" w:eastAsiaTheme="minorEastAsia" w:hAnsi="Arial" w:cs="Arial"/>
        <w:bCs/>
        <w:color w:val="1074C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A7AF2"/>
    <w:multiLevelType w:val="hybridMultilevel"/>
    <w:tmpl w:val="B110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7B7D91"/>
    <w:rsid w:val="00004CA3"/>
    <w:rsid w:val="00007ACB"/>
    <w:rsid w:val="00015D3B"/>
    <w:rsid w:val="00017AB7"/>
    <w:rsid w:val="00074C39"/>
    <w:rsid w:val="000818A7"/>
    <w:rsid w:val="000C7D2F"/>
    <w:rsid w:val="000D1B61"/>
    <w:rsid w:val="000F4585"/>
    <w:rsid w:val="0010253B"/>
    <w:rsid w:val="001404E6"/>
    <w:rsid w:val="0014383D"/>
    <w:rsid w:val="00144913"/>
    <w:rsid w:val="0019226C"/>
    <w:rsid w:val="001B28BA"/>
    <w:rsid w:val="001C18F3"/>
    <w:rsid w:val="00240A59"/>
    <w:rsid w:val="00257BE3"/>
    <w:rsid w:val="0027731C"/>
    <w:rsid w:val="00300A48"/>
    <w:rsid w:val="00326E74"/>
    <w:rsid w:val="003448D3"/>
    <w:rsid w:val="0037147F"/>
    <w:rsid w:val="0038282A"/>
    <w:rsid w:val="00387380"/>
    <w:rsid w:val="003E262D"/>
    <w:rsid w:val="00415FBF"/>
    <w:rsid w:val="0042298C"/>
    <w:rsid w:val="00446AC5"/>
    <w:rsid w:val="00472BF6"/>
    <w:rsid w:val="00506E24"/>
    <w:rsid w:val="00550EAD"/>
    <w:rsid w:val="00551532"/>
    <w:rsid w:val="00572E9A"/>
    <w:rsid w:val="005B2080"/>
    <w:rsid w:val="005C04E7"/>
    <w:rsid w:val="005E0390"/>
    <w:rsid w:val="005E1693"/>
    <w:rsid w:val="005E7032"/>
    <w:rsid w:val="00626E86"/>
    <w:rsid w:val="006402BB"/>
    <w:rsid w:val="00646360"/>
    <w:rsid w:val="007443F2"/>
    <w:rsid w:val="0075300C"/>
    <w:rsid w:val="007B14C4"/>
    <w:rsid w:val="007B7D91"/>
    <w:rsid w:val="007C4F0A"/>
    <w:rsid w:val="007F526E"/>
    <w:rsid w:val="00807CF7"/>
    <w:rsid w:val="008130AD"/>
    <w:rsid w:val="00853732"/>
    <w:rsid w:val="008A4A1B"/>
    <w:rsid w:val="008A6748"/>
    <w:rsid w:val="008E5840"/>
    <w:rsid w:val="008E5F57"/>
    <w:rsid w:val="009030E4"/>
    <w:rsid w:val="00905929"/>
    <w:rsid w:val="00910870"/>
    <w:rsid w:val="00985336"/>
    <w:rsid w:val="009C2767"/>
    <w:rsid w:val="009E5284"/>
    <w:rsid w:val="00A07284"/>
    <w:rsid w:val="00A3414C"/>
    <w:rsid w:val="00A76181"/>
    <w:rsid w:val="00AD5820"/>
    <w:rsid w:val="00AE2FC4"/>
    <w:rsid w:val="00AF5E02"/>
    <w:rsid w:val="00B01A93"/>
    <w:rsid w:val="00B53741"/>
    <w:rsid w:val="00B64BF5"/>
    <w:rsid w:val="00BA1403"/>
    <w:rsid w:val="00BD2EBC"/>
    <w:rsid w:val="00C15C3F"/>
    <w:rsid w:val="00C17E26"/>
    <w:rsid w:val="00CB512D"/>
    <w:rsid w:val="00CC6F26"/>
    <w:rsid w:val="00CE7097"/>
    <w:rsid w:val="00D1523E"/>
    <w:rsid w:val="00D7102E"/>
    <w:rsid w:val="00D72D2A"/>
    <w:rsid w:val="00DB26D3"/>
    <w:rsid w:val="00E425AC"/>
    <w:rsid w:val="00E50950"/>
    <w:rsid w:val="00E6267F"/>
    <w:rsid w:val="00E75134"/>
    <w:rsid w:val="00E87BD9"/>
    <w:rsid w:val="00E93AC6"/>
    <w:rsid w:val="00EA17B0"/>
    <w:rsid w:val="00EB48C4"/>
    <w:rsid w:val="00F138D6"/>
    <w:rsid w:val="00F140C7"/>
    <w:rsid w:val="00F33706"/>
    <w:rsid w:val="00FB3642"/>
    <w:rsid w:val="00FF4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91"/>
    <w:pPr>
      <w:spacing w:after="0" w:line="240" w:lineRule="auto"/>
    </w:pPr>
    <w:rPr>
      <w:rFonts w:ascii="Times" w:eastAsia="Times" w:hAnsi="Times" w:cs="Times New Roman"/>
      <w:sz w:val="24"/>
      <w:szCs w:val="20"/>
      <w:lang w:val="en-GB" w:eastAsia="en-GB"/>
    </w:rPr>
  </w:style>
  <w:style w:type="paragraph" w:styleId="Heading1">
    <w:name w:val="heading 1"/>
    <w:basedOn w:val="Normal"/>
    <w:next w:val="Normal"/>
    <w:link w:val="Heading1Char"/>
    <w:qFormat/>
    <w:rsid w:val="007B7D91"/>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91"/>
    <w:pPr>
      <w:tabs>
        <w:tab w:val="center" w:pos="4513"/>
        <w:tab w:val="right" w:pos="9026"/>
      </w:tabs>
    </w:pPr>
  </w:style>
  <w:style w:type="character" w:customStyle="1" w:styleId="HeaderChar">
    <w:name w:val="Header Char"/>
    <w:basedOn w:val="DefaultParagraphFont"/>
    <w:link w:val="Header"/>
    <w:uiPriority w:val="99"/>
    <w:rsid w:val="007B7D91"/>
    <w:rPr>
      <w:lang w:val="en-GB"/>
    </w:rPr>
  </w:style>
  <w:style w:type="paragraph" w:styleId="Footer">
    <w:name w:val="footer"/>
    <w:basedOn w:val="Normal"/>
    <w:link w:val="FooterChar"/>
    <w:uiPriority w:val="99"/>
    <w:semiHidden/>
    <w:unhideWhenUsed/>
    <w:rsid w:val="007B7D91"/>
    <w:pPr>
      <w:tabs>
        <w:tab w:val="center" w:pos="4513"/>
        <w:tab w:val="right" w:pos="9026"/>
      </w:tabs>
    </w:pPr>
  </w:style>
  <w:style w:type="character" w:customStyle="1" w:styleId="FooterChar">
    <w:name w:val="Footer Char"/>
    <w:basedOn w:val="DefaultParagraphFont"/>
    <w:link w:val="Footer"/>
    <w:uiPriority w:val="99"/>
    <w:semiHidden/>
    <w:rsid w:val="007B7D91"/>
    <w:rPr>
      <w:lang w:val="en-GB"/>
    </w:rPr>
  </w:style>
  <w:style w:type="character" w:customStyle="1" w:styleId="Heading1Char">
    <w:name w:val="Heading 1 Char"/>
    <w:basedOn w:val="DefaultParagraphFont"/>
    <w:link w:val="Heading1"/>
    <w:rsid w:val="007B7D91"/>
    <w:rPr>
      <w:rFonts w:ascii="Arial Bold" w:eastAsia="Times New Roman" w:hAnsi="Arial Bold" w:cs="Times New Roman"/>
      <w:b/>
      <w:sz w:val="20"/>
      <w:szCs w:val="20"/>
      <w:lang w:val="en-GB" w:eastAsia="en-GB"/>
    </w:rPr>
  </w:style>
  <w:style w:type="character" w:styleId="Strong">
    <w:name w:val="Strong"/>
    <w:basedOn w:val="DefaultParagraphFont"/>
    <w:qFormat/>
    <w:rsid w:val="007B7D91"/>
    <w:rPr>
      <w:b/>
      <w:bCs/>
    </w:rPr>
  </w:style>
  <w:style w:type="paragraph" w:styleId="PlainText">
    <w:name w:val="Plain Text"/>
    <w:basedOn w:val="Normal"/>
    <w:link w:val="PlainTextChar"/>
    <w:uiPriority w:val="99"/>
    <w:unhideWhenUsed/>
    <w:rsid w:val="007B7D91"/>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7B7D91"/>
    <w:rPr>
      <w:rFonts w:ascii="Arial" w:hAnsi="Arial"/>
      <w:sz w:val="20"/>
      <w:szCs w:val="21"/>
      <w:lang w:val="en-GB"/>
    </w:rPr>
  </w:style>
  <w:style w:type="paragraph" w:styleId="ListParagraph">
    <w:name w:val="List Paragraph"/>
    <w:basedOn w:val="Normal"/>
    <w:uiPriority w:val="34"/>
    <w:qFormat/>
    <w:rsid w:val="007B7D91"/>
    <w:pPr>
      <w:ind w:left="720"/>
      <w:contextualSpacing/>
    </w:pPr>
  </w:style>
  <w:style w:type="character" w:styleId="Hyperlink">
    <w:name w:val="Hyperlink"/>
    <w:basedOn w:val="DefaultParagraphFont"/>
    <w:rsid w:val="007B7D91"/>
    <w:rPr>
      <w:color w:val="0000FF"/>
      <w:u w:val="single"/>
    </w:rPr>
  </w:style>
  <w:style w:type="paragraph" w:styleId="BalloonText">
    <w:name w:val="Balloon Text"/>
    <w:basedOn w:val="Normal"/>
    <w:link w:val="BalloonTextChar"/>
    <w:uiPriority w:val="99"/>
    <w:semiHidden/>
    <w:unhideWhenUsed/>
    <w:rsid w:val="007B7D91"/>
    <w:rPr>
      <w:rFonts w:ascii="Tahoma" w:hAnsi="Tahoma" w:cs="Tahoma"/>
      <w:sz w:val="16"/>
      <w:szCs w:val="16"/>
    </w:rPr>
  </w:style>
  <w:style w:type="character" w:customStyle="1" w:styleId="BalloonTextChar">
    <w:name w:val="Balloon Text Char"/>
    <w:basedOn w:val="DefaultParagraphFont"/>
    <w:link w:val="BalloonText"/>
    <w:uiPriority w:val="99"/>
    <w:semiHidden/>
    <w:rsid w:val="007B7D91"/>
    <w:rPr>
      <w:rFonts w:ascii="Tahoma" w:eastAsia="Times" w:hAnsi="Tahoma" w:cs="Tahoma"/>
      <w:sz w:val="16"/>
      <w:szCs w:val="16"/>
      <w:lang w:val="en-GB" w:eastAsia="en-GB"/>
    </w:rPr>
  </w:style>
  <w:style w:type="character" w:styleId="CommentReference">
    <w:name w:val="annotation reference"/>
    <w:basedOn w:val="DefaultParagraphFont"/>
    <w:uiPriority w:val="99"/>
    <w:semiHidden/>
    <w:unhideWhenUsed/>
    <w:rsid w:val="00E7513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483561">
      <w:bodyDiv w:val="1"/>
      <w:marLeft w:val="0"/>
      <w:marRight w:val="0"/>
      <w:marTop w:val="0"/>
      <w:marBottom w:val="0"/>
      <w:divBdr>
        <w:top w:val="none" w:sz="0" w:space="0" w:color="auto"/>
        <w:left w:val="none" w:sz="0" w:space="0" w:color="auto"/>
        <w:bottom w:val="none" w:sz="0" w:space="0" w:color="auto"/>
        <w:right w:val="none" w:sz="0" w:space="0" w:color="auto"/>
      </w:divBdr>
    </w:div>
    <w:div w:id="1510290731">
      <w:bodyDiv w:val="1"/>
      <w:marLeft w:val="0"/>
      <w:marRight w:val="0"/>
      <w:marTop w:val="0"/>
      <w:marBottom w:val="0"/>
      <w:divBdr>
        <w:top w:val="none" w:sz="0" w:space="0" w:color="auto"/>
        <w:left w:val="none" w:sz="0" w:space="0" w:color="auto"/>
        <w:bottom w:val="none" w:sz="0" w:space="0" w:color="auto"/>
        <w:right w:val="none" w:sz="0" w:space="0" w:color="auto"/>
      </w:divBdr>
    </w:div>
    <w:div w:id="1546718527">
      <w:bodyDiv w:val="1"/>
      <w:marLeft w:val="0"/>
      <w:marRight w:val="0"/>
      <w:marTop w:val="0"/>
      <w:marBottom w:val="0"/>
      <w:divBdr>
        <w:top w:val="none" w:sz="0" w:space="0" w:color="auto"/>
        <w:left w:val="none" w:sz="0" w:space="0" w:color="auto"/>
        <w:bottom w:val="none" w:sz="0" w:space="0" w:color="auto"/>
        <w:right w:val="none" w:sz="0" w:space="0" w:color="auto"/>
      </w:divBdr>
    </w:div>
    <w:div w:id="20286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lawrence@smmt.co.uk" TargetMode="External"/><Relationship Id="rId1" Type="http://schemas.openxmlformats.org/officeDocument/2006/relationships/hyperlink" Target="http://www.smmt.co.uk/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ENGINES\UK%20engine%20produc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153301386569104"/>
          <c:y val="0.11402463316969745"/>
          <c:w val="0.83030750417561439"/>
          <c:h val="0.73560068673063561"/>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'PR-12MONTH-charts'!$C$3:$BW$3</c:f>
              <c:numCache>
                <c:formatCode>General</c:formatCode>
                <c:ptCount val="73"/>
                <c:pt idx="0">
                  <c:v>2008</c:v>
                </c:pt>
                <c:pt idx="12">
                  <c:v>2009</c:v>
                </c:pt>
                <c:pt idx="24">
                  <c:v>2010</c:v>
                </c:pt>
                <c:pt idx="36">
                  <c:v>2011</c:v>
                </c:pt>
                <c:pt idx="48">
                  <c:v>2012</c:v>
                </c:pt>
                <c:pt idx="60">
                  <c:v>2013</c:v>
                </c:pt>
                <c:pt idx="72">
                  <c:v>2014</c:v>
                </c:pt>
              </c:numCache>
            </c:numRef>
          </c:cat>
          <c:val>
            <c:numRef>
              <c:f>'PR-12MONTH-charts'!$C$4:$BV$4</c:f>
              <c:numCache>
                <c:formatCode>General</c:formatCode>
                <c:ptCount val="72"/>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1009.3649999999994</c:v>
                </c:pt>
                <c:pt idx="19">
                  <c:v>983.24400000000003</c:v>
                </c:pt>
                <c:pt idx="20">
                  <c:v>960.25400000000002</c:v>
                </c:pt>
                <c:pt idx="21">
                  <c:v>952.62300000000005</c:v>
                </c:pt>
                <c:pt idx="22">
                  <c:v>967.9669999999993</c:v>
                </c:pt>
                <c:pt idx="23">
                  <c:v>999.45999999999947</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1464.9060000000011</c:v>
                </c:pt>
                <c:pt idx="60">
                  <c:v>1466.4050000000011</c:v>
                </c:pt>
                <c:pt idx="61">
                  <c:v>1465.3799999999999</c:v>
                </c:pt>
                <c:pt idx="62">
                  <c:v>1456.8969999999999</c:v>
                </c:pt>
                <c:pt idx="63">
                  <c:v>1472.578</c:v>
                </c:pt>
              </c:numCache>
            </c:numRef>
          </c:val>
        </c:ser>
        <c:ser>
          <c:idx val="1"/>
          <c:order val="1"/>
          <c:tx>
            <c:strRef>
              <c:f>'PR-12MONTH-charts'!$B$5</c:f>
              <c:strCache>
                <c:ptCount val="1"/>
                <c:pt idx="0">
                  <c:v>Car Exports</c:v>
                </c:pt>
              </c:strCache>
            </c:strRef>
          </c:tx>
          <c:spPr>
            <a:ln>
              <a:solidFill>
                <a:schemeClr val="tx2">
                  <a:lumMod val="40000"/>
                  <a:lumOff val="60000"/>
                </a:schemeClr>
              </a:solidFill>
            </a:ln>
          </c:spPr>
          <c:marker>
            <c:symbol val="none"/>
          </c:marker>
          <c:cat>
            <c:numRef>
              <c:f>'PR-12MONTH-charts'!$C$3:$BW$3</c:f>
              <c:numCache>
                <c:formatCode>General</c:formatCode>
                <c:ptCount val="73"/>
                <c:pt idx="0">
                  <c:v>2008</c:v>
                </c:pt>
                <c:pt idx="12">
                  <c:v>2009</c:v>
                </c:pt>
                <c:pt idx="24">
                  <c:v>2010</c:v>
                </c:pt>
                <c:pt idx="36">
                  <c:v>2011</c:v>
                </c:pt>
                <c:pt idx="48">
                  <c:v>2012</c:v>
                </c:pt>
                <c:pt idx="60">
                  <c:v>2013</c:v>
                </c:pt>
                <c:pt idx="72">
                  <c:v>2014</c:v>
                </c:pt>
              </c:numCache>
            </c:numRef>
          </c:cat>
          <c:val>
            <c:numRef>
              <c:f>'PR-12MONTH-charts'!$C$5:$BV$5</c:f>
              <c:numCache>
                <c:formatCode>General</c:formatCode>
                <c:ptCount val="72"/>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1003.4599999999995</c:v>
                </c:pt>
                <c:pt idx="14">
                  <c:v>951.97</c:v>
                </c:pt>
                <c:pt idx="15">
                  <c:v>887.52599999999939</c:v>
                </c:pt>
                <c:pt idx="16">
                  <c:v>848.56499999999949</c:v>
                </c:pt>
                <c:pt idx="17">
                  <c:v>819.971</c:v>
                </c:pt>
                <c:pt idx="18">
                  <c:v>801.24800000000005</c:v>
                </c:pt>
                <c:pt idx="19">
                  <c:v>778.755</c:v>
                </c:pt>
                <c:pt idx="20">
                  <c:v>743.75099999999998</c:v>
                </c:pt>
                <c:pt idx="21">
                  <c:v>737.03599999999949</c:v>
                </c:pt>
                <c:pt idx="22">
                  <c:v>742.12099999999998</c:v>
                </c:pt>
                <c:pt idx="23">
                  <c:v>762.23400000000004</c:v>
                </c:pt>
                <c:pt idx="24">
                  <c:v>784.01499999999999</c:v>
                </c:pt>
                <c:pt idx="25">
                  <c:v>807.88</c:v>
                </c:pt>
                <c:pt idx="26">
                  <c:v>846.79900000000055</c:v>
                </c:pt>
                <c:pt idx="27">
                  <c:v>862.95899999999949</c:v>
                </c:pt>
                <c:pt idx="28">
                  <c:v>883.37900000000002</c:v>
                </c:pt>
                <c:pt idx="29">
                  <c:v>895.63599999999997</c:v>
                </c:pt>
                <c:pt idx="30">
                  <c:v>886.52199999999948</c:v>
                </c:pt>
                <c:pt idx="31">
                  <c:v>905.96299999999917</c:v>
                </c:pt>
                <c:pt idx="32">
                  <c:v>922.69299999999998</c:v>
                </c:pt>
                <c:pt idx="33">
                  <c:v>928.33599999999944</c:v>
                </c:pt>
                <c:pt idx="34">
                  <c:v>946.99900000000002</c:v>
                </c:pt>
                <c:pt idx="35">
                  <c:v>961.42</c:v>
                </c:pt>
                <c:pt idx="36">
                  <c:v>982.45899999999949</c:v>
                </c:pt>
                <c:pt idx="37">
                  <c:v>1005.0119999999994</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1199.9050000000011</c:v>
                </c:pt>
                <c:pt idx="54">
                  <c:v>1217.319</c:v>
                </c:pt>
                <c:pt idx="55">
                  <c:v>1211.8429999999998</c:v>
                </c:pt>
                <c:pt idx="56">
                  <c:v>1201.8389999999999</c:v>
                </c:pt>
                <c:pt idx="57">
                  <c:v>1207.1309999999999</c:v>
                </c:pt>
                <c:pt idx="58">
                  <c:v>1208.587</c:v>
                </c:pt>
                <c:pt idx="59">
                  <c:v>1211.7660000000001</c:v>
                </c:pt>
                <c:pt idx="60">
                  <c:v>1207.7139999999999</c:v>
                </c:pt>
                <c:pt idx="61">
                  <c:v>1196.6659999999999</c:v>
                </c:pt>
                <c:pt idx="62">
                  <c:v>1187.7809999999999</c:v>
                </c:pt>
                <c:pt idx="63">
                  <c:v>1194.5999999999999</c:v>
                </c:pt>
              </c:numCache>
            </c:numRef>
          </c:val>
        </c:ser>
        <c:marker val="1"/>
        <c:axId val="91067136"/>
        <c:axId val="91068672"/>
      </c:lineChart>
      <c:catAx>
        <c:axId val="9106713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1068672"/>
        <c:crosses val="autoZero"/>
        <c:auto val="1"/>
        <c:lblAlgn val="ctr"/>
        <c:lblOffset val="100"/>
        <c:tickMarkSkip val="12"/>
      </c:catAx>
      <c:valAx>
        <c:axId val="91068672"/>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manualLayout>
              <c:xMode val="edge"/>
              <c:yMode val="edge"/>
              <c:x val="1.6748853363026606E-2"/>
              <c:y val="0.41056633331757791"/>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1067136"/>
        <c:crosses val="autoZero"/>
        <c:crossBetween val="between"/>
      </c:valAx>
    </c:plotArea>
    <c:legend>
      <c:legendPos val="r"/>
      <c:layout>
        <c:manualLayout>
          <c:xMode val="edge"/>
          <c:yMode val="edge"/>
          <c:x val="4.6204769379026719E-2"/>
          <c:y val="1.7857173997583013E-2"/>
          <c:w val="0.93729675026025638"/>
          <c:h val="0.1000001743864649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0643566294648975"/>
          <c:y val="0.13010425780110821"/>
          <c:w val="0.84159856764738761"/>
          <c:h val="0.71952136191309424"/>
        </c:manualLayout>
      </c:layout>
      <c:lineChart>
        <c:grouping val="standard"/>
        <c:ser>
          <c:idx val="0"/>
          <c:order val="0"/>
          <c:tx>
            <c:strRef>
              <c:f>'PR-12MONTH-charts'!$B$9</c:f>
              <c:strCache>
                <c:ptCount val="1"/>
                <c:pt idx="0">
                  <c:v>Total CV</c:v>
                </c:pt>
              </c:strCache>
            </c:strRef>
          </c:tx>
          <c:spPr>
            <a:ln>
              <a:solidFill>
                <a:schemeClr val="tx2">
                  <a:lumMod val="75000"/>
                </a:schemeClr>
              </a:solidFill>
            </a:ln>
          </c:spPr>
          <c:marker>
            <c:symbol val="none"/>
          </c:marker>
          <c:cat>
            <c:numRef>
              <c:f>'PR-12MONTH-charts'!$C$8:$BV$8</c:f>
              <c:numCache>
                <c:formatCode>General</c:formatCode>
                <c:ptCount val="72"/>
                <c:pt idx="0">
                  <c:v>2008</c:v>
                </c:pt>
                <c:pt idx="12">
                  <c:v>2009</c:v>
                </c:pt>
                <c:pt idx="24">
                  <c:v>2010</c:v>
                </c:pt>
                <c:pt idx="36">
                  <c:v>2011</c:v>
                </c:pt>
                <c:pt idx="48">
                  <c:v>2012</c:v>
                </c:pt>
                <c:pt idx="60">
                  <c:v>2013</c:v>
                </c:pt>
              </c:numCache>
            </c:numRef>
          </c:cat>
          <c:val>
            <c:numRef>
              <c:f>'PR-12MONTH-charts'!$C$9:$BV$9</c:f>
              <c:numCache>
                <c:formatCode>General</c:formatCode>
                <c:ptCount val="72"/>
                <c:pt idx="0">
                  <c:v>216.93200000000004</c:v>
                </c:pt>
                <c:pt idx="1">
                  <c:v>220.09</c:v>
                </c:pt>
                <c:pt idx="2">
                  <c:v>218.60499999999999</c:v>
                </c:pt>
                <c:pt idx="3">
                  <c:v>224.066</c:v>
                </c:pt>
                <c:pt idx="4">
                  <c:v>224.81300000000002</c:v>
                </c:pt>
                <c:pt idx="5">
                  <c:v>227.24299999999999</c:v>
                </c:pt>
                <c:pt idx="6">
                  <c:v>234.255</c:v>
                </c:pt>
                <c:pt idx="7">
                  <c:v>230.57899999999998</c:v>
                </c:pt>
                <c:pt idx="8">
                  <c:v>231.30100000000004</c:v>
                </c:pt>
                <c:pt idx="9">
                  <c:v>222.191</c:v>
                </c:pt>
                <c:pt idx="10">
                  <c:v>211.12800000000001</c:v>
                </c:pt>
                <c:pt idx="11">
                  <c:v>202.89600000000004</c:v>
                </c:pt>
                <c:pt idx="12">
                  <c:v>190.40700000000001</c:v>
                </c:pt>
                <c:pt idx="13">
                  <c:v>175.62800000000001</c:v>
                </c:pt>
                <c:pt idx="14">
                  <c:v>164.89700000000013</c:v>
                </c:pt>
                <c:pt idx="15">
                  <c:v>150.56800000000001</c:v>
                </c:pt>
                <c:pt idx="16">
                  <c:v>137.55800000000013</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103.93400000000007</c:v>
                </c:pt>
                <c:pt idx="28">
                  <c:v>109.98699999999999</c:v>
                </c:pt>
                <c:pt idx="29">
                  <c:v>112.111</c:v>
                </c:pt>
                <c:pt idx="30">
                  <c:v>113.232</c:v>
                </c:pt>
                <c:pt idx="31">
                  <c:v>114.29600000000002</c:v>
                </c:pt>
                <c:pt idx="32">
                  <c:v>115.91900000000007</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115.91700000000007</c:v>
                </c:pt>
                <c:pt idx="56">
                  <c:v>113.47799999999999</c:v>
                </c:pt>
                <c:pt idx="57">
                  <c:v>114.04</c:v>
                </c:pt>
                <c:pt idx="58">
                  <c:v>113.634</c:v>
                </c:pt>
                <c:pt idx="59">
                  <c:v>112.039</c:v>
                </c:pt>
                <c:pt idx="60">
                  <c:v>110.01700000000002</c:v>
                </c:pt>
                <c:pt idx="61">
                  <c:v>108.367</c:v>
                </c:pt>
                <c:pt idx="62">
                  <c:v>106.52200000000001</c:v>
                </c:pt>
                <c:pt idx="63">
                  <c:v>106.232</c:v>
                </c:pt>
              </c:numCache>
            </c:numRef>
          </c:val>
        </c:ser>
        <c:ser>
          <c:idx val="1"/>
          <c:order val="1"/>
          <c:tx>
            <c:strRef>
              <c:f>'PR-12MONTH-charts'!$B$10</c:f>
              <c:strCache>
                <c:ptCount val="1"/>
                <c:pt idx="0">
                  <c:v>CV Exports</c:v>
                </c:pt>
              </c:strCache>
            </c:strRef>
          </c:tx>
          <c:spPr>
            <a:ln>
              <a:solidFill>
                <a:schemeClr val="tx2">
                  <a:lumMod val="40000"/>
                  <a:lumOff val="60000"/>
                </a:schemeClr>
              </a:solidFill>
            </a:ln>
          </c:spPr>
          <c:marker>
            <c:symbol val="none"/>
          </c:marker>
          <c:cat>
            <c:numRef>
              <c:f>'PR-12MONTH-charts'!$C$8:$BV$8</c:f>
              <c:numCache>
                <c:formatCode>General</c:formatCode>
                <c:ptCount val="72"/>
                <c:pt idx="0">
                  <c:v>2008</c:v>
                </c:pt>
                <c:pt idx="12">
                  <c:v>2009</c:v>
                </c:pt>
                <c:pt idx="24">
                  <c:v>2010</c:v>
                </c:pt>
                <c:pt idx="36">
                  <c:v>2011</c:v>
                </c:pt>
                <c:pt idx="48">
                  <c:v>2012</c:v>
                </c:pt>
                <c:pt idx="60">
                  <c:v>2013</c:v>
                </c:pt>
              </c:numCache>
            </c:numRef>
          </c:cat>
          <c:val>
            <c:numRef>
              <c:f>'PR-12MONTH-charts'!$C$10:$BV$10</c:f>
              <c:numCache>
                <c:formatCode>General</c:formatCode>
                <c:ptCount val="72"/>
                <c:pt idx="0">
                  <c:v>132.43900000000002</c:v>
                </c:pt>
                <c:pt idx="1">
                  <c:v>134.09800000000001</c:v>
                </c:pt>
                <c:pt idx="2">
                  <c:v>133.68700000000001</c:v>
                </c:pt>
                <c:pt idx="3">
                  <c:v>137.15700000000001</c:v>
                </c:pt>
                <c:pt idx="4">
                  <c:v>138.565</c:v>
                </c:pt>
                <c:pt idx="5">
                  <c:v>140.45400000000001</c:v>
                </c:pt>
                <c:pt idx="6">
                  <c:v>143.67099999999999</c:v>
                </c:pt>
                <c:pt idx="7">
                  <c:v>141.946</c:v>
                </c:pt>
                <c:pt idx="8">
                  <c:v>142.72899999999998</c:v>
                </c:pt>
                <c:pt idx="9">
                  <c:v>136.85100000000014</c:v>
                </c:pt>
                <c:pt idx="10">
                  <c:v>130.52600000000001</c:v>
                </c:pt>
                <c:pt idx="11">
                  <c:v>125.611</c:v>
                </c:pt>
                <c:pt idx="12">
                  <c:v>119.71899999999999</c:v>
                </c:pt>
                <c:pt idx="13">
                  <c:v>112.473</c:v>
                </c:pt>
                <c:pt idx="14">
                  <c:v>106.93700000000007</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70.181999999999988</c:v>
                </c:pt>
                <c:pt idx="26">
                  <c:v>72.653999999999982</c:v>
                </c:pt>
                <c:pt idx="27">
                  <c:v>73.804999999999993</c:v>
                </c:pt>
                <c:pt idx="28">
                  <c:v>77.438000000000002</c:v>
                </c:pt>
                <c:pt idx="29">
                  <c:v>78.872999999999948</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69.375999999999948</c:v>
                </c:pt>
                <c:pt idx="48">
                  <c:v>69.414000000000087</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61.580999999999996</c:v>
                </c:pt>
                <c:pt idx="61">
                  <c:v>59.826000000000001</c:v>
                </c:pt>
                <c:pt idx="62">
                  <c:v>57.596000000000011</c:v>
                </c:pt>
                <c:pt idx="63">
                  <c:v>56.54</c:v>
                </c:pt>
              </c:numCache>
            </c:numRef>
          </c:val>
        </c:ser>
        <c:marker val="1"/>
        <c:axId val="103540608"/>
        <c:axId val="103542144"/>
      </c:lineChart>
      <c:catAx>
        <c:axId val="103540608"/>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103542144"/>
        <c:crosses val="autoZero"/>
        <c:auto val="1"/>
        <c:lblAlgn val="ctr"/>
        <c:lblOffset val="100"/>
        <c:tickMarkSkip val="12"/>
      </c:catAx>
      <c:valAx>
        <c:axId val="103542144"/>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manualLayout>
              <c:xMode val="edge"/>
              <c:yMode val="edge"/>
              <c:x val="1.6557262383469138E-2"/>
              <c:y val="0.40926397825742822"/>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03540608"/>
        <c:crosses val="autoZero"/>
        <c:crossBetween val="between"/>
        <c:majorUnit val="50"/>
      </c:valAx>
    </c:plotArea>
    <c:legend>
      <c:legendPos val="r"/>
      <c:layout>
        <c:manualLayout>
          <c:xMode val="edge"/>
          <c:yMode val="edge"/>
          <c:x val="4.8110127087786884E-2"/>
          <c:y val="2.8571478396132787E-2"/>
          <c:w val="0.93814747821184463"/>
          <c:h val="0.1000001743864649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9.9397657901535652E-2"/>
          <c:y val="0.15788203557888641"/>
          <c:w val="0.86248174043881465"/>
          <c:h val="0.72613808690580361"/>
        </c:manualLayout>
      </c:layout>
      <c:lineChart>
        <c:grouping val="standard"/>
        <c:ser>
          <c:idx val="0"/>
          <c:order val="0"/>
          <c:tx>
            <c:strRef>
              <c:f>chart!$B$2</c:f>
              <c:strCache>
                <c:ptCount val="1"/>
                <c:pt idx="0">
                  <c:v>Total</c:v>
                </c:pt>
              </c:strCache>
            </c:strRef>
          </c:tx>
          <c:spPr>
            <a:ln w="38100">
              <a:solidFill>
                <a:srgbClr val="0D2255"/>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chart!$C$2:$AX$2</c:f>
              <c:numCache>
                <c:formatCode>#,##0.00</c:formatCode>
                <c:ptCount val="48"/>
                <c:pt idx="0">
                  <c:v>2.0936689999999976</c:v>
                </c:pt>
                <c:pt idx="1">
                  <c:v>2.1673529999999999</c:v>
                </c:pt>
                <c:pt idx="2">
                  <c:v>2.2385760000000001</c:v>
                </c:pt>
                <c:pt idx="3">
                  <c:v>2.2937710000000022</c:v>
                </c:pt>
                <c:pt idx="4">
                  <c:v>2.3481730000000001</c:v>
                </c:pt>
                <c:pt idx="5">
                  <c:v>2.3845499999999977</c:v>
                </c:pt>
                <c:pt idx="6">
                  <c:v>2.3782029999999974</c:v>
                </c:pt>
                <c:pt idx="7">
                  <c:v>2.3936139999999977</c:v>
                </c:pt>
                <c:pt idx="8">
                  <c:v>2.396630999999998</c:v>
                </c:pt>
                <c:pt idx="9">
                  <c:v>2.3848429999999974</c:v>
                </c:pt>
                <c:pt idx="10">
                  <c:v>2.388887</c:v>
                </c:pt>
                <c:pt idx="11">
                  <c:v>2.386717</c:v>
                </c:pt>
                <c:pt idx="12">
                  <c:v>2.4098589999999969</c:v>
                </c:pt>
                <c:pt idx="13">
                  <c:v>2.4301189999999977</c:v>
                </c:pt>
                <c:pt idx="14">
                  <c:v>2.44537</c:v>
                </c:pt>
                <c:pt idx="15">
                  <c:v>2.4359329999999977</c:v>
                </c:pt>
                <c:pt idx="16">
                  <c:v>2.4441280000000001</c:v>
                </c:pt>
                <c:pt idx="17">
                  <c:v>2.445913</c:v>
                </c:pt>
                <c:pt idx="18">
                  <c:v>2.44516</c:v>
                </c:pt>
                <c:pt idx="19">
                  <c:v>2.461856999999998</c:v>
                </c:pt>
                <c:pt idx="20">
                  <c:v>2.4769179999999977</c:v>
                </c:pt>
                <c:pt idx="21">
                  <c:v>2.5022799999999976</c:v>
                </c:pt>
                <c:pt idx="22">
                  <c:v>2.5061089999999977</c:v>
                </c:pt>
                <c:pt idx="23">
                  <c:v>2.504054</c:v>
                </c:pt>
                <c:pt idx="24">
                  <c:v>2.5191719999999997</c:v>
                </c:pt>
                <c:pt idx="25">
                  <c:v>2.5322879999999977</c:v>
                </c:pt>
                <c:pt idx="26">
                  <c:v>2.5165689999999974</c:v>
                </c:pt>
                <c:pt idx="27">
                  <c:v>2.5188459999999964</c:v>
                </c:pt>
                <c:pt idx="28">
                  <c:v>2.5475650000000001</c:v>
                </c:pt>
                <c:pt idx="29">
                  <c:v>2.5113129999999977</c:v>
                </c:pt>
                <c:pt idx="30">
                  <c:v>2.5116759999999969</c:v>
                </c:pt>
                <c:pt idx="31">
                  <c:v>2.5281989999999999</c:v>
                </c:pt>
                <c:pt idx="32">
                  <c:v>2.4969809999999977</c:v>
                </c:pt>
                <c:pt idx="33">
                  <c:v>2.499743999999998</c:v>
                </c:pt>
                <c:pt idx="34">
                  <c:v>2.4965789999999974</c:v>
                </c:pt>
                <c:pt idx="35">
                  <c:v>2.495371</c:v>
                </c:pt>
                <c:pt idx="36">
                  <c:v>2.483603</c:v>
                </c:pt>
                <c:pt idx="37">
                  <c:v>2.4718859999999974</c:v>
                </c:pt>
                <c:pt idx="38">
                  <c:v>2.4578799999999976</c:v>
                </c:pt>
                <c:pt idx="39">
                  <c:v>2.4769239999999977</c:v>
                </c:pt>
              </c:numCache>
            </c:numRef>
          </c:val>
        </c:ser>
        <c:ser>
          <c:idx val="1"/>
          <c:order val="1"/>
          <c:tx>
            <c:strRef>
              <c:f>chart!$B$3</c:f>
              <c:strCache>
                <c:ptCount val="1"/>
                <c:pt idx="0">
                  <c:v>Export</c:v>
                </c:pt>
              </c:strCache>
            </c:strRef>
          </c:tx>
          <c:spPr>
            <a:ln w="25400">
              <a:solidFill>
                <a:schemeClr val="tx2">
                  <a:lumMod val="60000"/>
                  <a:lumOff val="40000"/>
                </a:schemeClr>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chart!$C$3:$AX$3</c:f>
              <c:numCache>
                <c:formatCode>#,##0.00</c:formatCode>
                <c:ptCount val="48"/>
                <c:pt idx="0">
                  <c:v>1.5503020000000001</c:v>
                </c:pt>
                <c:pt idx="1">
                  <c:v>1.6003270000000001</c:v>
                </c:pt>
                <c:pt idx="2">
                  <c:v>1.6457299999999988</c:v>
                </c:pt>
                <c:pt idx="3">
                  <c:v>1.681225</c:v>
                </c:pt>
                <c:pt idx="4">
                  <c:v>1.7095739999999988</c:v>
                </c:pt>
                <c:pt idx="5">
                  <c:v>1.7311929999999998</c:v>
                </c:pt>
                <c:pt idx="6">
                  <c:v>1.7318269999999985</c:v>
                </c:pt>
                <c:pt idx="7">
                  <c:v>1.7392089999999998</c:v>
                </c:pt>
                <c:pt idx="8">
                  <c:v>1.738567</c:v>
                </c:pt>
                <c:pt idx="9">
                  <c:v>1.728032</c:v>
                </c:pt>
                <c:pt idx="10">
                  <c:v>1.7272879999999999</c:v>
                </c:pt>
                <c:pt idx="11">
                  <c:v>1.7214899999999989</c:v>
                </c:pt>
                <c:pt idx="12">
                  <c:v>1.7377219999999982</c:v>
                </c:pt>
                <c:pt idx="13">
                  <c:v>1.7388399999999988</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1.7459959999999988</c:v>
                </c:pt>
                <c:pt idx="26">
                  <c:v>1.7228899999999998</c:v>
                </c:pt>
                <c:pt idx="27">
                  <c:v>1.697802</c:v>
                </c:pt>
                <c:pt idx="28">
                  <c:v>1.686644</c:v>
                </c:pt>
                <c:pt idx="29">
                  <c:v>1.6401820000000011</c:v>
                </c:pt>
                <c:pt idx="30">
                  <c:v>1.6186020000000001</c:v>
                </c:pt>
                <c:pt idx="31">
                  <c:v>1.61758</c:v>
                </c:pt>
                <c:pt idx="32">
                  <c:v>1.5791739999999999</c:v>
                </c:pt>
                <c:pt idx="33">
                  <c:v>1.569083</c:v>
                </c:pt>
                <c:pt idx="34">
                  <c:v>1.556332</c:v>
                </c:pt>
                <c:pt idx="35">
                  <c:v>1.554208</c:v>
                </c:pt>
                <c:pt idx="36">
                  <c:v>1.5401309999999999</c:v>
                </c:pt>
                <c:pt idx="37">
                  <c:v>1.5299759999999998</c:v>
                </c:pt>
                <c:pt idx="38">
                  <c:v>1.5101869999999999</c:v>
                </c:pt>
                <c:pt idx="39">
                  <c:v>1.5116649999999987</c:v>
                </c:pt>
              </c:numCache>
            </c:numRef>
          </c:val>
        </c:ser>
        <c:marker val="1"/>
        <c:axId val="106977152"/>
        <c:axId val="106978688"/>
      </c:lineChart>
      <c:catAx>
        <c:axId val="106977152"/>
        <c:scaling>
          <c:orientation val="minMax"/>
        </c:scaling>
        <c:axPos val="b"/>
        <c:tickLblPos val="nextTo"/>
        <c:crossAx val="106978688"/>
        <c:crosses val="autoZero"/>
        <c:auto val="1"/>
        <c:lblAlgn val="ctr"/>
        <c:lblOffset val="100"/>
        <c:tickLblSkip val="12"/>
        <c:tickMarkSkip val="12"/>
      </c:catAx>
      <c:valAx>
        <c:axId val="106978688"/>
        <c:scaling>
          <c:orientation val="minMax"/>
          <c:max val="2.6"/>
          <c:min val="1.4"/>
        </c:scaling>
        <c:axPos val="l"/>
        <c:majorGridlines/>
        <c:title>
          <c:tx>
            <c:rich>
              <a:bodyPr rot="-5400000" vert="horz"/>
              <a:lstStyle/>
              <a:p>
                <a:pPr>
                  <a:defRPr/>
                </a:pPr>
                <a:r>
                  <a:rPr lang="en-US"/>
                  <a:t>Millions</a:t>
                </a:r>
              </a:p>
            </c:rich>
          </c:tx>
          <c:layout>
            <c:manualLayout>
              <c:xMode val="edge"/>
              <c:yMode val="edge"/>
              <c:x val="1.0541557305336881E-2"/>
              <c:y val="0.40222404491105285"/>
            </c:manualLayout>
          </c:layout>
        </c:title>
        <c:numFmt formatCode="#,##0.0" sourceLinked="0"/>
        <c:tickLblPos val="nextTo"/>
        <c:crossAx val="106977152"/>
        <c:crosses val="autoZero"/>
        <c:crossBetween val="between"/>
        <c:majorUnit val="0.2"/>
      </c:valAx>
    </c:plotArea>
    <c:legend>
      <c:legendPos val="r"/>
      <c:layout>
        <c:manualLayout>
          <c:xMode val="edge"/>
          <c:yMode val="edge"/>
          <c:x val="0.23450000000000004"/>
          <c:y val="3.2023549139690875E-2"/>
          <c:w val="0.4849444444444454"/>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lawrek</cp:lastModifiedBy>
  <cp:revision>2</cp:revision>
  <cp:lastPrinted>2013-05-15T14:40:00Z</cp:lastPrinted>
  <dcterms:created xsi:type="dcterms:W3CDTF">2013-05-16T08:02:00Z</dcterms:created>
  <dcterms:modified xsi:type="dcterms:W3CDTF">2013-05-16T08:02:00Z</dcterms:modified>
</cp:coreProperties>
</file>