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7C4C5E" w:rsidRDefault="005D40D2" w:rsidP="00FD59F4">
      <w:pPr>
        <w:pStyle w:val="Heading1"/>
        <w:ind w:right="142"/>
      </w:pPr>
      <w:r>
        <w:rPr>
          <w:rFonts w:ascii="Arial" w:eastAsiaTheme="minorEastAsia" w:hAnsi="Arial" w:cs="Arial"/>
          <w:b w:val="0"/>
          <w:bCs/>
          <w:color w:val="1074CB"/>
          <w:sz w:val="44"/>
          <w:szCs w:val="44"/>
        </w:rPr>
        <w:t>2</w:t>
      </w:r>
      <w:r w:rsidR="00841D03">
        <w:rPr>
          <w:rFonts w:ascii="Arial" w:eastAsiaTheme="minorEastAsia" w:hAnsi="Arial" w:cs="Arial"/>
          <w:b w:val="0"/>
          <w:bCs/>
          <w:color w:val="1074CB"/>
          <w:sz w:val="44"/>
          <w:szCs w:val="44"/>
        </w:rPr>
        <w:t>8</w:t>
      </w:r>
      <w:r w:rsidR="005D63A7" w:rsidRPr="007C4C5E">
        <w:rPr>
          <w:rFonts w:ascii="Arial" w:eastAsiaTheme="minorEastAsia" w:hAnsi="Arial" w:cs="Arial"/>
          <w:b w:val="0"/>
          <w:bCs/>
          <w:color w:val="1074CB"/>
          <w:sz w:val="44"/>
          <w:szCs w:val="44"/>
        </w:rPr>
        <w:t xml:space="preserve"> </w:t>
      </w:r>
      <w:r w:rsidR="00841D03">
        <w:rPr>
          <w:rFonts w:ascii="Arial" w:eastAsiaTheme="minorEastAsia" w:hAnsi="Arial" w:cs="Arial"/>
          <w:b w:val="0"/>
          <w:bCs/>
          <w:color w:val="1074CB"/>
          <w:sz w:val="44"/>
          <w:szCs w:val="44"/>
        </w:rPr>
        <w:t>May</w:t>
      </w:r>
      <w:r w:rsidR="00D45EFE" w:rsidRPr="007C4C5E">
        <w:rPr>
          <w:rFonts w:ascii="Arial" w:eastAsiaTheme="minorEastAsia" w:hAnsi="Arial" w:cs="Arial"/>
          <w:b w:val="0"/>
          <w:bCs/>
          <w:color w:val="1074CB"/>
          <w:sz w:val="44"/>
          <w:szCs w:val="44"/>
        </w:rPr>
        <w:t xml:space="preserve"> </w:t>
      </w:r>
      <w:r w:rsidR="00FD59F4" w:rsidRPr="007C4C5E">
        <w:rPr>
          <w:rFonts w:ascii="Arial" w:eastAsiaTheme="minorEastAsia" w:hAnsi="Arial" w:cs="Arial"/>
          <w:b w:val="0"/>
          <w:bCs/>
          <w:color w:val="1074CB"/>
          <w:sz w:val="44"/>
          <w:szCs w:val="44"/>
        </w:rPr>
        <w:t>201</w:t>
      </w:r>
      <w:r w:rsidR="007C4C5E">
        <w:rPr>
          <w:rFonts w:ascii="Arial" w:eastAsiaTheme="minorEastAsia" w:hAnsi="Arial" w:cs="Arial"/>
          <w:b w:val="0"/>
          <w:bCs/>
          <w:color w:val="1074CB"/>
          <w:sz w:val="44"/>
          <w:szCs w:val="44"/>
        </w:rPr>
        <w:t>5</w:t>
      </w:r>
      <w:r w:rsidR="00FD59F4" w:rsidRPr="007C4C5E">
        <w:rPr>
          <w:rFonts w:ascii="Arial" w:eastAsiaTheme="minorEastAsia" w:hAnsi="Arial" w:cs="Arial"/>
          <w:bCs/>
          <w:color w:val="FF0000"/>
          <w:sz w:val="44"/>
          <w:szCs w:val="44"/>
        </w:rPr>
        <w:t xml:space="preserve"> </w:t>
      </w:r>
      <w:r w:rsidR="00FD59F4" w:rsidRPr="007C4C5E">
        <w:rPr>
          <w:rFonts w:ascii="Arial" w:eastAsiaTheme="minorEastAsia" w:hAnsi="Arial" w:cs="Arial"/>
          <w:b w:val="0"/>
          <w:bCs/>
          <w:color w:val="1074CB"/>
          <w:sz w:val="28"/>
          <w:szCs w:val="28"/>
        </w:rPr>
        <w:t xml:space="preserve">(data for </w:t>
      </w:r>
      <w:r w:rsidR="00841D03">
        <w:rPr>
          <w:rFonts w:ascii="Arial" w:eastAsiaTheme="minorEastAsia" w:hAnsi="Arial" w:cs="Arial"/>
          <w:b w:val="0"/>
          <w:bCs/>
          <w:color w:val="1074CB"/>
          <w:sz w:val="28"/>
          <w:szCs w:val="28"/>
        </w:rPr>
        <w:t>April</w:t>
      </w:r>
      <w:r w:rsidR="007C4C5E">
        <w:rPr>
          <w:rFonts w:ascii="Arial" w:eastAsiaTheme="minorEastAsia" w:hAnsi="Arial" w:cs="Arial"/>
          <w:b w:val="0"/>
          <w:bCs/>
          <w:color w:val="1074CB"/>
          <w:sz w:val="28"/>
          <w:szCs w:val="28"/>
        </w:rPr>
        <w:t xml:space="preserve"> 2015</w:t>
      </w:r>
      <w:r w:rsidR="00FD59F4" w:rsidRPr="007C4C5E">
        <w:rPr>
          <w:rFonts w:ascii="Arial" w:eastAsiaTheme="minorEastAsia" w:hAnsi="Arial" w:cs="Arial"/>
          <w:b w:val="0"/>
          <w:bCs/>
          <w:color w:val="1074CB"/>
          <w:sz w:val="28"/>
          <w:szCs w:val="28"/>
        </w:rPr>
        <w:t>)</w:t>
      </w:r>
    </w:p>
    <w:p w:rsidR="00C80E70" w:rsidRPr="007B7D91" w:rsidRDefault="00717761" w:rsidP="00C80E70">
      <w:r w:rsidRPr="00717761">
        <w:rPr>
          <w:rFonts w:ascii="Arial" w:eastAsiaTheme="minorEastAsia" w:hAnsi="Arial" w:cs="Arial"/>
          <w:b/>
          <w:bCs/>
          <w:noProof/>
          <w:color w:val="1074CB"/>
          <w:sz w:val="20"/>
        </w:rPr>
        <w:pict>
          <v:line id="Line 3" o:spid="_x0000_s1026" style="position:absolute;z-index:251659264;visibility:visible;mso-wrap-distance-top:-8e-5mm;mso-wrap-distance-bottom:-8e-5mm"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dVFg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" strokecolor="#1074cb"/>
        </w:pict>
      </w:r>
    </w:p>
    <w:p w:rsidR="00083C8D" w:rsidRPr="00083C8D" w:rsidRDefault="00083C8D" w:rsidP="00083C8D">
      <w:pPr>
        <w:spacing w:line="276" w:lineRule="auto"/>
        <w:rPr>
          <w:rFonts w:ascii="Arial" w:eastAsiaTheme="minorEastAsia" w:hAnsi="Arial" w:cs="Arial"/>
          <w:b/>
          <w:bCs/>
          <w:color w:val="1074CB"/>
          <w:sz w:val="32"/>
          <w:szCs w:val="36"/>
        </w:rPr>
      </w:pPr>
      <w:r w:rsidRPr="00083C8D">
        <w:rPr>
          <w:rFonts w:ascii="Arial" w:eastAsiaTheme="minorEastAsia" w:hAnsi="Arial" w:cs="Arial"/>
          <w:b/>
          <w:bCs/>
          <w:color w:val="1074CB"/>
          <w:sz w:val="32"/>
          <w:szCs w:val="36"/>
        </w:rPr>
        <w:t xml:space="preserve">UK engine output poised to push forward with high tech, low emission </w:t>
      </w:r>
      <w:proofErr w:type="spellStart"/>
      <w:r w:rsidRPr="00083C8D">
        <w:rPr>
          <w:rFonts w:ascii="Arial" w:eastAsiaTheme="minorEastAsia" w:hAnsi="Arial" w:cs="Arial"/>
          <w:b/>
          <w:bCs/>
          <w:color w:val="1074CB"/>
          <w:sz w:val="32"/>
          <w:szCs w:val="36"/>
        </w:rPr>
        <w:t>powertrains</w:t>
      </w:r>
      <w:proofErr w:type="spellEnd"/>
    </w:p>
    <w:p w:rsidR="00C80E70" w:rsidRPr="00ED4C6E" w:rsidRDefault="00C80E70" w:rsidP="00C80E70">
      <w:pPr>
        <w:spacing w:line="276" w:lineRule="auto"/>
        <w:rPr>
          <w:rFonts w:ascii="Verdana" w:hAnsi="Verdana"/>
          <w:strike/>
          <w:sz w:val="20"/>
        </w:rPr>
      </w:pPr>
    </w:p>
    <w:p w:rsidR="00083C8D" w:rsidRPr="00083C8D" w:rsidRDefault="00083C8D" w:rsidP="00083C8D">
      <w:pPr>
        <w:pStyle w:val="ListParagraph"/>
        <w:numPr>
          <w:ilvl w:val="0"/>
          <w:numId w:val="4"/>
        </w:numPr>
        <w:spacing w:line="360" w:lineRule="auto"/>
        <w:rPr>
          <w:rFonts w:ascii="Arial" w:hAnsi="Arial" w:cs="Arial"/>
          <w:sz w:val="20"/>
        </w:rPr>
      </w:pPr>
      <w:r w:rsidRPr="00083C8D">
        <w:rPr>
          <w:rFonts w:ascii="Arial" w:hAnsi="Arial" w:cs="Arial"/>
          <w:sz w:val="20"/>
        </w:rPr>
        <w:t xml:space="preserve">Engine production steady </w:t>
      </w:r>
      <w:r w:rsidR="00C339DF">
        <w:rPr>
          <w:rFonts w:ascii="Arial" w:hAnsi="Arial" w:cs="Arial"/>
          <w:sz w:val="20"/>
        </w:rPr>
        <w:t xml:space="preserve">in 2015 </w:t>
      </w:r>
      <w:r w:rsidRPr="00083C8D">
        <w:rPr>
          <w:rFonts w:ascii="Arial" w:hAnsi="Arial" w:cs="Arial"/>
          <w:sz w:val="20"/>
        </w:rPr>
        <w:t>despite dip in April volumes.</w:t>
      </w:r>
    </w:p>
    <w:p w:rsidR="00083C8D" w:rsidRPr="00083C8D" w:rsidRDefault="00083C8D" w:rsidP="00083C8D">
      <w:pPr>
        <w:pStyle w:val="ListParagraph"/>
        <w:numPr>
          <w:ilvl w:val="0"/>
          <w:numId w:val="4"/>
        </w:numPr>
        <w:spacing w:line="360" w:lineRule="auto"/>
        <w:rPr>
          <w:rFonts w:ascii="Arial" w:hAnsi="Arial" w:cs="Arial"/>
          <w:sz w:val="20"/>
        </w:rPr>
      </w:pPr>
      <w:r w:rsidRPr="00083C8D">
        <w:rPr>
          <w:rFonts w:ascii="Arial" w:hAnsi="Arial" w:cs="Arial"/>
          <w:sz w:val="20"/>
        </w:rPr>
        <w:t>Strong export demand from Europe as market continues recovery.</w:t>
      </w:r>
    </w:p>
    <w:p w:rsidR="00083C8D" w:rsidRPr="00083C8D" w:rsidRDefault="00083C8D" w:rsidP="00083C8D">
      <w:pPr>
        <w:pStyle w:val="ListParagraph"/>
        <w:numPr>
          <w:ilvl w:val="0"/>
          <w:numId w:val="4"/>
        </w:numPr>
        <w:spacing w:line="360" w:lineRule="auto"/>
        <w:rPr>
          <w:rFonts w:ascii="Arial" w:hAnsi="Arial" w:cs="Arial"/>
          <w:sz w:val="20"/>
        </w:rPr>
      </w:pPr>
      <w:r w:rsidRPr="00083C8D">
        <w:rPr>
          <w:rFonts w:ascii="Arial" w:hAnsi="Arial" w:cs="Arial"/>
          <w:sz w:val="20"/>
        </w:rPr>
        <w:t>Billion pound investments in UK engine manufacturing to be realised in coming months.</w:t>
      </w:r>
    </w:p>
    <w:p w:rsidR="00BC334E" w:rsidRPr="00BC334E" w:rsidRDefault="00BC334E" w:rsidP="00BC334E">
      <w:pPr>
        <w:pStyle w:val="ListParagraph"/>
        <w:rPr>
          <w:rFonts w:ascii="Arial" w:hAnsi="Arial" w:cs="Arial"/>
          <w:sz w:val="20"/>
        </w:rPr>
      </w:pPr>
    </w:p>
    <w:p w:rsidR="00083C8D" w:rsidRPr="00083C8D" w:rsidRDefault="00083C8D" w:rsidP="00083C8D">
      <w:pPr>
        <w:spacing w:line="276" w:lineRule="auto"/>
        <w:rPr>
          <w:rFonts w:ascii="Arial" w:hAnsi="Arial" w:cs="Arial"/>
          <w:sz w:val="20"/>
        </w:rPr>
      </w:pPr>
      <w:r w:rsidRPr="00083C8D">
        <w:rPr>
          <w:rFonts w:ascii="Arial" w:hAnsi="Arial" w:cs="Arial"/>
          <w:sz w:val="20"/>
        </w:rPr>
        <w:t xml:space="preserve">“Engine manufacturing will play an increasingly important role in the UK automotive sector in the future,” said </w:t>
      </w:r>
      <w:r w:rsidRPr="00083C8D">
        <w:rPr>
          <w:rFonts w:ascii="Arial" w:hAnsi="Arial" w:cs="Arial"/>
          <w:b/>
          <w:sz w:val="20"/>
        </w:rPr>
        <w:t>Mike Hawes, SMMT Chief Executive</w:t>
      </w:r>
      <w:r w:rsidRPr="00083C8D">
        <w:rPr>
          <w:rFonts w:ascii="Arial" w:hAnsi="Arial" w:cs="Arial"/>
          <w:sz w:val="20"/>
        </w:rPr>
        <w:t>. “More than £1 billion has been invested by manufacturers in building the next generation of new low-emission Euro-6 petrol and diesel engines in British plants, and we anticipate this will lead to increased output as these investments are realised.”</w:t>
      </w:r>
      <w:r w:rsidRPr="00083C8D">
        <w:rPr>
          <w:rFonts w:ascii="Arial" w:hAnsi="Arial" w:cs="Arial"/>
          <w:sz w:val="20"/>
        </w:rPr>
        <w:br/>
      </w:r>
    </w:p>
    <w:p w:rsidR="00C42957" w:rsidRPr="005F4C35" w:rsidRDefault="00C42957" w:rsidP="005F4C35"/>
    <w:tbl>
      <w:tblPr>
        <w:tblW w:w="9453" w:type="dxa"/>
        <w:jc w:val="center"/>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D228E" w:rsidRPr="00761183" w:rsidTr="00083C8D">
        <w:trPr>
          <w:trHeight w:val="270"/>
          <w:jc w:val="center"/>
        </w:trPr>
        <w:tc>
          <w:tcPr>
            <w:tcW w:w="2448" w:type="dxa"/>
            <w:shd w:val="clear" w:color="auto" w:fill="auto"/>
            <w:noWrap/>
            <w:vAlign w:val="center"/>
            <w:hideMark/>
          </w:tcPr>
          <w:p w:rsidR="00CD228E" w:rsidRPr="00CD228E" w:rsidRDefault="00CD228E" w:rsidP="00083C8D">
            <w:pPr>
              <w:jc w:val="center"/>
              <w:rPr>
                <w:rFonts w:ascii="Arial" w:hAnsi="Arial" w:cs="Arial"/>
                <w:b/>
                <w:color w:val="002060"/>
                <w:sz w:val="20"/>
              </w:rPr>
            </w:pPr>
            <w:r w:rsidRPr="00CD228E">
              <w:rPr>
                <w:rFonts w:ascii="Arial" w:hAnsi="Arial" w:cs="Arial"/>
                <w:b/>
                <w:color w:val="002060"/>
                <w:sz w:val="20"/>
              </w:rPr>
              <w:t>Engine manufacturing</w:t>
            </w:r>
          </w:p>
        </w:tc>
        <w:tc>
          <w:tcPr>
            <w:tcW w:w="1109" w:type="dxa"/>
            <w:shd w:val="clear" w:color="auto" w:fill="auto"/>
            <w:noWrap/>
            <w:vAlign w:val="bottom"/>
            <w:hideMark/>
          </w:tcPr>
          <w:p w:rsidR="00CD228E" w:rsidRPr="00CD228E" w:rsidRDefault="00841D03">
            <w:pPr>
              <w:jc w:val="center"/>
              <w:rPr>
                <w:rFonts w:ascii="Arial" w:hAnsi="Arial" w:cs="Arial"/>
                <w:b/>
                <w:color w:val="002060"/>
                <w:sz w:val="20"/>
              </w:rPr>
            </w:pPr>
            <w:r>
              <w:rPr>
                <w:rFonts w:ascii="Arial" w:hAnsi="Arial" w:cs="Arial"/>
                <w:b/>
                <w:color w:val="002060"/>
                <w:sz w:val="20"/>
              </w:rPr>
              <w:t>Ap</w:t>
            </w:r>
            <w:r w:rsidR="005D40D2">
              <w:rPr>
                <w:rFonts w:ascii="Arial" w:hAnsi="Arial" w:cs="Arial"/>
                <w:b/>
                <w:color w:val="002060"/>
                <w:sz w:val="20"/>
              </w:rPr>
              <w:t>r</w:t>
            </w:r>
            <w:r w:rsidR="00CD228E" w:rsidRPr="00CD228E">
              <w:rPr>
                <w:rFonts w:ascii="Arial" w:hAnsi="Arial" w:cs="Arial"/>
                <w:b/>
                <w:color w:val="002060"/>
                <w:sz w:val="20"/>
              </w:rPr>
              <w:t>-14</w:t>
            </w:r>
          </w:p>
        </w:tc>
        <w:tc>
          <w:tcPr>
            <w:tcW w:w="992" w:type="dxa"/>
            <w:shd w:val="clear" w:color="auto" w:fill="auto"/>
            <w:noWrap/>
            <w:vAlign w:val="bottom"/>
            <w:hideMark/>
          </w:tcPr>
          <w:p w:rsidR="00CD228E" w:rsidRPr="00CD228E" w:rsidRDefault="00841D03" w:rsidP="00841D03">
            <w:pPr>
              <w:jc w:val="center"/>
              <w:rPr>
                <w:rFonts w:ascii="Arial" w:hAnsi="Arial" w:cs="Arial"/>
                <w:b/>
                <w:color w:val="002060"/>
                <w:sz w:val="20"/>
              </w:rPr>
            </w:pPr>
            <w:r>
              <w:rPr>
                <w:rFonts w:ascii="Arial" w:hAnsi="Arial" w:cs="Arial"/>
                <w:b/>
                <w:color w:val="002060"/>
                <w:sz w:val="20"/>
              </w:rPr>
              <w:t>Ap</w:t>
            </w:r>
            <w:r w:rsidR="005D40D2">
              <w:rPr>
                <w:rFonts w:ascii="Arial" w:hAnsi="Arial" w:cs="Arial"/>
                <w:b/>
                <w:color w:val="002060"/>
                <w:sz w:val="20"/>
              </w:rPr>
              <w:t>r</w:t>
            </w:r>
            <w:r w:rsidR="00CD228E" w:rsidRPr="00CD228E">
              <w:rPr>
                <w:rFonts w:ascii="Arial" w:hAnsi="Arial" w:cs="Arial"/>
                <w:b/>
                <w:color w:val="002060"/>
                <w:sz w:val="20"/>
              </w:rPr>
              <w:t>-15</w:t>
            </w:r>
          </w:p>
        </w:tc>
        <w:tc>
          <w:tcPr>
            <w:tcW w:w="1276"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 xml:space="preserve">% Change </w:t>
            </w:r>
          </w:p>
        </w:tc>
        <w:tc>
          <w:tcPr>
            <w:tcW w:w="1134"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YTD-14</w:t>
            </w:r>
          </w:p>
        </w:tc>
        <w:tc>
          <w:tcPr>
            <w:tcW w:w="1140"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YTD-15</w:t>
            </w:r>
          </w:p>
        </w:tc>
        <w:tc>
          <w:tcPr>
            <w:tcW w:w="1354"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 Change</w:t>
            </w:r>
          </w:p>
        </w:tc>
      </w:tr>
      <w:tr w:rsidR="00841D03" w:rsidRPr="00761183" w:rsidTr="00841D03">
        <w:trPr>
          <w:trHeight w:val="270"/>
          <w:jc w:val="center"/>
        </w:trPr>
        <w:tc>
          <w:tcPr>
            <w:tcW w:w="2448" w:type="dxa"/>
            <w:shd w:val="clear" w:color="auto" w:fill="auto"/>
            <w:noWrap/>
            <w:vAlign w:val="bottom"/>
            <w:hideMark/>
          </w:tcPr>
          <w:p w:rsidR="00841D03" w:rsidRPr="00CD228E" w:rsidRDefault="00841D03">
            <w:pPr>
              <w:jc w:val="right"/>
              <w:rPr>
                <w:rFonts w:ascii="Arial" w:hAnsi="Arial" w:cs="Arial"/>
                <w:color w:val="002060"/>
                <w:sz w:val="20"/>
              </w:rPr>
            </w:pPr>
            <w:r w:rsidRPr="00CD228E">
              <w:rPr>
                <w:rFonts w:ascii="Arial" w:hAnsi="Arial" w:cs="Arial"/>
                <w:color w:val="002060"/>
                <w:sz w:val="20"/>
              </w:rPr>
              <w:t>Total</w:t>
            </w:r>
          </w:p>
        </w:tc>
        <w:tc>
          <w:tcPr>
            <w:tcW w:w="1109"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217,599</w:t>
            </w:r>
          </w:p>
        </w:tc>
        <w:tc>
          <w:tcPr>
            <w:tcW w:w="992"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202,156</w:t>
            </w:r>
          </w:p>
        </w:tc>
        <w:tc>
          <w:tcPr>
            <w:tcW w:w="1276" w:type="dxa"/>
            <w:shd w:val="clear" w:color="auto" w:fill="auto"/>
            <w:noWrap/>
            <w:vAlign w:val="bottom"/>
            <w:hideMark/>
          </w:tcPr>
          <w:p w:rsidR="00841D03" w:rsidRPr="00841D03" w:rsidRDefault="00841D03" w:rsidP="00841D03">
            <w:pPr>
              <w:jc w:val="right"/>
              <w:rPr>
                <w:rFonts w:ascii="Arial" w:hAnsi="Arial" w:cs="Arial"/>
                <w:color w:val="002060"/>
                <w:sz w:val="18"/>
                <w:szCs w:val="18"/>
              </w:rPr>
            </w:pPr>
            <w:r w:rsidRPr="00841D03">
              <w:rPr>
                <w:rFonts w:ascii="Arial" w:hAnsi="Arial" w:cs="Arial"/>
                <w:color w:val="002060"/>
                <w:sz w:val="18"/>
                <w:szCs w:val="18"/>
              </w:rPr>
              <w:t>-7.1%</w:t>
            </w:r>
          </w:p>
        </w:tc>
        <w:tc>
          <w:tcPr>
            <w:tcW w:w="1134"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869,048</w:t>
            </w:r>
          </w:p>
        </w:tc>
        <w:tc>
          <w:tcPr>
            <w:tcW w:w="1140"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847,249</w:t>
            </w:r>
          </w:p>
        </w:tc>
        <w:tc>
          <w:tcPr>
            <w:tcW w:w="1354" w:type="dxa"/>
            <w:shd w:val="clear" w:color="auto" w:fill="auto"/>
            <w:noWrap/>
            <w:vAlign w:val="bottom"/>
            <w:hideMark/>
          </w:tcPr>
          <w:p w:rsidR="00841D03" w:rsidRPr="00841D03" w:rsidRDefault="00841D03" w:rsidP="00841D03">
            <w:pPr>
              <w:jc w:val="right"/>
              <w:rPr>
                <w:rFonts w:ascii="Arial" w:hAnsi="Arial" w:cs="Arial"/>
                <w:color w:val="002060"/>
                <w:sz w:val="18"/>
                <w:szCs w:val="18"/>
              </w:rPr>
            </w:pPr>
            <w:r w:rsidRPr="00841D03">
              <w:rPr>
                <w:rFonts w:ascii="Arial" w:hAnsi="Arial" w:cs="Arial"/>
                <w:color w:val="002060"/>
                <w:sz w:val="18"/>
                <w:szCs w:val="18"/>
              </w:rPr>
              <w:t>-2.5%</w:t>
            </w:r>
          </w:p>
        </w:tc>
      </w:tr>
      <w:tr w:rsidR="00841D03" w:rsidRPr="00761183" w:rsidTr="00841D03">
        <w:trPr>
          <w:trHeight w:val="270"/>
          <w:jc w:val="center"/>
        </w:trPr>
        <w:tc>
          <w:tcPr>
            <w:tcW w:w="2448" w:type="dxa"/>
            <w:shd w:val="clear" w:color="auto" w:fill="auto"/>
            <w:noWrap/>
            <w:vAlign w:val="bottom"/>
            <w:hideMark/>
          </w:tcPr>
          <w:p w:rsidR="00841D03" w:rsidRPr="00CD228E" w:rsidRDefault="00841D03">
            <w:pPr>
              <w:jc w:val="right"/>
              <w:rPr>
                <w:rFonts w:ascii="Arial" w:hAnsi="Arial" w:cs="Arial"/>
                <w:color w:val="002060"/>
                <w:sz w:val="20"/>
              </w:rPr>
            </w:pPr>
            <w:r w:rsidRPr="00CD228E">
              <w:rPr>
                <w:rFonts w:ascii="Arial" w:hAnsi="Arial" w:cs="Arial"/>
                <w:color w:val="002060"/>
                <w:sz w:val="20"/>
              </w:rPr>
              <w:t>Home</w:t>
            </w:r>
          </w:p>
        </w:tc>
        <w:tc>
          <w:tcPr>
            <w:tcW w:w="1109"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73,913</w:t>
            </w:r>
          </w:p>
        </w:tc>
        <w:tc>
          <w:tcPr>
            <w:tcW w:w="992"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65,692</w:t>
            </w:r>
          </w:p>
        </w:tc>
        <w:tc>
          <w:tcPr>
            <w:tcW w:w="1276" w:type="dxa"/>
            <w:shd w:val="clear" w:color="auto" w:fill="auto"/>
            <w:noWrap/>
            <w:vAlign w:val="bottom"/>
            <w:hideMark/>
          </w:tcPr>
          <w:p w:rsidR="00841D03" w:rsidRPr="00841D03" w:rsidRDefault="00841D03" w:rsidP="00841D03">
            <w:pPr>
              <w:jc w:val="right"/>
              <w:rPr>
                <w:rFonts w:ascii="Arial" w:hAnsi="Arial" w:cs="Arial"/>
                <w:color w:val="002060"/>
                <w:sz w:val="18"/>
                <w:szCs w:val="18"/>
              </w:rPr>
            </w:pPr>
            <w:r w:rsidRPr="00841D03">
              <w:rPr>
                <w:rFonts w:ascii="Arial" w:hAnsi="Arial" w:cs="Arial"/>
                <w:color w:val="002060"/>
                <w:sz w:val="18"/>
                <w:szCs w:val="18"/>
              </w:rPr>
              <w:t>-11.1%</w:t>
            </w:r>
          </w:p>
        </w:tc>
        <w:tc>
          <w:tcPr>
            <w:tcW w:w="1134"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303,798</w:t>
            </w:r>
          </w:p>
        </w:tc>
        <w:tc>
          <w:tcPr>
            <w:tcW w:w="1140"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293,597</w:t>
            </w:r>
          </w:p>
        </w:tc>
        <w:tc>
          <w:tcPr>
            <w:tcW w:w="1354" w:type="dxa"/>
            <w:shd w:val="clear" w:color="auto" w:fill="auto"/>
            <w:noWrap/>
            <w:vAlign w:val="bottom"/>
            <w:hideMark/>
          </w:tcPr>
          <w:p w:rsidR="00841D03" w:rsidRPr="00841D03" w:rsidRDefault="00841D03" w:rsidP="00841D03">
            <w:pPr>
              <w:jc w:val="right"/>
              <w:rPr>
                <w:rFonts w:ascii="Arial" w:hAnsi="Arial" w:cs="Arial"/>
                <w:color w:val="002060"/>
                <w:sz w:val="18"/>
                <w:szCs w:val="18"/>
              </w:rPr>
            </w:pPr>
            <w:r w:rsidRPr="00841D03">
              <w:rPr>
                <w:rFonts w:ascii="Arial" w:hAnsi="Arial" w:cs="Arial"/>
                <w:color w:val="002060"/>
                <w:sz w:val="18"/>
                <w:szCs w:val="18"/>
              </w:rPr>
              <w:t>-3.4%</w:t>
            </w:r>
          </w:p>
        </w:tc>
      </w:tr>
      <w:tr w:rsidR="00841D03" w:rsidRPr="00761183" w:rsidTr="00841D03">
        <w:trPr>
          <w:trHeight w:val="270"/>
          <w:jc w:val="center"/>
        </w:trPr>
        <w:tc>
          <w:tcPr>
            <w:tcW w:w="2448" w:type="dxa"/>
            <w:shd w:val="clear" w:color="auto" w:fill="auto"/>
            <w:noWrap/>
            <w:vAlign w:val="bottom"/>
            <w:hideMark/>
          </w:tcPr>
          <w:p w:rsidR="00841D03" w:rsidRPr="00CD228E" w:rsidRDefault="00841D03">
            <w:pPr>
              <w:jc w:val="right"/>
              <w:rPr>
                <w:rFonts w:ascii="Arial" w:hAnsi="Arial" w:cs="Arial"/>
                <w:color w:val="002060"/>
                <w:sz w:val="20"/>
              </w:rPr>
            </w:pPr>
            <w:r w:rsidRPr="00CD228E">
              <w:rPr>
                <w:rFonts w:ascii="Arial" w:hAnsi="Arial" w:cs="Arial"/>
                <w:color w:val="002060"/>
                <w:sz w:val="20"/>
              </w:rPr>
              <w:t>Export</w:t>
            </w:r>
          </w:p>
        </w:tc>
        <w:tc>
          <w:tcPr>
            <w:tcW w:w="1109"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143,686</w:t>
            </w:r>
          </w:p>
        </w:tc>
        <w:tc>
          <w:tcPr>
            <w:tcW w:w="992"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136,464</w:t>
            </w:r>
          </w:p>
        </w:tc>
        <w:tc>
          <w:tcPr>
            <w:tcW w:w="1276" w:type="dxa"/>
            <w:shd w:val="clear" w:color="auto" w:fill="auto"/>
            <w:noWrap/>
            <w:vAlign w:val="bottom"/>
            <w:hideMark/>
          </w:tcPr>
          <w:p w:rsidR="00841D03" w:rsidRPr="00841D03" w:rsidRDefault="00841D03" w:rsidP="00841D03">
            <w:pPr>
              <w:jc w:val="right"/>
              <w:rPr>
                <w:rFonts w:ascii="Arial" w:hAnsi="Arial" w:cs="Arial"/>
                <w:color w:val="002060"/>
                <w:sz w:val="18"/>
                <w:szCs w:val="18"/>
              </w:rPr>
            </w:pPr>
            <w:r w:rsidRPr="00841D03">
              <w:rPr>
                <w:rFonts w:ascii="Arial" w:hAnsi="Arial" w:cs="Arial"/>
                <w:color w:val="002060"/>
                <w:sz w:val="18"/>
                <w:szCs w:val="18"/>
              </w:rPr>
              <w:t>-5.0%</w:t>
            </w:r>
          </w:p>
        </w:tc>
        <w:tc>
          <w:tcPr>
            <w:tcW w:w="1134"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565,250</w:t>
            </w:r>
          </w:p>
        </w:tc>
        <w:tc>
          <w:tcPr>
            <w:tcW w:w="1140"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553,652</w:t>
            </w:r>
          </w:p>
        </w:tc>
        <w:tc>
          <w:tcPr>
            <w:tcW w:w="1354" w:type="dxa"/>
            <w:shd w:val="clear" w:color="auto" w:fill="auto"/>
            <w:noWrap/>
            <w:vAlign w:val="bottom"/>
            <w:hideMark/>
          </w:tcPr>
          <w:p w:rsidR="00841D03" w:rsidRPr="00841D03" w:rsidRDefault="00841D03" w:rsidP="00841D03">
            <w:pPr>
              <w:jc w:val="right"/>
              <w:rPr>
                <w:rFonts w:ascii="Arial" w:hAnsi="Arial" w:cs="Arial"/>
                <w:color w:val="002060"/>
                <w:sz w:val="18"/>
                <w:szCs w:val="18"/>
              </w:rPr>
            </w:pPr>
            <w:r w:rsidRPr="00841D03">
              <w:rPr>
                <w:rFonts w:ascii="Arial" w:hAnsi="Arial" w:cs="Arial"/>
                <w:color w:val="002060"/>
                <w:sz w:val="18"/>
                <w:szCs w:val="18"/>
              </w:rPr>
              <w:t>-2.1%</w:t>
            </w:r>
          </w:p>
        </w:tc>
      </w:tr>
      <w:tr w:rsidR="00841D03" w:rsidRPr="00761183" w:rsidTr="00841D03">
        <w:trPr>
          <w:trHeight w:val="270"/>
          <w:jc w:val="center"/>
        </w:trPr>
        <w:tc>
          <w:tcPr>
            <w:tcW w:w="2448" w:type="dxa"/>
            <w:shd w:val="clear" w:color="auto" w:fill="auto"/>
            <w:noWrap/>
            <w:vAlign w:val="bottom"/>
            <w:hideMark/>
          </w:tcPr>
          <w:p w:rsidR="00841D03" w:rsidRPr="00CD228E" w:rsidRDefault="00841D03">
            <w:pPr>
              <w:jc w:val="right"/>
              <w:rPr>
                <w:rFonts w:ascii="Arial" w:hAnsi="Arial" w:cs="Arial"/>
                <w:color w:val="002060"/>
                <w:sz w:val="20"/>
              </w:rPr>
            </w:pPr>
            <w:r w:rsidRPr="00CD228E">
              <w:rPr>
                <w:rFonts w:ascii="Arial" w:hAnsi="Arial" w:cs="Arial"/>
                <w:color w:val="002060"/>
                <w:sz w:val="20"/>
              </w:rPr>
              <w:t>% export</w:t>
            </w:r>
          </w:p>
        </w:tc>
        <w:tc>
          <w:tcPr>
            <w:tcW w:w="1109"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66.0%</w:t>
            </w:r>
          </w:p>
        </w:tc>
        <w:tc>
          <w:tcPr>
            <w:tcW w:w="992"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67.5%</w:t>
            </w:r>
          </w:p>
        </w:tc>
        <w:tc>
          <w:tcPr>
            <w:tcW w:w="1276"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 </w:t>
            </w:r>
          </w:p>
        </w:tc>
        <w:tc>
          <w:tcPr>
            <w:tcW w:w="1134"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64.7%</w:t>
            </w:r>
          </w:p>
        </w:tc>
        <w:tc>
          <w:tcPr>
            <w:tcW w:w="1140"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65.3%</w:t>
            </w:r>
          </w:p>
        </w:tc>
        <w:tc>
          <w:tcPr>
            <w:tcW w:w="1354" w:type="dxa"/>
            <w:shd w:val="clear" w:color="auto" w:fill="auto"/>
            <w:noWrap/>
            <w:vAlign w:val="bottom"/>
            <w:hideMark/>
          </w:tcPr>
          <w:p w:rsidR="00841D03" w:rsidRPr="00841D03" w:rsidRDefault="00841D03" w:rsidP="00841D03">
            <w:pPr>
              <w:jc w:val="right"/>
              <w:rPr>
                <w:rFonts w:ascii="Arial" w:hAnsi="Arial" w:cs="Arial"/>
                <w:color w:val="002060"/>
                <w:sz w:val="20"/>
              </w:rPr>
            </w:pPr>
            <w:r w:rsidRPr="00841D03">
              <w:rPr>
                <w:rFonts w:ascii="Arial" w:hAnsi="Arial" w:cs="Arial"/>
                <w:color w:val="002060"/>
                <w:sz w:val="20"/>
              </w:rPr>
              <w:t> </w:t>
            </w:r>
          </w:p>
        </w:tc>
      </w:tr>
    </w:tbl>
    <w:p w:rsidR="00487553" w:rsidRDefault="00487553" w:rsidP="000B47D6">
      <w:pPr>
        <w:rPr>
          <w:rFonts w:ascii="Arial" w:hAnsi="Arial" w:cs="Arial"/>
          <w:b/>
          <w:color w:val="0D2255"/>
          <w:sz w:val="20"/>
        </w:rPr>
      </w:pPr>
    </w:p>
    <w:p w:rsidR="00487553" w:rsidRDefault="00C80E70" w:rsidP="00487553">
      <w:pPr>
        <w:rPr>
          <w:rFonts w:ascii="Arial" w:hAnsi="Arial" w:cs="Arial"/>
          <w:noProof/>
        </w:rPr>
      </w:pPr>
      <w:r>
        <w:rPr>
          <w:rFonts w:ascii="Arial" w:hAnsi="Arial" w:cs="Arial"/>
          <w:b/>
          <w:color w:val="0D2255"/>
          <w:sz w:val="20"/>
        </w:rPr>
        <w:t>Engine</w:t>
      </w:r>
      <w:r w:rsidRPr="00D62A9D">
        <w:rPr>
          <w:rFonts w:ascii="Arial" w:hAnsi="Arial" w:cs="Arial"/>
          <w:b/>
          <w:color w:val="0D2255"/>
          <w:sz w:val="20"/>
        </w:rPr>
        <w:t xml:space="preserve"> output </w:t>
      </w:r>
      <w:r w:rsidR="00CB7097">
        <w:rPr>
          <w:rFonts w:ascii="Arial" w:hAnsi="Arial" w:cs="Arial"/>
          <w:b/>
          <w:color w:val="0D2255"/>
          <w:sz w:val="20"/>
        </w:rPr>
        <w:t xml:space="preserve">– </w:t>
      </w:r>
      <w:r w:rsidRPr="00D62A9D">
        <w:rPr>
          <w:rFonts w:ascii="Arial" w:hAnsi="Arial" w:cs="Arial"/>
          <w:b/>
          <w:color w:val="0D2255"/>
          <w:sz w:val="20"/>
        </w:rPr>
        <w:t>rolling year total</w:t>
      </w:r>
      <w:bookmarkStart w:id="0" w:name="_GoBack"/>
      <w:bookmarkEnd w:id="0"/>
    </w:p>
    <w:p w:rsidR="005D40D2" w:rsidRPr="00ED4C6E" w:rsidRDefault="00083C8D" w:rsidP="00487553">
      <w:pPr>
        <w:rPr>
          <w:rFonts w:ascii="Verdana" w:hAnsi="Verdana"/>
          <w:sz w:val="20"/>
        </w:rPr>
      </w:pPr>
      <w:r w:rsidRPr="00083C8D">
        <w:rPr>
          <w:rFonts w:ascii="Verdana" w:hAnsi="Verdana"/>
          <w:sz w:val="20"/>
        </w:rPr>
        <w:drawing>
          <wp:inline distT="0" distB="0" distL="0" distR="0">
            <wp:extent cx="5939161" cy="2370338"/>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5D40D2" w:rsidRPr="00ED4C6E"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03" w:rsidRDefault="00841D03" w:rsidP="00C80E70">
      <w:r>
        <w:separator/>
      </w:r>
    </w:p>
  </w:endnote>
  <w:endnote w:type="continuationSeparator" w:id="0">
    <w:p w:rsidR="00841D03" w:rsidRDefault="00841D0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3" w:rsidRPr="00853E71" w:rsidRDefault="00841D03"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841D03" w:rsidRPr="00853E71" w:rsidRDefault="00841D03"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841D03" w:rsidRPr="00853E71" w:rsidRDefault="00841D03" w:rsidP="00F843C1">
    <w:pPr>
      <w:spacing w:afterAutospacing="1"/>
      <w:contextualSpacing/>
      <w:rPr>
        <w:rFonts w:ascii="Arial" w:eastAsia="Times New Roman" w:hAnsi="Arial" w:cs="Arial"/>
        <w:color w:val="1074CB"/>
        <w:sz w:val="16"/>
        <w:szCs w:val="16"/>
      </w:rPr>
    </w:pPr>
  </w:p>
  <w:p w:rsidR="00841D03" w:rsidRPr="00853E71" w:rsidRDefault="00841D03"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w:t>
    </w:r>
    <w:r w:rsidR="006261BD">
      <w:rPr>
        <w:rFonts w:ascii="Arial" w:eastAsia="Calibri" w:hAnsi="Arial" w:cs="Arial"/>
        <w:b/>
        <w:bCs/>
        <w:color w:val="1074CB"/>
        <w:sz w:val="16"/>
      </w:rPr>
      <w:t>1</w:t>
    </w:r>
    <w:r w:rsidRPr="00853E71">
      <w:rPr>
        <w:rFonts w:ascii="Arial" w:eastAsia="Calibri" w:hAnsi="Arial" w:cs="Arial"/>
        <w:b/>
        <w:bCs/>
        <w:color w:val="1074CB"/>
        <w:sz w:val="16"/>
      </w:rPr>
      <w:t>%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841D03" w:rsidRPr="00853E71" w:rsidRDefault="00841D03" w:rsidP="00F843C1">
    <w:pPr>
      <w:spacing w:afterAutospacing="1"/>
      <w:contextualSpacing/>
      <w:rPr>
        <w:rFonts w:ascii="Arial" w:eastAsia="Times New Roman" w:hAnsi="Arial" w:cs="Arial"/>
        <w:color w:val="1074CB"/>
        <w:sz w:val="16"/>
        <w:szCs w:val="16"/>
      </w:rPr>
    </w:pPr>
  </w:p>
  <w:p w:rsidR="00841D03" w:rsidRDefault="00841D03"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More detail on UK automotive available in SMMT's Motor Industry Facts 201</w:t>
    </w:r>
    <w:r w:rsidR="006261BD">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at</w:t>
    </w:r>
    <w:r w:rsidR="006261BD">
      <w:rPr>
        <w:rFonts w:ascii="Arial" w:eastAsia="Times New Roman" w:hAnsi="Arial" w:cs="Arial"/>
        <w:color w:val="1074CB"/>
        <w:sz w:val="16"/>
        <w:szCs w:val="16"/>
      </w:rPr>
      <w:t xml:space="preserve"> </w:t>
    </w:r>
    <w:hyperlink r:id="rId1" w:history="1">
      <w:r w:rsidR="006261BD" w:rsidRPr="00ED5EF2">
        <w:rPr>
          <w:rStyle w:val="Hyperlink"/>
          <w:rFonts w:ascii="Arial" w:eastAsia="Times New Roman" w:hAnsi="Arial" w:cs="Arial"/>
          <w:sz w:val="16"/>
          <w:szCs w:val="16"/>
        </w:rPr>
        <w:t>www.smmt.co.uk/facts15</w:t>
      </w:r>
    </w:hyperlink>
    <w:r w:rsidR="006261BD">
      <w:rPr>
        <w:rFonts w:ascii="Arial" w:eastAsia="Times New Roman" w:hAnsi="Arial" w:cs="Arial"/>
        <w:color w:val="1074CB"/>
        <w:sz w:val="16"/>
        <w:szCs w:val="16"/>
      </w:rPr>
      <w:t>.</w:t>
    </w:r>
  </w:p>
  <w:p w:rsidR="006261BD" w:rsidRPr="00853E71" w:rsidRDefault="006261BD" w:rsidP="00F843C1">
    <w:pPr>
      <w:spacing w:afterAutospacing="1"/>
      <w:contextualSpacing/>
      <w:rPr>
        <w:rFonts w:ascii="Arial" w:eastAsia="Times New Roman" w:hAnsi="Arial" w:cs="Arial"/>
        <w:color w:val="1074CB"/>
        <w:sz w:val="16"/>
        <w:szCs w:val="16"/>
      </w:rPr>
    </w:pPr>
  </w:p>
  <w:p w:rsidR="00841D03" w:rsidRPr="00853E71" w:rsidRDefault="00841D03"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841D03" w:rsidRPr="00853E71" w:rsidRDefault="00841D03"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841D03" w:rsidRDefault="006261BD" w:rsidP="00C80E70">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sidR="00841D03">
      <w:rPr>
        <w:rFonts w:ascii="Arial" w:eastAsia="Times New Roman" w:hAnsi="Arial" w:cs="Arial"/>
        <w:color w:val="1074CB"/>
        <w:sz w:val="16"/>
        <w:szCs w:val="16"/>
      </w:rPr>
      <w:tab/>
    </w:r>
    <w:r w:rsidR="00841D03">
      <w:rPr>
        <w:rFonts w:ascii="Arial" w:eastAsia="Times New Roman" w:hAnsi="Arial" w:cs="Arial"/>
        <w:color w:val="1074CB"/>
        <w:sz w:val="16"/>
        <w:szCs w:val="16"/>
      </w:rPr>
      <w:tab/>
    </w:r>
    <w:hyperlink r:id="rId2" w:history="1">
      <w:r w:rsidRPr="00ED5EF2">
        <w:rPr>
          <w:rStyle w:val="Hyperlink"/>
          <w:rFonts w:ascii="Arial" w:eastAsia="Times New Roman" w:hAnsi="Arial" w:cs="Arial"/>
          <w:sz w:val="16"/>
          <w:szCs w:val="16"/>
        </w:rPr>
        <w:t>bfoulds@smmt.co.uk</w:t>
      </w:r>
    </w:hyperlink>
  </w:p>
  <w:p w:rsidR="00841D03" w:rsidRPr="005D40D2" w:rsidRDefault="00841D03" w:rsidP="00C80E70">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C30445">
        <w:rPr>
          <w:rStyle w:val="Hyperlink"/>
          <w:rFonts w:ascii="Arial" w:eastAsia="Times New Roman" w:hAnsi="Arial" w:cs="Arial"/>
          <w:sz w:val="16"/>
          <w:szCs w:val="16"/>
        </w:rPr>
        <w:t>ebutcher@smmt.co.uk</w:t>
      </w:r>
    </w:hyperlink>
    <w:r>
      <w:rPr>
        <w:rFonts w:ascii="Arial" w:eastAsia="Times New Roman" w:hAnsi="Arial" w:cs="Arial"/>
        <w:color w:val="1074C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03" w:rsidRDefault="00841D03" w:rsidP="00C80E70">
      <w:r>
        <w:separator/>
      </w:r>
    </w:p>
  </w:footnote>
  <w:footnote w:type="continuationSeparator" w:id="0">
    <w:p w:rsidR="00841D03" w:rsidRDefault="00841D0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3" w:rsidRDefault="00841D0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767B33"/>
    <w:multiLevelType w:val="hybridMultilevel"/>
    <w:tmpl w:val="6AF6E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Formatting/>
  <w:defaultTabStop w:val="720"/>
  <w:characterSpacingControl w:val="doNotCompress"/>
  <w:hdrShapeDefaults>
    <o:shapedefaults v:ext="edit" spidmax="25601"/>
  </w:hdrShapeDefaults>
  <w:footnotePr>
    <w:footnote w:id="-1"/>
    <w:footnote w:id="0"/>
  </w:footnotePr>
  <w:endnotePr>
    <w:endnote w:id="-1"/>
    <w:endnote w:id="0"/>
  </w:endnotePr>
  <w:compat/>
  <w:rsids>
    <w:rsidRoot w:val="00C80E70"/>
    <w:rsid w:val="000041AA"/>
    <w:rsid w:val="00011D05"/>
    <w:rsid w:val="0003075A"/>
    <w:rsid w:val="00054E31"/>
    <w:rsid w:val="00066F55"/>
    <w:rsid w:val="000779F2"/>
    <w:rsid w:val="00083C8D"/>
    <w:rsid w:val="00086564"/>
    <w:rsid w:val="000A622D"/>
    <w:rsid w:val="000B47D6"/>
    <w:rsid w:val="000C3FDE"/>
    <w:rsid w:val="000C50E2"/>
    <w:rsid w:val="000D6976"/>
    <w:rsid w:val="000E5317"/>
    <w:rsid w:val="000F250B"/>
    <w:rsid w:val="00112EEB"/>
    <w:rsid w:val="00116666"/>
    <w:rsid w:val="001315F1"/>
    <w:rsid w:val="00133B87"/>
    <w:rsid w:val="00135FAF"/>
    <w:rsid w:val="0013617E"/>
    <w:rsid w:val="00153877"/>
    <w:rsid w:val="0015444C"/>
    <w:rsid w:val="001726A7"/>
    <w:rsid w:val="001737CD"/>
    <w:rsid w:val="00192CE4"/>
    <w:rsid w:val="001A1450"/>
    <w:rsid w:val="001A67B5"/>
    <w:rsid w:val="001B20EB"/>
    <w:rsid w:val="001B65F4"/>
    <w:rsid w:val="001C389E"/>
    <w:rsid w:val="001D111B"/>
    <w:rsid w:val="001D6CB9"/>
    <w:rsid w:val="001E33CE"/>
    <w:rsid w:val="001E428D"/>
    <w:rsid w:val="001E454F"/>
    <w:rsid w:val="001E4D53"/>
    <w:rsid w:val="00200F65"/>
    <w:rsid w:val="0020649D"/>
    <w:rsid w:val="00223BD9"/>
    <w:rsid w:val="00252DCB"/>
    <w:rsid w:val="00266A9A"/>
    <w:rsid w:val="00267446"/>
    <w:rsid w:val="0028093B"/>
    <w:rsid w:val="002843B6"/>
    <w:rsid w:val="002A5934"/>
    <w:rsid w:val="002B4F7D"/>
    <w:rsid w:val="002D17AA"/>
    <w:rsid w:val="002E39AE"/>
    <w:rsid w:val="002E794E"/>
    <w:rsid w:val="002F3F25"/>
    <w:rsid w:val="0030510B"/>
    <w:rsid w:val="00346C59"/>
    <w:rsid w:val="00364066"/>
    <w:rsid w:val="003702E1"/>
    <w:rsid w:val="00375DF8"/>
    <w:rsid w:val="00391BAE"/>
    <w:rsid w:val="00392D44"/>
    <w:rsid w:val="00393036"/>
    <w:rsid w:val="003930A4"/>
    <w:rsid w:val="003A0F07"/>
    <w:rsid w:val="003A31D4"/>
    <w:rsid w:val="003B1C39"/>
    <w:rsid w:val="003E4D46"/>
    <w:rsid w:val="003E662E"/>
    <w:rsid w:val="003E69D3"/>
    <w:rsid w:val="00410539"/>
    <w:rsid w:val="00410AC1"/>
    <w:rsid w:val="00426240"/>
    <w:rsid w:val="00443FDD"/>
    <w:rsid w:val="00447CDA"/>
    <w:rsid w:val="00456EBB"/>
    <w:rsid w:val="00456F5B"/>
    <w:rsid w:val="0046552A"/>
    <w:rsid w:val="00467D20"/>
    <w:rsid w:val="00471965"/>
    <w:rsid w:val="00472D14"/>
    <w:rsid w:val="00482D22"/>
    <w:rsid w:val="00486897"/>
    <w:rsid w:val="00487553"/>
    <w:rsid w:val="00494E5E"/>
    <w:rsid w:val="004B727E"/>
    <w:rsid w:val="004C6507"/>
    <w:rsid w:val="004F23C3"/>
    <w:rsid w:val="00500805"/>
    <w:rsid w:val="00505C8C"/>
    <w:rsid w:val="005218AC"/>
    <w:rsid w:val="00522757"/>
    <w:rsid w:val="005230CA"/>
    <w:rsid w:val="005407A6"/>
    <w:rsid w:val="00542422"/>
    <w:rsid w:val="00542F6F"/>
    <w:rsid w:val="00545182"/>
    <w:rsid w:val="005534B2"/>
    <w:rsid w:val="0055683E"/>
    <w:rsid w:val="00577A32"/>
    <w:rsid w:val="0058444C"/>
    <w:rsid w:val="00584692"/>
    <w:rsid w:val="00591C1C"/>
    <w:rsid w:val="005926DF"/>
    <w:rsid w:val="005B0881"/>
    <w:rsid w:val="005B33EF"/>
    <w:rsid w:val="005B536B"/>
    <w:rsid w:val="005C668F"/>
    <w:rsid w:val="005D40D2"/>
    <w:rsid w:val="005D63A7"/>
    <w:rsid w:val="005E2C9D"/>
    <w:rsid w:val="005F44DC"/>
    <w:rsid w:val="005F4C35"/>
    <w:rsid w:val="006068D1"/>
    <w:rsid w:val="006068EC"/>
    <w:rsid w:val="0060762E"/>
    <w:rsid w:val="00614891"/>
    <w:rsid w:val="00620857"/>
    <w:rsid w:val="00622903"/>
    <w:rsid w:val="006261BD"/>
    <w:rsid w:val="006315A6"/>
    <w:rsid w:val="00642552"/>
    <w:rsid w:val="00653F42"/>
    <w:rsid w:val="006623D6"/>
    <w:rsid w:val="00664173"/>
    <w:rsid w:val="006765D3"/>
    <w:rsid w:val="00686576"/>
    <w:rsid w:val="00696C6A"/>
    <w:rsid w:val="006A1D88"/>
    <w:rsid w:val="006B4C72"/>
    <w:rsid w:val="006B7F8A"/>
    <w:rsid w:val="006D4F9B"/>
    <w:rsid w:val="006D538E"/>
    <w:rsid w:val="006D687A"/>
    <w:rsid w:val="006E5BF9"/>
    <w:rsid w:val="006F36E7"/>
    <w:rsid w:val="006F4F9F"/>
    <w:rsid w:val="00700F0A"/>
    <w:rsid w:val="00714EF7"/>
    <w:rsid w:val="00717761"/>
    <w:rsid w:val="00735C0B"/>
    <w:rsid w:val="0073709A"/>
    <w:rsid w:val="007430A2"/>
    <w:rsid w:val="007433FE"/>
    <w:rsid w:val="00750A6C"/>
    <w:rsid w:val="00754F52"/>
    <w:rsid w:val="00755FE5"/>
    <w:rsid w:val="00761183"/>
    <w:rsid w:val="007727F1"/>
    <w:rsid w:val="007851A1"/>
    <w:rsid w:val="00787B6E"/>
    <w:rsid w:val="00791C3D"/>
    <w:rsid w:val="007B7669"/>
    <w:rsid w:val="007C0AA0"/>
    <w:rsid w:val="007C31F8"/>
    <w:rsid w:val="007C4C5E"/>
    <w:rsid w:val="007D36B3"/>
    <w:rsid w:val="007D6B3B"/>
    <w:rsid w:val="007D6D7A"/>
    <w:rsid w:val="00800D5B"/>
    <w:rsid w:val="008030A3"/>
    <w:rsid w:val="00804C47"/>
    <w:rsid w:val="00806662"/>
    <w:rsid w:val="00825E32"/>
    <w:rsid w:val="00834F60"/>
    <w:rsid w:val="00841D03"/>
    <w:rsid w:val="00865EFF"/>
    <w:rsid w:val="008676F7"/>
    <w:rsid w:val="00874FE7"/>
    <w:rsid w:val="008753AA"/>
    <w:rsid w:val="0088378B"/>
    <w:rsid w:val="008B50CB"/>
    <w:rsid w:val="008D1B5B"/>
    <w:rsid w:val="008E4462"/>
    <w:rsid w:val="008F55A4"/>
    <w:rsid w:val="0090726B"/>
    <w:rsid w:val="00924274"/>
    <w:rsid w:val="00931C26"/>
    <w:rsid w:val="00932034"/>
    <w:rsid w:val="00932A9E"/>
    <w:rsid w:val="0095076B"/>
    <w:rsid w:val="00950FE1"/>
    <w:rsid w:val="00964455"/>
    <w:rsid w:val="0097483C"/>
    <w:rsid w:val="00980EC9"/>
    <w:rsid w:val="00994322"/>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AE00FD"/>
    <w:rsid w:val="00B04793"/>
    <w:rsid w:val="00B12E13"/>
    <w:rsid w:val="00B14617"/>
    <w:rsid w:val="00B23658"/>
    <w:rsid w:val="00B2588D"/>
    <w:rsid w:val="00B36DF8"/>
    <w:rsid w:val="00B37A71"/>
    <w:rsid w:val="00B4035F"/>
    <w:rsid w:val="00B40CCD"/>
    <w:rsid w:val="00B53ADC"/>
    <w:rsid w:val="00B66F10"/>
    <w:rsid w:val="00B8181D"/>
    <w:rsid w:val="00B95B22"/>
    <w:rsid w:val="00BA20B6"/>
    <w:rsid w:val="00BB5B9F"/>
    <w:rsid w:val="00BC334E"/>
    <w:rsid w:val="00BC5727"/>
    <w:rsid w:val="00BC7B6B"/>
    <w:rsid w:val="00BF0928"/>
    <w:rsid w:val="00BF4C94"/>
    <w:rsid w:val="00C0322D"/>
    <w:rsid w:val="00C03896"/>
    <w:rsid w:val="00C065D0"/>
    <w:rsid w:val="00C07099"/>
    <w:rsid w:val="00C100C5"/>
    <w:rsid w:val="00C108FE"/>
    <w:rsid w:val="00C339DF"/>
    <w:rsid w:val="00C37406"/>
    <w:rsid w:val="00C42957"/>
    <w:rsid w:val="00C4687D"/>
    <w:rsid w:val="00C623F2"/>
    <w:rsid w:val="00C657AB"/>
    <w:rsid w:val="00C7079C"/>
    <w:rsid w:val="00C73F08"/>
    <w:rsid w:val="00C80E70"/>
    <w:rsid w:val="00C83606"/>
    <w:rsid w:val="00C83858"/>
    <w:rsid w:val="00C847EC"/>
    <w:rsid w:val="00C90478"/>
    <w:rsid w:val="00CB7097"/>
    <w:rsid w:val="00CC79C5"/>
    <w:rsid w:val="00CD0659"/>
    <w:rsid w:val="00CD228E"/>
    <w:rsid w:val="00CE070B"/>
    <w:rsid w:val="00CE3518"/>
    <w:rsid w:val="00CF02B6"/>
    <w:rsid w:val="00D032AA"/>
    <w:rsid w:val="00D262EB"/>
    <w:rsid w:val="00D446D8"/>
    <w:rsid w:val="00D45EFE"/>
    <w:rsid w:val="00D561FB"/>
    <w:rsid w:val="00D6067E"/>
    <w:rsid w:val="00D62ACD"/>
    <w:rsid w:val="00D6336B"/>
    <w:rsid w:val="00D7759D"/>
    <w:rsid w:val="00D82F6C"/>
    <w:rsid w:val="00D86627"/>
    <w:rsid w:val="00D911A4"/>
    <w:rsid w:val="00D926E2"/>
    <w:rsid w:val="00D92B21"/>
    <w:rsid w:val="00DA030B"/>
    <w:rsid w:val="00DB3140"/>
    <w:rsid w:val="00DB3768"/>
    <w:rsid w:val="00DE0B9A"/>
    <w:rsid w:val="00DE1D6C"/>
    <w:rsid w:val="00DE5D6C"/>
    <w:rsid w:val="00DF19D9"/>
    <w:rsid w:val="00DF4E26"/>
    <w:rsid w:val="00E005CA"/>
    <w:rsid w:val="00E343D2"/>
    <w:rsid w:val="00E3450A"/>
    <w:rsid w:val="00E346CF"/>
    <w:rsid w:val="00E5680B"/>
    <w:rsid w:val="00E634A1"/>
    <w:rsid w:val="00E84E41"/>
    <w:rsid w:val="00EB2FB8"/>
    <w:rsid w:val="00EB5EA2"/>
    <w:rsid w:val="00EC65AF"/>
    <w:rsid w:val="00ED4C6E"/>
    <w:rsid w:val="00EF35D8"/>
    <w:rsid w:val="00F205F0"/>
    <w:rsid w:val="00F23688"/>
    <w:rsid w:val="00F30199"/>
    <w:rsid w:val="00F30490"/>
    <w:rsid w:val="00F30653"/>
    <w:rsid w:val="00F40EF6"/>
    <w:rsid w:val="00F43472"/>
    <w:rsid w:val="00F45379"/>
    <w:rsid w:val="00F50E90"/>
    <w:rsid w:val="00F843C1"/>
    <w:rsid w:val="00F965DC"/>
    <w:rsid w:val="00FA0FF6"/>
    <w:rsid w:val="00FC34F4"/>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ebut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ouldb\AppData\Local\Microsoft\Windows\Temporary%20Internet%20Files\Content.Outlook\B1SPV85H\CV-Engine%20Charts%20Apr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0814307476496526"/>
          <c:y val="0.11237345331833518"/>
          <c:w val="0.80465511489471164"/>
          <c:h val="0.75645547956141024"/>
        </c:manualLayout>
      </c:layout>
      <c:lineChart>
        <c:grouping val="standard"/>
        <c:ser>
          <c:idx val="13"/>
          <c:order val="0"/>
          <c:tx>
            <c:strRef>
              <c:f>'[2]PR chart 1'!$B$2</c:f>
              <c:strCache>
                <c:ptCount val="1"/>
                <c:pt idx="0">
                  <c:v>Total</c:v>
                </c:pt>
              </c:strCache>
            </c:strRef>
          </c:tx>
          <c:spPr>
            <a:ln w="31750">
              <a:solidFill>
                <a:srgbClr val="1074CB"/>
              </a:solidFill>
              <a:prstDash val="solid"/>
            </a:ln>
          </c:spPr>
          <c:marker>
            <c:symbol val="none"/>
          </c:marker>
          <c:cat>
            <c:strRef>
              <c:f>'[2]PR chart 1'!$C$1:$BV$1</c:f>
              <c:strCache>
                <c:ptCount val="72"/>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pt idx="60">
                  <c:v>2015</c:v>
                </c:pt>
                <c:pt idx="61">
                  <c:v>F</c:v>
                </c:pt>
                <c:pt idx="62">
                  <c:v>M</c:v>
                </c:pt>
                <c:pt idx="63">
                  <c:v>A</c:v>
                </c:pt>
                <c:pt idx="64">
                  <c:v>M</c:v>
                </c:pt>
                <c:pt idx="65">
                  <c:v>J</c:v>
                </c:pt>
                <c:pt idx="66">
                  <c:v>J</c:v>
                </c:pt>
                <c:pt idx="67">
                  <c:v>A</c:v>
                </c:pt>
                <c:pt idx="68">
                  <c:v>S</c:v>
                </c:pt>
                <c:pt idx="69">
                  <c:v>O</c:v>
                </c:pt>
                <c:pt idx="70">
                  <c:v>N</c:v>
                </c:pt>
                <c:pt idx="71">
                  <c:v>D</c:v>
                </c:pt>
              </c:strCache>
            </c:strRef>
          </c:cat>
          <c:val>
            <c:numRef>
              <c:f>'[2]PR chart 1'!$C$2:$BV$2</c:f>
              <c:numCache>
                <c:formatCode>General</c:formatCode>
                <c:ptCount val="72"/>
                <c:pt idx="0">
                  <c:v>2093669</c:v>
                </c:pt>
                <c:pt idx="1">
                  <c:v>2167353</c:v>
                </c:pt>
                <c:pt idx="2">
                  <c:v>2238576</c:v>
                </c:pt>
                <c:pt idx="3">
                  <c:v>2293771</c:v>
                </c:pt>
                <c:pt idx="4">
                  <c:v>2348173</c:v>
                </c:pt>
                <c:pt idx="5">
                  <c:v>2384550</c:v>
                </c:pt>
                <c:pt idx="6">
                  <c:v>2378203</c:v>
                </c:pt>
                <c:pt idx="7">
                  <c:v>2393614</c:v>
                </c:pt>
                <c:pt idx="8">
                  <c:v>2396631</c:v>
                </c:pt>
                <c:pt idx="9">
                  <c:v>2384843</c:v>
                </c:pt>
                <c:pt idx="10">
                  <c:v>2388887</c:v>
                </c:pt>
                <c:pt idx="11">
                  <c:v>2386717</c:v>
                </c:pt>
                <c:pt idx="12">
                  <c:v>2409859</c:v>
                </c:pt>
                <c:pt idx="13">
                  <c:v>2430119</c:v>
                </c:pt>
                <c:pt idx="14">
                  <c:v>2445370</c:v>
                </c:pt>
                <c:pt idx="15">
                  <c:v>2435933</c:v>
                </c:pt>
                <c:pt idx="16">
                  <c:v>2444128</c:v>
                </c:pt>
                <c:pt idx="17">
                  <c:v>2445913</c:v>
                </c:pt>
                <c:pt idx="18">
                  <c:v>2445160</c:v>
                </c:pt>
                <c:pt idx="19">
                  <c:v>2461857</c:v>
                </c:pt>
                <c:pt idx="20">
                  <c:v>2476918</c:v>
                </c:pt>
                <c:pt idx="21">
                  <c:v>2502280</c:v>
                </c:pt>
                <c:pt idx="22">
                  <c:v>2506109</c:v>
                </c:pt>
                <c:pt idx="23">
                  <c:v>2504054</c:v>
                </c:pt>
                <c:pt idx="24">
                  <c:v>2519172</c:v>
                </c:pt>
                <c:pt idx="25">
                  <c:v>2532288</c:v>
                </c:pt>
                <c:pt idx="26">
                  <c:v>2516569</c:v>
                </c:pt>
                <c:pt idx="27">
                  <c:v>2518846</c:v>
                </c:pt>
                <c:pt idx="28">
                  <c:v>2547565</c:v>
                </c:pt>
                <c:pt idx="29">
                  <c:v>2511313</c:v>
                </c:pt>
                <c:pt idx="30">
                  <c:v>2511676</c:v>
                </c:pt>
                <c:pt idx="31">
                  <c:v>2528199</c:v>
                </c:pt>
                <c:pt idx="32">
                  <c:v>2496981</c:v>
                </c:pt>
                <c:pt idx="33">
                  <c:v>2499744</c:v>
                </c:pt>
                <c:pt idx="34">
                  <c:v>2496579</c:v>
                </c:pt>
                <c:pt idx="35">
                  <c:v>2495371</c:v>
                </c:pt>
                <c:pt idx="36">
                  <c:v>2483603</c:v>
                </c:pt>
                <c:pt idx="37">
                  <c:v>2471886</c:v>
                </c:pt>
                <c:pt idx="38">
                  <c:v>2457880</c:v>
                </c:pt>
                <c:pt idx="39">
                  <c:v>2476924</c:v>
                </c:pt>
                <c:pt idx="40">
                  <c:v>2456481</c:v>
                </c:pt>
                <c:pt idx="41">
                  <c:v>2478970</c:v>
                </c:pt>
                <c:pt idx="42">
                  <c:v>2524416</c:v>
                </c:pt>
                <c:pt idx="43">
                  <c:v>2500006</c:v>
                </c:pt>
                <c:pt idx="44">
                  <c:v>2531363</c:v>
                </c:pt>
                <c:pt idx="45">
                  <c:v>2546832</c:v>
                </c:pt>
                <c:pt idx="46">
                  <c:v>2554350</c:v>
                </c:pt>
                <c:pt idx="47">
                  <c:v>2553316</c:v>
                </c:pt>
                <c:pt idx="48">
                  <c:v>2539850</c:v>
                </c:pt>
                <c:pt idx="49">
                  <c:v>2534583</c:v>
                </c:pt>
                <c:pt idx="50">
                  <c:v>2544510</c:v>
                </c:pt>
                <c:pt idx="51">
                  <c:v>2550657</c:v>
                </c:pt>
                <c:pt idx="52">
                  <c:v>2541766</c:v>
                </c:pt>
                <c:pt idx="53">
                  <c:v>2540881</c:v>
                </c:pt>
                <c:pt idx="54">
                  <c:v>2517538</c:v>
                </c:pt>
                <c:pt idx="55">
                  <c:v>2490330</c:v>
                </c:pt>
                <c:pt idx="56">
                  <c:v>2457106</c:v>
                </c:pt>
                <c:pt idx="57">
                  <c:v>2413884</c:v>
                </c:pt>
                <c:pt idx="58">
                  <c:v>2384645</c:v>
                </c:pt>
                <c:pt idx="59">
                  <c:v>2394668</c:v>
                </c:pt>
                <c:pt idx="60">
                  <c:v>2395063</c:v>
                </c:pt>
                <c:pt idx="61">
                  <c:v>2387637</c:v>
                </c:pt>
                <c:pt idx="62">
                  <c:v>2388312</c:v>
                </c:pt>
                <c:pt idx="63">
                  <c:v>2372869</c:v>
                </c:pt>
              </c:numCache>
            </c:numRef>
          </c:val>
        </c:ser>
        <c:marker val="1"/>
        <c:axId val="106737664"/>
        <c:axId val="106739200"/>
      </c:lineChart>
      <c:lineChart>
        <c:grouping val="standard"/>
        <c:ser>
          <c:idx val="0"/>
          <c:order val="1"/>
          <c:tx>
            <c:strRef>
              <c:f>'[2]PR chart 1'!$B$3</c:f>
              <c:strCache>
                <c:ptCount val="1"/>
                <c:pt idx="0">
                  <c:v>Export</c:v>
                </c:pt>
              </c:strCache>
            </c:strRef>
          </c:tx>
          <c:spPr>
            <a:ln>
              <a:solidFill>
                <a:srgbClr val="0D2255"/>
              </a:solidFill>
              <a:prstDash val="solid"/>
            </a:ln>
          </c:spPr>
          <c:marker>
            <c:symbol val="none"/>
          </c:marker>
          <c:cat>
            <c:strRef>
              <c:f>'[2]PR chart 1'!$C$1:$BV$1</c:f>
              <c:strCache>
                <c:ptCount val="72"/>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pt idx="60">
                  <c:v>2015</c:v>
                </c:pt>
                <c:pt idx="61">
                  <c:v>F</c:v>
                </c:pt>
                <c:pt idx="62">
                  <c:v>M</c:v>
                </c:pt>
                <c:pt idx="63">
                  <c:v>A</c:v>
                </c:pt>
                <c:pt idx="64">
                  <c:v>M</c:v>
                </c:pt>
                <c:pt idx="65">
                  <c:v>J</c:v>
                </c:pt>
                <c:pt idx="66">
                  <c:v>J</c:v>
                </c:pt>
                <c:pt idx="67">
                  <c:v>A</c:v>
                </c:pt>
                <c:pt idx="68">
                  <c:v>S</c:v>
                </c:pt>
                <c:pt idx="69">
                  <c:v>O</c:v>
                </c:pt>
                <c:pt idx="70">
                  <c:v>N</c:v>
                </c:pt>
                <c:pt idx="71">
                  <c:v>D</c:v>
                </c:pt>
              </c:strCache>
            </c:strRef>
          </c:cat>
          <c:val>
            <c:numRef>
              <c:f>'[2]PR chart 1'!$C$3:$BV$3</c:f>
              <c:numCache>
                <c:formatCode>General</c:formatCode>
                <c:ptCount val="72"/>
                <c:pt idx="0">
                  <c:v>1550302</c:v>
                </c:pt>
                <c:pt idx="1">
                  <c:v>1600327</c:v>
                </c:pt>
                <c:pt idx="2">
                  <c:v>1645730</c:v>
                </c:pt>
                <c:pt idx="3">
                  <c:v>1681225</c:v>
                </c:pt>
                <c:pt idx="4">
                  <c:v>1709574</c:v>
                </c:pt>
                <c:pt idx="5">
                  <c:v>1731193</c:v>
                </c:pt>
                <c:pt idx="6">
                  <c:v>1731827</c:v>
                </c:pt>
                <c:pt idx="7">
                  <c:v>1739209</c:v>
                </c:pt>
                <c:pt idx="8">
                  <c:v>1738567</c:v>
                </c:pt>
                <c:pt idx="9">
                  <c:v>1728032</c:v>
                </c:pt>
                <c:pt idx="10">
                  <c:v>1727288</c:v>
                </c:pt>
                <c:pt idx="11">
                  <c:v>1721490</c:v>
                </c:pt>
                <c:pt idx="12">
                  <c:v>1737722</c:v>
                </c:pt>
                <c:pt idx="13">
                  <c:v>1738840</c:v>
                </c:pt>
                <c:pt idx="14">
                  <c:v>1745438</c:v>
                </c:pt>
                <c:pt idx="15">
                  <c:v>1748977</c:v>
                </c:pt>
                <c:pt idx="16">
                  <c:v>1763055</c:v>
                </c:pt>
                <c:pt idx="17">
                  <c:v>1765953</c:v>
                </c:pt>
                <c:pt idx="18">
                  <c:v>1770370</c:v>
                </c:pt>
                <c:pt idx="19">
                  <c:v>1777082</c:v>
                </c:pt>
                <c:pt idx="20">
                  <c:v>1780026</c:v>
                </c:pt>
                <c:pt idx="21">
                  <c:v>1782182</c:v>
                </c:pt>
                <c:pt idx="22">
                  <c:v>1773782</c:v>
                </c:pt>
                <c:pt idx="23">
                  <c:v>1758397</c:v>
                </c:pt>
                <c:pt idx="24">
                  <c:v>1752124</c:v>
                </c:pt>
                <c:pt idx="25">
                  <c:v>1745996</c:v>
                </c:pt>
                <c:pt idx="26">
                  <c:v>1722890</c:v>
                </c:pt>
                <c:pt idx="27">
                  <c:v>1697802</c:v>
                </c:pt>
                <c:pt idx="28">
                  <c:v>1686644</c:v>
                </c:pt>
                <c:pt idx="29">
                  <c:v>1640182</c:v>
                </c:pt>
                <c:pt idx="30">
                  <c:v>1618602</c:v>
                </c:pt>
                <c:pt idx="31">
                  <c:v>1617580</c:v>
                </c:pt>
                <c:pt idx="32">
                  <c:v>1579174</c:v>
                </c:pt>
                <c:pt idx="33">
                  <c:v>1569083</c:v>
                </c:pt>
                <c:pt idx="34">
                  <c:v>1556332</c:v>
                </c:pt>
                <c:pt idx="35">
                  <c:v>1554208</c:v>
                </c:pt>
                <c:pt idx="36">
                  <c:v>1540131</c:v>
                </c:pt>
                <c:pt idx="37">
                  <c:v>1525960</c:v>
                </c:pt>
                <c:pt idx="38">
                  <c:v>1506171</c:v>
                </c:pt>
                <c:pt idx="39">
                  <c:v>1507649</c:v>
                </c:pt>
                <c:pt idx="40">
                  <c:v>1485124</c:v>
                </c:pt>
                <c:pt idx="41">
                  <c:v>1493508</c:v>
                </c:pt>
                <c:pt idx="42">
                  <c:v>1518333</c:v>
                </c:pt>
                <c:pt idx="43">
                  <c:v>1493118</c:v>
                </c:pt>
                <c:pt idx="44">
                  <c:v>1515174</c:v>
                </c:pt>
                <c:pt idx="45">
                  <c:v>1516023</c:v>
                </c:pt>
                <c:pt idx="46">
                  <c:v>1524706</c:v>
                </c:pt>
                <c:pt idx="47">
                  <c:v>1527266</c:v>
                </c:pt>
                <c:pt idx="48">
                  <c:v>1528795</c:v>
                </c:pt>
                <c:pt idx="49">
                  <c:v>1533945</c:v>
                </c:pt>
                <c:pt idx="50">
                  <c:v>1546873</c:v>
                </c:pt>
                <c:pt idx="51">
                  <c:v>1562944</c:v>
                </c:pt>
                <c:pt idx="52">
                  <c:v>1575326</c:v>
                </c:pt>
                <c:pt idx="53">
                  <c:v>1582958</c:v>
                </c:pt>
                <c:pt idx="54">
                  <c:v>1574393</c:v>
                </c:pt>
                <c:pt idx="55">
                  <c:v>1569009</c:v>
                </c:pt>
                <c:pt idx="56">
                  <c:v>1542737</c:v>
                </c:pt>
                <c:pt idx="57">
                  <c:v>1517337</c:v>
                </c:pt>
                <c:pt idx="58">
                  <c:v>1489086</c:v>
                </c:pt>
                <c:pt idx="59">
                  <c:v>1487469</c:v>
                </c:pt>
                <c:pt idx="60">
                  <c:v>1479920</c:v>
                </c:pt>
                <c:pt idx="61">
                  <c:v>1479099</c:v>
                </c:pt>
                <c:pt idx="62">
                  <c:v>1483093</c:v>
                </c:pt>
                <c:pt idx="63">
                  <c:v>1475871</c:v>
                </c:pt>
              </c:numCache>
            </c:numRef>
          </c:val>
        </c:ser>
        <c:marker val="1"/>
        <c:axId val="106744448"/>
        <c:axId val="106742144"/>
      </c:lineChart>
      <c:catAx>
        <c:axId val="106737664"/>
        <c:scaling>
          <c:orientation val="minMax"/>
        </c:scaling>
        <c:axPos val="b"/>
        <c:numFmt formatCode="General" sourceLinked="0"/>
        <c:tickLblPos val="nextTo"/>
        <c:spPr>
          <a:ln w="3175">
            <a:solidFill>
              <a:srgbClr val="000000"/>
            </a:solidFill>
            <a:prstDash val="solid"/>
          </a:ln>
        </c:spPr>
        <c:txPr>
          <a:bodyPr rot="-1740000" vert="horz"/>
          <a:lstStyle/>
          <a:p>
            <a:pPr>
              <a:defRPr sz="800" b="0" i="1" u="none" strike="noStrike" baseline="0">
                <a:solidFill>
                  <a:srgbClr val="002060"/>
                </a:solidFill>
                <a:latin typeface="Arial"/>
                <a:ea typeface="Arial"/>
                <a:cs typeface="Arial"/>
              </a:defRPr>
            </a:pPr>
            <a:endParaRPr lang="en-US"/>
          </a:p>
        </c:txPr>
        <c:crossAx val="106739200"/>
        <c:crosses val="autoZero"/>
        <c:auto val="1"/>
        <c:lblAlgn val="ctr"/>
        <c:lblOffset val="100"/>
        <c:tickLblSkip val="12"/>
        <c:tickMarkSkip val="12"/>
      </c:catAx>
      <c:valAx>
        <c:axId val="106739200"/>
        <c:scaling>
          <c:orientation val="minMax"/>
          <c:max val="2800000"/>
          <c:min val="2000000"/>
        </c:scaling>
        <c:axPos val="l"/>
        <c:majorGridlines>
          <c:spPr>
            <a:ln w="3175">
              <a:solidFill>
                <a:srgbClr val="000000"/>
              </a:solidFill>
              <a:prstDash val="solid"/>
            </a:ln>
          </c:spPr>
        </c:majorGridlines>
        <c:title>
          <c:tx>
            <c:rich>
              <a:bodyPr/>
              <a:lstStyle/>
              <a:p>
                <a:pPr>
                  <a:defRPr sz="800" b="1" i="1" u="none" strike="noStrike" baseline="0">
                    <a:solidFill>
                      <a:srgbClr val="000000"/>
                    </a:solidFill>
                    <a:latin typeface="Arial"/>
                    <a:ea typeface="Arial"/>
                    <a:cs typeface="Arial"/>
                  </a:defRPr>
                </a:pPr>
                <a:r>
                  <a:rPr lang="en-GB" sz="1000" b="1" i="1">
                    <a:solidFill>
                      <a:srgbClr val="002060"/>
                    </a:solidFill>
                  </a:rPr>
                  <a:t>Total engines (millions)</a:t>
                </a:r>
              </a:p>
            </c:rich>
          </c:tx>
          <c:layout>
            <c:manualLayout>
              <c:xMode val="edge"/>
              <c:yMode val="edge"/>
              <c:x val="2.0325652249058433E-2"/>
              <c:y val="0.32946668379739286"/>
            </c:manualLayout>
          </c:layout>
        </c:title>
        <c:numFmt formatCode="#,##0.0" sourceLinked="0"/>
        <c:tickLblPos val="nextTo"/>
        <c:spPr>
          <a:noFill/>
          <a:ln w="3175">
            <a:solidFill>
              <a:srgbClr val="000000"/>
            </a:solidFill>
            <a:prstDash val="solid"/>
          </a:ln>
        </c:spPr>
        <c:txPr>
          <a:bodyPr rot="-900000" vert="horz"/>
          <a:lstStyle/>
          <a:p>
            <a:pPr>
              <a:defRPr sz="1000" b="0" i="0" u="none" strike="noStrike" baseline="0">
                <a:solidFill>
                  <a:srgbClr val="002060"/>
                </a:solidFill>
                <a:latin typeface="Arial"/>
                <a:ea typeface="Arial"/>
                <a:cs typeface="Arial"/>
              </a:defRPr>
            </a:pPr>
            <a:endParaRPr lang="en-US"/>
          </a:p>
        </c:txPr>
        <c:crossAx val="106737664"/>
        <c:crosses val="autoZero"/>
        <c:crossBetween val="between"/>
        <c:majorUnit val="200000"/>
        <c:dispUnits>
          <c:builtInUnit val="millions"/>
        </c:dispUnits>
      </c:valAx>
      <c:valAx>
        <c:axId val="106742144"/>
        <c:scaling>
          <c:orientation val="minMax"/>
          <c:max val="2000000"/>
          <c:min val="1000000"/>
        </c:scaling>
        <c:axPos val="r"/>
        <c:title>
          <c:tx>
            <c:rich>
              <a:bodyPr rot="-5400000" vert="horz"/>
              <a:lstStyle/>
              <a:p>
                <a:pPr>
                  <a:defRPr/>
                </a:pPr>
                <a:r>
                  <a:rPr lang="en-GB" sz="1000" b="1">
                    <a:solidFill>
                      <a:srgbClr val="002060"/>
                    </a:solidFill>
                  </a:rPr>
                  <a:t>Engines</a:t>
                </a:r>
                <a:r>
                  <a:rPr lang="en-GB" sz="1000" b="1" baseline="0">
                    <a:solidFill>
                      <a:srgbClr val="002060"/>
                    </a:solidFill>
                  </a:rPr>
                  <a:t> for export (millions</a:t>
                </a:r>
                <a:r>
                  <a:rPr lang="en-GB" b="1" baseline="0"/>
                  <a:t>)</a:t>
                </a:r>
                <a:endParaRPr lang="en-GB" b="1"/>
              </a:p>
            </c:rich>
          </c:tx>
          <c:layout>
            <c:manualLayout>
              <c:xMode val="edge"/>
              <c:yMode val="edge"/>
              <c:x val="0.95837487389114662"/>
              <c:y val="0.27819270842892879"/>
            </c:manualLayout>
          </c:layout>
        </c:title>
        <c:numFmt formatCode="General" sourceLinked="0"/>
        <c:tickLblPos val="nextTo"/>
        <c:txPr>
          <a:bodyPr/>
          <a:lstStyle/>
          <a:p>
            <a:pPr>
              <a:defRPr b="0" i="0">
                <a:solidFill>
                  <a:srgbClr val="002060"/>
                </a:solidFill>
              </a:defRPr>
            </a:pPr>
            <a:endParaRPr lang="en-US"/>
          </a:p>
        </c:txPr>
        <c:crossAx val="106744448"/>
        <c:crosses val="max"/>
        <c:crossBetween val="between"/>
        <c:dispUnits>
          <c:builtInUnit val="millions"/>
        </c:dispUnits>
      </c:valAx>
      <c:catAx>
        <c:axId val="106744448"/>
        <c:scaling>
          <c:orientation val="minMax"/>
        </c:scaling>
        <c:delete val="1"/>
        <c:axPos val="b"/>
        <c:tickLblPos val="none"/>
        <c:crossAx val="106742144"/>
        <c:crosses val="autoZero"/>
        <c:auto val="1"/>
        <c:lblAlgn val="ctr"/>
        <c:lblOffset val="100"/>
      </c:catAx>
      <c:spPr>
        <a:noFill/>
        <a:ln w="12700">
          <a:solidFill>
            <a:srgbClr val="808080"/>
          </a:solidFill>
          <a:prstDash val="solid"/>
        </a:ln>
      </c:spPr>
    </c:plotArea>
    <c:legend>
      <c:legendPos val="r"/>
      <c:layout>
        <c:manualLayout>
          <c:xMode val="edge"/>
          <c:yMode val="edge"/>
          <c:x val="0.62094994634093448"/>
          <c:y val="0.74790791011263469"/>
          <c:w val="0.24422867749639532"/>
          <c:h val="6.4445944256967883E-2"/>
        </c:manualLayout>
      </c:layou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0.13517</cdr:x>
      <cdr:y>0.76357</cdr:y>
    </cdr:from>
    <cdr:to>
      <cdr:x>0.6833</cdr:x>
      <cdr:y>0.82664</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68010-1791-4B43-BA9B-B9B447C8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5</cp:revision>
  <cp:lastPrinted>2015-05-28T08:34:00Z</cp:lastPrinted>
  <dcterms:created xsi:type="dcterms:W3CDTF">2015-04-23T09:18:00Z</dcterms:created>
  <dcterms:modified xsi:type="dcterms:W3CDTF">2015-05-28T08:40:00Z</dcterms:modified>
</cp:coreProperties>
</file>