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7A1EAA" w:rsidP="006B3606">
      <w:pPr>
        <w:pStyle w:val="Heading1"/>
        <w:ind w:right="142"/>
      </w:pPr>
      <w:r>
        <w:rPr>
          <w:rFonts w:ascii="Arial" w:eastAsiaTheme="minorEastAsia" w:hAnsi="Arial" w:cs="Arial"/>
          <w:b w:val="0"/>
          <w:bCs/>
          <w:color w:val="1074CB"/>
          <w:sz w:val="44"/>
          <w:szCs w:val="44"/>
        </w:rPr>
        <w:t>2</w:t>
      </w:r>
      <w:r w:rsidR="00361AC4">
        <w:rPr>
          <w:rFonts w:ascii="Arial" w:eastAsiaTheme="minorEastAsia" w:hAnsi="Arial" w:cs="Arial"/>
          <w:b w:val="0"/>
          <w:bCs/>
          <w:color w:val="1074CB"/>
          <w:sz w:val="44"/>
          <w:szCs w:val="44"/>
        </w:rPr>
        <w:t>5</w:t>
      </w:r>
      <w:r w:rsidR="009511F2">
        <w:rPr>
          <w:rFonts w:ascii="Arial" w:eastAsiaTheme="minorEastAsia" w:hAnsi="Arial" w:cs="Arial"/>
          <w:b w:val="0"/>
          <w:bCs/>
          <w:color w:val="1074CB"/>
          <w:sz w:val="44"/>
          <w:szCs w:val="44"/>
        </w:rPr>
        <w:t xml:space="preserve"> </w:t>
      </w:r>
      <w:r w:rsidR="00361AC4">
        <w:rPr>
          <w:rFonts w:ascii="Arial" w:eastAsiaTheme="minorEastAsia" w:hAnsi="Arial" w:cs="Arial"/>
          <w:b w:val="0"/>
          <w:bCs/>
          <w:color w:val="1074CB"/>
          <w:sz w:val="44"/>
          <w:szCs w:val="44"/>
        </w:rPr>
        <w:t>September</w:t>
      </w:r>
      <w:r w:rsidR="006B3606" w:rsidRPr="00440369">
        <w:rPr>
          <w:rFonts w:ascii="Arial" w:eastAsiaTheme="minorEastAsia" w:hAnsi="Arial" w:cs="Arial"/>
          <w:b w:val="0"/>
          <w:bCs/>
          <w:color w:val="1074CB"/>
          <w:sz w:val="44"/>
          <w:szCs w:val="44"/>
        </w:rPr>
        <w:t xml:space="preserve"> 2014</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sidR="00361AC4">
        <w:rPr>
          <w:rFonts w:ascii="Arial" w:eastAsiaTheme="minorEastAsia" w:hAnsi="Arial" w:cs="Arial"/>
          <w:b w:val="0"/>
          <w:bCs/>
          <w:color w:val="1074CB"/>
          <w:sz w:val="28"/>
          <w:szCs w:val="28"/>
        </w:rPr>
        <w:t>August</w:t>
      </w:r>
      <w:r w:rsidR="009511F2">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6B3606">
        <w:rPr>
          <w:rFonts w:ascii="Arial" w:eastAsiaTheme="minorEastAsia" w:hAnsi="Arial" w:cs="Arial"/>
          <w:b w:val="0"/>
          <w:bCs/>
          <w:color w:val="1074CB"/>
          <w:sz w:val="28"/>
          <w:szCs w:val="28"/>
        </w:rPr>
        <w:t>4</w:t>
      </w:r>
      <w:r w:rsidR="006B3606" w:rsidRPr="00696C6A">
        <w:rPr>
          <w:rFonts w:ascii="Arial" w:eastAsiaTheme="minorEastAsia" w:hAnsi="Arial" w:cs="Arial"/>
          <w:b w:val="0"/>
          <w:bCs/>
          <w:color w:val="1074CB"/>
          <w:sz w:val="28"/>
          <w:szCs w:val="28"/>
        </w:rPr>
        <w:t>)</w:t>
      </w:r>
    </w:p>
    <w:p w:rsidR="00C80E70" w:rsidRPr="007B7D91" w:rsidRDefault="00F67060" w:rsidP="00C80E70">
      <w:r w:rsidRPr="00F67060">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D12474" w:rsidRPr="006364F0" w:rsidRDefault="00D60A7A" w:rsidP="00D12474">
      <w:pPr>
        <w:pStyle w:val="Heading1"/>
        <w:ind w:left="0" w:right="425" w:firstLine="0"/>
      </w:pPr>
      <w:r>
        <w:rPr>
          <w:rFonts w:ascii="Arial" w:hAnsi="Arial" w:cs="Arial"/>
          <w:color w:val="1074CB"/>
          <w:sz w:val="36"/>
          <w:szCs w:val="36"/>
        </w:rPr>
        <w:t>CV production slide continues in August</w:t>
      </w:r>
    </w:p>
    <w:p w:rsidR="00D12474" w:rsidRPr="006364F0" w:rsidRDefault="00D12474" w:rsidP="00D12474">
      <w:pPr>
        <w:rPr>
          <w:rFonts w:eastAsiaTheme="minorHAnsi"/>
        </w:rPr>
      </w:pPr>
      <w:r w:rsidRPr="006364F0">
        <w:rPr>
          <w:rFonts w:cs="Times"/>
          <w:sz w:val="10"/>
          <w:szCs w:val="10"/>
        </w:rPr>
        <w:t> </w:t>
      </w:r>
    </w:p>
    <w:p w:rsidR="00D12474" w:rsidRPr="006364F0" w:rsidRDefault="00D12474" w:rsidP="00D12474">
      <w:r w:rsidRPr="006364F0">
        <w:rPr>
          <w:sz w:val="10"/>
          <w:szCs w:val="10"/>
        </w:rPr>
        <w:t> </w:t>
      </w:r>
    </w:p>
    <w:p w:rsidR="00E8542A" w:rsidRPr="006364F0" w:rsidRDefault="00361AC4" w:rsidP="00D12474">
      <w:pPr>
        <w:numPr>
          <w:ilvl w:val="0"/>
          <w:numId w:val="5"/>
        </w:numPr>
        <w:spacing w:line="360" w:lineRule="auto"/>
        <w:ind w:hanging="76"/>
        <w:rPr>
          <w:sz w:val="20"/>
        </w:rPr>
      </w:pPr>
      <w:r>
        <w:rPr>
          <w:rFonts w:ascii="Arial" w:hAnsi="Arial" w:cs="Arial"/>
          <w:sz w:val="20"/>
        </w:rPr>
        <w:t xml:space="preserve">UK commercial vehicle production </w:t>
      </w:r>
      <w:r w:rsidR="001A1B4A">
        <w:rPr>
          <w:rFonts w:ascii="Arial" w:hAnsi="Arial" w:cs="Arial"/>
          <w:sz w:val="20"/>
        </w:rPr>
        <w:t xml:space="preserve">fell </w:t>
      </w:r>
      <w:r w:rsidR="00F869E5">
        <w:rPr>
          <w:rFonts w:ascii="Arial" w:hAnsi="Arial" w:cs="Arial"/>
          <w:sz w:val="20"/>
        </w:rPr>
        <w:t xml:space="preserve">by 1,642 units in August as </w:t>
      </w:r>
      <w:r w:rsidR="00D41CAD">
        <w:rPr>
          <w:rFonts w:ascii="Arial" w:hAnsi="Arial" w:cs="Arial"/>
          <w:sz w:val="20"/>
        </w:rPr>
        <w:t>the 2014 calendar saw some plants take</w:t>
      </w:r>
      <w:r w:rsidR="00F869E5">
        <w:rPr>
          <w:rFonts w:ascii="Arial" w:hAnsi="Arial" w:cs="Arial"/>
          <w:sz w:val="20"/>
        </w:rPr>
        <w:t xml:space="preserve"> </w:t>
      </w:r>
      <w:r w:rsidR="00BE1A62">
        <w:rPr>
          <w:rFonts w:ascii="Arial" w:hAnsi="Arial" w:cs="Arial"/>
          <w:sz w:val="20"/>
        </w:rPr>
        <w:t>additional</w:t>
      </w:r>
      <w:r w:rsidR="00D41CAD">
        <w:rPr>
          <w:rFonts w:ascii="Arial" w:hAnsi="Arial" w:cs="Arial"/>
          <w:sz w:val="20"/>
        </w:rPr>
        <w:t xml:space="preserve"> shutdown</w:t>
      </w:r>
      <w:r w:rsidR="00200A18">
        <w:rPr>
          <w:rFonts w:ascii="Arial" w:hAnsi="Arial" w:cs="Arial"/>
          <w:sz w:val="20"/>
        </w:rPr>
        <w:t>,</w:t>
      </w:r>
      <w:r w:rsidR="00D41CAD">
        <w:rPr>
          <w:rFonts w:ascii="Arial" w:hAnsi="Arial" w:cs="Arial"/>
          <w:sz w:val="20"/>
        </w:rPr>
        <w:t xml:space="preserve"> compared to last year</w:t>
      </w:r>
      <w:r w:rsidR="00200A18">
        <w:rPr>
          <w:rFonts w:ascii="Arial" w:hAnsi="Arial" w:cs="Arial"/>
          <w:sz w:val="20"/>
        </w:rPr>
        <w:t>,</w:t>
      </w:r>
      <w:r w:rsidR="00BB5F83">
        <w:rPr>
          <w:rFonts w:ascii="Arial" w:hAnsi="Arial" w:cs="Arial"/>
          <w:sz w:val="20"/>
        </w:rPr>
        <w:t xml:space="preserve"> for retooling</w:t>
      </w:r>
      <w:r w:rsidR="00D41CAD">
        <w:rPr>
          <w:rFonts w:ascii="Arial" w:hAnsi="Arial" w:cs="Arial"/>
          <w:sz w:val="20"/>
        </w:rPr>
        <w:t>.</w:t>
      </w:r>
    </w:p>
    <w:p w:rsidR="00D12474" w:rsidRPr="009A5488" w:rsidRDefault="00F869E5" w:rsidP="009D44F7">
      <w:pPr>
        <w:numPr>
          <w:ilvl w:val="0"/>
          <w:numId w:val="5"/>
        </w:numPr>
        <w:spacing w:line="360" w:lineRule="auto"/>
        <w:ind w:hanging="76"/>
        <w:rPr>
          <w:sz w:val="20"/>
        </w:rPr>
      </w:pPr>
      <w:r>
        <w:rPr>
          <w:rFonts w:ascii="Arial" w:hAnsi="Arial" w:cs="Arial"/>
          <w:sz w:val="20"/>
        </w:rPr>
        <w:t xml:space="preserve">Year-to-date output down 24.6% to 45,928 units, </w:t>
      </w:r>
      <w:r w:rsidR="00D60A7A">
        <w:rPr>
          <w:rFonts w:ascii="Arial" w:hAnsi="Arial" w:cs="Arial"/>
          <w:sz w:val="20"/>
        </w:rPr>
        <w:t>but</w:t>
      </w:r>
      <w:r>
        <w:rPr>
          <w:rFonts w:ascii="Arial" w:hAnsi="Arial" w:cs="Arial"/>
          <w:sz w:val="20"/>
        </w:rPr>
        <w:t xml:space="preserve"> greater stability expected in coming </w:t>
      </w:r>
      <w:r w:rsidR="00B857A6">
        <w:rPr>
          <w:rFonts w:ascii="Arial" w:hAnsi="Arial" w:cs="Arial"/>
          <w:sz w:val="20"/>
        </w:rPr>
        <w:t>mo</w:t>
      </w:r>
      <w:r>
        <w:rPr>
          <w:rFonts w:ascii="Arial" w:hAnsi="Arial" w:cs="Arial"/>
          <w:sz w:val="20"/>
        </w:rPr>
        <w:t>nths</w:t>
      </w:r>
      <w:r w:rsidR="00D12474" w:rsidRPr="006364F0">
        <w:rPr>
          <w:rFonts w:ascii="Arial" w:hAnsi="Arial" w:cs="Arial"/>
          <w:sz w:val="20"/>
        </w:rPr>
        <w:t>.</w:t>
      </w:r>
    </w:p>
    <w:p w:rsidR="009D44F7" w:rsidRPr="00B857A6" w:rsidRDefault="009A5488" w:rsidP="00B857A6">
      <w:pPr>
        <w:numPr>
          <w:ilvl w:val="0"/>
          <w:numId w:val="5"/>
        </w:numPr>
        <w:spacing w:line="360" w:lineRule="auto"/>
        <w:ind w:hanging="76"/>
        <w:rPr>
          <w:sz w:val="20"/>
        </w:rPr>
      </w:pPr>
      <w:r>
        <w:rPr>
          <w:rFonts w:ascii="Arial" w:hAnsi="Arial" w:cs="Arial"/>
          <w:sz w:val="20"/>
        </w:rPr>
        <w:t>Europe</w:t>
      </w:r>
      <w:r w:rsidR="00D41CAD">
        <w:rPr>
          <w:rFonts w:ascii="Arial" w:hAnsi="Arial" w:cs="Arial"/>
          <w:sz w:val="20"/>
        </w:rPr>
        <w:t>an</w:t>
      </w:r>
      <w:r>
        <w:rPr>
          <w:rFonts w:ascii="Arial" w:hAnsi="Arial" w:cs="Arial"/>
          <w:sz w:val="20"/>
        </w:rPr>
        <w:t xml:space="preserve"> demand for commercial vehicles on the up, with EU registrations rising 10.3% in June.</w:t>
      </w:r>
    </w:p>
    <w:p w:rsidR="00B857A6" w:rsidRPr="00B857A6" w:rsidRDefault="00B857A6" w:rsidP="00B857A6">
      <w:pPr>
        <w:spacing w:line="360" w:lineRule="auto"/>
        <w:ind w:left="360"/>
        <w:rPr>
          <w:sz w:val="20"/>
        </w:rPr>
      </w:pPr>
    </w:p>
    <w:p w:rsidR="00D12474" w:rsidRDefault="00D12474" w:rsidP="009D44F7">
      <w:pPr>
        <w:spacing w:line="276" w:lineRule="auto"/>
      </w:pPr>
      <w:r w:rsidRPr="006364F0">
        <w:rPr>
          <w:rFonts w:ascii="Arial" w:hAnsi="Arial" w:cs="Arial"/>
          <w:sz w:val="20"/>
        </w:rPr>
        <w:t>"</w:t>
      </w:r>
      <w:r w:rsidR="00F869E5">
        <w:rPr>
          <w:rFonts w:ascii="Arial" w:hAnsi="Arial" w:cs="Arial"/>
          <w:sz w:val="20"/>
        </w:rPr>
        <w:t>UK commercial vehicle production f</w:t>
      </w:r>
      <w:r w:rsidR="00200A18">
        <w:rPr>
          <w:rFonts w:ascii="Arial" w:hAnsi="Arial" w:cs="Arial"/>
          <w:sz w:val="20"/>
        </w:rPr>
        <w:t>e</w:t>
      </w:r>
      <w:r w:rsidR="00F869E5">
        <w:rPr>
          <w:rFonts w:ascii="Arial" w:hAnsi="Arial" w:cs="Arial"/>
          <w:sz w:val="20"/>
        </w:rPr>
        <w:t>ll 43.5% in August</w:t>
      </w:r>
      <w:r w:rsidR="00CB6220">
        <w:rPr>
          <w:rFonts w:ascii="Arial" w:hAnsi="Arial" w:cs="Arial"/>
          <w:sz w:val="20"/>
        </w:rPr>
        <w:t xml:space="preserve"> – </w:t>
      </w:r>
      <w:r w:rsidR="00AC57E0">
        <w:rPr>
          <w:rFonts w:ascii="Arial" w:hAnsi="Arial" w:cs="Arial"/>
          <w:sz w:val="20"/>
        </w:rPr>
        <w:t>traditio</w:t>
      </w:r>
      <w:r w:rsidR="00CB6220">
        <w:rPr>
          <w:rFonts w:ascii="Arial" w:hAnsi="Arial" w:cs="Arial"/>
          <w:sz w:val="20"/>
        </w:rPr>
        <w:t>nally the year’s quietest month – as some plants took additional shutdown to retool for new models,</w:t>
      </w:r>
      <w:r w:rsidRPr="006364F0">
        <w:rPr>
          <w:rFonts w:ascii="Arial" w:hAnsi="Arial" w:cs="Arial"/>
          <w:sz w:val="20"/>
        </w:rPr>
        <w:t>" said Mi</w:t>
      </w:r>
      <w:r w:rsidR="00B857A6">
        <w:rPr>
          <w:rFonts w:ascii="Arial" w:hAnsi="Arial" w:cs="Arial"/>
          <w:sz w:val="20"/>
        </w:rPr>
        <w:t xml:space="preserve">ke Hawes, SMMT Chief Executive. </w:t>
      </w:r>
      <w:r w:rsidRPr="006364F0">
        <w:rPr>
          <w:rFonts w:ascii="Arial" w:hAnsi="Arial" w:cs="Arial"/>
          <w:sz w:val="20"/>
        </w:rPr>
        <w:t>"</w:t>
      </w:r>
      <w:r w:rsidR="00AC57E0">
        <w:rPr>
          <w:rFonts w:ascii="Arial" w:hAnsi="Arial" w:cs="Arial"/>
          <w:sz w:val="20"/>
        </w:rPr>
        <w:t xml:space="preserve">We expect </w:t>
      </w:r>
      <w:r w:rsidR="00B857A6">
        <w:rPr>
          <w:rFonts w:ascii="Arial" w:hAnsi="Arial" w:cs="Arial"/>
          <w:sz w:val="20"/>
        </w:rPr>
        <w:t>the recent decline to level off in</w:t>
      </w:r>
      <w:r w:rsidR="00A86C6F">
        <w:rPr>
          <w:rFonts w:ascii="Arial" w:hAnsi="Arial" w:cs="Arial"/>
          <w:sz w:val="20"/>
        </w:rPr>
        <w:t xml:space="preserve"> the </w:t>
      </w:r>
      <w:r w:rsidR="00D60A7A">
        <w:rPr>
          <w:rFonts w:ascii="Arial" w:hAnsi="Arial" w:cs="Arial"/>
          <w:sz w:val="20"/>
        </w:rPr>
        <w:t>next few</w:t>
      </w:r>
      <w:r w:rsidR="009A5488">
        <w:rPr>
          <w:rFonts w:ascii="Arial" w:hAnsi="Arial" w:cs="Arial"/>
          <w:sz w:val="20"/>
        </w:rPr>
        <w:t xml:space="preserve"> months as new</w:t>
      </w:r>
      <w:r w:rsidR="00B857A6">
        <w:rPr>
          <w:rFonts w:ascii="Arial" w:hAnsi="Arial" w:cs="Arial"/>
          <w:sz w:val="20"/>
        </w:rPr>
        <w:t>ly</w:t>
      </w:r>
      <w:bookmarkStart w:id="0" w:name="_GoBack"/>
      <w:bookmarkEnd w:id="0"/>
      <w:r w:rsidR="00430DCC">
        <w:rPr>
          <w:rFonts w:ascii="Arial" w:hAnsi="Arial" w:cs="Arial"/>
          <w:sz w:val="20"/>
        </w:rPr>
        <w:t xml:space="preserve"> </w:t>
      </w:r>
      <w:r w:rsidR="00B857A6">
        <w:rPr>
          <w:rFonts w:ascii="Arial" w:hAnsi="Arial" w:cs="Arial"/>
          <w:sz w:val="20"/>
        </w:rPr>
        <w:t>introduced</w:t>
      </w:r>
      <w:r w:rsidR="009A5488">
        <w:rPr>
          <w:rFonts w:ascii="Arial" w:hAnsi="Arial" w:cs="Arial"/>
          <w:sz w:val="20"/>
        </w:rPr>
        <w:t xml:space="preserve"> models reach full production and the rising demand across the EU takes hold</w:t>
      </w:r>
      <w:r w:rsidR="00017BE7">
        <w:rPr>
          <w:rFonts w:ascii="Arial" w:hAnsi="Arial" w:cs="Arial"/>
          <w:sz w:val="20"/>
        </w:rPr>
        <w:t>.</w:t>
      </w:r>
      <w:r w:rsidRPr="006364F0">
        <w:rPr>
          <w:rFonts w:ascii="Arial" w:hAnsi="Arial" w:cs="Arial"/>
          <w:sz w:val="20"/>
        </w:rPr>
        <w:t>"</w:t>
      </w:r>
    </w:p>
    <w:p w:rsidR="00D6336B" w:rsidRPr="00E714BD" w:rsidRDefault="00D6336B" w:rsidP="00B94DB1">
      <w:pPr>
        <w:rPr>
          <w:rFonts w:ascii="Arial" w:hAnsi="Arial" w:cs="Arial"/>
          <w:sz w:val="20"/>
          <w:highlight w:val="yellow"/>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A51715" w:rsidRPr="00325254" w:rsidTr="00A51715">
        <w:trPr>
          <w:trHeight w:val="270"/>
        </w:trPr>
        <w:tc>
          <w:tcPr>
            <w:tcW w:w="2093" w:type="dxa"/>
            <w:noWrap/>
            <w:vAlign w:val="center"/>
            <w:hideMark/>
          </w:tcPr>
          <w:p w:rsidR="00A51715" w:rsidRPr="00325254" w:rsidRDefault="00A51715" w:rsidP="00B94DB1">
            <w:pPr>
              <w:rPr>
                <w:rFonts w:ascii="Arial" w:hAnsi="Arial" w:cs="Arial"/>
                <w:b/>
                <w:color w:val="002060"/>
                <w:sz w:val="20"/>
              </w:rPr>
            </w:pPr>
            <w:r w:rsidRPr="00325254">
              <w:rPr>
                <w:rFonts w:ascii="Arial" w:hAnsi="Arial" w:cs="Arial"/>
                <w:b/>
                <w:color w:val="002060"/>
                <w:sz w:val="20"/>
              </w:rPr>
              <w:t>CV manufacturing</w:t>
            </w:r>
          </w:p>
        </w:tc>
        <w:tc>
          <w:tcPr>
            <w:tcW w:w="1276" w:type="dxa"/>
            <w:noWrap/>
            <w:vAlign w:val="bottom"/>
            <w:hideMark/>
          </w:tcPr>
          <w:p w:rsidR="00A51715" w:rsidRPr="00A51715" w:rsidRDefault="00361AC4" w:rsidP="0017616F">
            <w:pPr>
              <w:jc w:val="right"/>
              <w:rPr>
                <w:rFonts w:ascii="Arial" w:hAnsi="Arial" w:cs="Arial"/>
                <w:b/>
                <w:color w:val="002060"/>
                <w:sz w:val="20"/>
              </w:rPr>
            </w:pPr>
            <w:r>
              <w:rPr>
                <w:rFonts w:ascii="Arial" w:hAnsi="Arial" w:cs="Arial"/>
                <w:b/>
                <w:color w:val="002060"/>
                <w:sz w:val="20"/>
              </w:rPr>
              <w:t>Aug</w:t>
            </w:r>
            <w:r w:rsidR="00A51715" w:rsidRPr="00A51715">
              <w:rPr>
                <w:rFonts w:ascii="Arial" w:hAnsi="Arial" w:cs="Arial"/>
                <w:b/>
                <w:color w:val="002060"/>
                <w:sz w:val="20"/>
              </w:rPr>
              <w:t>-13</w:t>
            </w:r>
          </w:p>
        </w:tc>
        <w:tc>
          <w:tcPr>
            <w:tcW w:w="1134" w:type="dxa"/>
            <w:noWrap/>
            <w:vAlign w:val="bottom"/>
            <w:hideMark/>
          </w:tcPr>
          <w:p w:rsidR="00A51715" w:rsidRPr="00A51715" w:rsidRDefault="00361AC4" w:rsidP="0017616F">
            <w:pPr>
              <w:jc w:val="right"/>
              <w:rPr>
                <w:rFonts w:ascii="Arial" w:hAnsi="Arial" w:cs="Arial"/>
                <w:b/>
                <w:color w:val="002060"/>
                <w:sz w:val="20"/>
              </w:rPr>
            </w:pPr>
            <w:r>
              <w:rPr>
                <w:rFonts w:ascii="Arial" w:hAnsi="Arial" w:cs="Arial"/>
                <w:b/>
                <w:color w:val="002060"/>
                <w:sz w:val="20"/>
              </w:rPr>
              <w:t>Aug</w:t>
            </w:r>
            <w:r w:rsidR="00A51715" w:rsidRPr="00A51715">
              <w:rPr>
                <w:rFonts w:ascii="Arial" w:hAnsi="Arial" w:cs="Arial"/>
                <w:b/>
                <w:color w:val="002060"/>
                <w:sz w:val="20"/>
              </w:rPr>
              <w:t>-14</w:t>
            </w:r>
          </w:p>
        </w:tc>
        <w:tc>
          <w:tcPr>
            <w:tcW w:w="1275"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 xml:space="preserve">% Change </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YTD-13</w:t>
            </w:r>
          </w:p>
        </w:tc>
        <w:tc>
          <w:tcPr>
            <w:tcW w:w="1134"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YTD-14</w:t>
            </w:r>
          </w:p>
        </w:tc>
        <w:tc>
          <w:tcPr>
            <w:tcW w:w="1276" w:type="dxa"/>
            <w:noWrap/>
            <w:vAlign w:val="bottom"/>
            <w:hideMark/>
          </w:tcPr>
          <w:p w:rsidR="00A51715" w:rsidRPr="00A51715" w:rsidRDefault="00A51715" w:rsidP="00A51715">
            <w:pPr>
              <w:jc w:val="right"/>
              <w:rPr>
                <w:rFonts w:ascii="Arial" w:hAnsi="Arial" w:cs="Arial"/>
                <w:b/>
                <w:color w:val="002060"/>
                <w:sz w:val="20"/>
              </w:rPr>
            </w:pPr>
            <w:r w:rsidRPr="00A51715">
              <w:rPr>
                <w:rFonts w:ascii="Arial" w:hAnsi="Arial" w:cs="Arial"/>
                <w:b/>
                <w:color w:val="002060"/>
                <w:sz w:val="20"/>
              </w:rPr>
              <w:t>% Change</w:t>
            </w:r>
          </w:p>
        </w:tc>
      </w:tr>
      <w:tr w:rsidR="00361AC4" w:rsidRPr="00325254" w:rsidTr="00CB4D91">
        <w:trPr>
          <w:trHeight w:val="270"/>
        </w:trPr>
        <w:tc>
          <w:tcPr>
            <w:tcW w:w="2093" w:type="dxa"/>
            <w:noWrap/>
            <w:vAlign w:val="center"/>
            <w:hideMark/>
          </w:tcPr>
          <w:p w:rsidR="00361AC4" w:rsidRPr="00325254" w:rsidRDefault="00361AC4" w:rsidP="00B94DB1">
            <w:pPr>
              <w:jc w:val="right"/>
              <w:rPr>
                <w:rFonts w:ascii="Arial" w:hAnsi="Arial" w:cs="Arial"/>
                <w:b/>
                <w:color w:val="002060"/>
                <w:sz w:val="20"/>
              </w:rPr>
            </w:pPr>
            <w:r w:rsidRPr="00325254">
              <w:rPr>
                <w:rFonts w:ascii="Arial" w:hAnsi="Arial" w:cs="Arial"/>
                <w:b/>
                <w:color w:val="002060"/>
                <w:sz w:val="20"/>
              </w:rPr>
              <w:t>Total</w:t>
            </w:r>
          </w:p>
        </w:tc>
        <w:tc>
          <w:tcPr>
            <w:tcW w:w="1276" w:type="dxa"/>
            <w:noWrap/>
            <w:vAlign w:val="bottom"/>
            <w:hideMark/>
          </w:tcPr>
          <w:p w:rsidR="00361AC4" w:rsidRPr="00361AC4" w:rsidRDefault="00361AC4">
            <w:pPr>
              <w:jc w:val="right"/>
              <w:rPr>
                <w:rFonts w:ascii="Arial" w:hAnsi="Arial" w:cs="Arial"/>
                <w:b/>
                <w:color w:val="002060"/>
                <w:sz w:val="20"/>
              </w:rPr>
            </w:pPr>
            <w:r w:rsidRPr="00361AC4">
              <w:rPr>
                <w:rFonts w:ascii="Arial" w:hAnsi="Arial" w:cs="Arial"/>
                <w:b/>
                <w:color w:val="002060"/>
                <w:sz w:val="20"/>
              </w:rPr>
              <w:t>3,772</w:t>
            </w:r>
          </w:p>
        </w:tc>
        <w:tc>
          <w:tcPr>
            <w:tcW w:w="1134" w:type="dxa"/>
            <w:noWrap/>
            <w:vAlign w:val="bottom"/>
            <w:hideMark/>
          </w:tcPr>
          <w:p w:rsidR="00361AC4" w:rsidRPr="00361AC4" w:rsidRDefault="00361AC4">
            <w:pPr>
              <w:jc w:val="right"/>
              <w:rPr>
                <w:rFonts w:ascii="Arial" w:hAnsi="Arial" w:cs="Arial"/>
                <w:b/>
                <w:color w:val="002060"/>
                <w:sz w:val="20"/>
              </w:rPr>
            </w:pPr>
            <w:r w:rsidRPr="00361AC4">
              <w:rPr>
                <w:rFonts w:ascii="Arial" w:hAnsi="Arial" w:cs="Arial"/>
                <w:b/>
                <w:color w:val="002060"/>
                <w:sz w:val="20"/>
              </w:rPr>
              <w:t>2,130</w:t>
            </w:r>
          </w:p>
        </w:tc>
        <w:tc>
          <w:tcPr>
            <w:tcW w:w="1275" w:type="dxa"/>
            <w:noWrap/>
            <w:vAlign w:val="bottom"/>
            <w:hideMark/>
          </w:tcPr>
          <w:p w:rsidR="00361AC4" w:rsidRPr="00361AC4" w:rsidRDefault="00361AC4">
            <w:pPr>
              <w:jc w:val="right"/>
              <w:rPr>
                <w:rFonts w:ascii="Arial" w:hAnsi="Arial" w:cs="Arial"/>
                <w:b/>
                <w:color w:val="002060"/>
                <w:sz w:val="18"/>
                <w:szCs w:val="18"/>
              </w:rPr>
            </w:pPr>
            <w:r w:rsidRPr="00361AC4">
              <w:rPr>
                <w:rFonts w:ascii="Arial" w:hAnsi="Arial" w:cs="Arial"/>
                <w:b/>
                <w:color w:val="002060"/>
                <w:sz w:val="18"/>
                <w:szCs w:val="18"/>
              </w:rPr>
              <w:t>-43.5%</w:t>
            </w:r>
          </w:p>
        </w:tc>
        <w:tc>
          <w:tcPr>
            <w:tcW w:w="1276" w:type="dxa"/>
            <w:noWrap/>
            <w:vAlign w:val="bottom"/>
            <w:hideMark/>
          </w:tcPr>
          <w:p w:rsidR="00361AC4" w:rsidRPr="00361AC4" w:rsidRDefault="00361AC4">
            <w:pPr>
              <w:jc w:val="right"/>
              <w:rPr>
                <w:rFonts w:ascii="Arial" w:hAnsi="Arial" w:cs="Arial"/>
                <w:b/>
                <w:color w:val="002060"/>
                <w:sz w:val="20"/>
              </w:rPr>
            </w:pPr>
            <w:r w:rsidRPr="00361AC4">
              <w:rPr>
                <w:rFonts w:ascii="Arial" w:hAnsi="Arial" w:cs="Arial"/>
                <w:b/>
                <w:color w:val="002060"/>
                <w:sz w:val="20"/>
              </w:rPr>
              <w:t>60,890</w:t>
            </w:r>
          </w:p>
        </w:tc>
        <w:tc>
          <w:tcPr>
            <w:tcW w:w="1134" w:type="dxa"/>
            <w:noWrap/>
            <w:vAlign w:val="bottom"/>
            <w:hideMark/>
          </w:tcPr>
          <w:p w:rsidR="00361AC4" w:rsidRPr="00361AC4" w:rsidRDefault="00361AC4">
            <w:pPr>
              <w:jc w:val="right"/>
              <w:rPr>
                <w:rFonts w:ascii="Arial" w:hAnsi="Arial" w:cs="Arial"/>
                <w:b/>
                <w:color w:val="002060"/>
                <w:sz w:val="20"/>
              </w:rPr>
            </w:pPr>
            <w:r w:rsidRPr="00361AC4">
              <w:rPr>
                <w:rFonts w:ascii="Arial" w:hAnsi="Arial" w:cs="Arial"/>
                <w:b/>
                <w:color w:val="002060"/>
                <w:sz w:val="20"/>
              </w:rPr>
              <w:t>45,928</w:t>
            </w:r>
          </w:p>
        </w:tc>
        <w:tc>
          <w:tcPr>
            <w:tcW w:w="1276" w:type="dxa"/>
            <w:noWrap/>
            <w:vAlign w:val="bottom"/>
            <w:hideMark/>
          </w:tcPr>
          <w:p w:rsidR="00361AC4" w:rsidRPr="00361AC4" w:rsidRDefault="00361AC4">
            <w:pPr>
              <w:jc w:val="right"/>
              <w:rPr>
                <w:rFonts w:ascii="Arial" w:hAnsi="Arial" w:cs="Arial"/>
                <w:b/>
                <w:color w:val="002060"/>
                <w:sz w:val="18"/>
                <w:szCs w:val="18"/>
              </w:rPr>
            </w:pPr>
            <w:r w:rsidRPr="00361AC4">
              <w:rPr>
                <w:rFonts w:ascii="Arial" w:hAnsi="Arial" w:cs="Arial"/>
                <w:b/>
                <w:color w:val="002060"/>
                <w:sz w:val="18"/>
                <w:szCs w:val="18"/>
              </w:rPr>
              <w:t>-24.6%</w:t>
            </w:r>
          </w:p>
        </w:tc>
      </w:tr>
      <w:tr w:rsidR="00361AC4" w:rsidRPr="00325254" w:rsidTr="00CB4D91">
        <w:trPr>
          <w:trHeight w:val="270"/>
        </w:trPr>
        <w:tc>
          <w:tcPr>
            <w:tcW w:w="2093" w:type="dxa"/>
            <w:noWrap/>
            <w:vAlign w:val="center"/>
            <w:hideMark/>
          </w:tcPr>
          <w:p w:rsidR="00361AC4" w:rsidRPr="00325254" w:rsidRDefault="00361AC4" w:rsidP="00B94DB1">
            <w:pPr>
              <w:jc w:val="right"/>
              <w:rPr>
                <w:rFonts w:ascii="Arial" w:hAnsi="Arial" w:cs="Arial"/>
                <w:color w:val="002060"/>
                <w:sz w:val="20"/>
              </w:rPr>
            </w:pPr>
            <w:r w:rsidRPr="00325254">
              <w:rPr>
                <w:rFonts w:ascii="Arial" w:hAnsi="Arial" w:cs="Arial"/>
                <w:color w:val="002060"/>
                <w:sz w:val="20"/>
              </w:rPr>
              <w:t>Home</w:t>
            </w:r>
          </w:p>
        </w:tc>
        <w:tc>
          <w:tcPr>
            <w:tcW w:w="1276"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1,416</w:t>
            </w:r>
          </w:p>
        </w:tc>
        <w:tc>
          <w:tcPr>
            <w:tcW w:w="1134"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1,229</w:t>
            </w:r>
          </w:p>
        </w:tc>
        <w:tc>
          <w:tcPr>
            <w:tcW w:w="1275" w:type="dxa"/>
            <w:noWrap/>
            <w:vAlign w:val="bottom"/>
            <w:hideMark/>
          </w:tcPr>
          <w:p w:rsidR="00361AC4" w:rsidRPr="00361AC4" w:rsidRDefault="00361AC4">
            <w:pPr>
              <w:jc w:val="right"/>
              <w:rPr>
                <w:rFonts w:ascii="Arial" w:hAnsi="Arial" w:cs="Arial"/>
                <w:color w:val="002060"/>
                <w:sz w:val="18"/>
                <w:szCs w:val="18"/>
              </w:rPr>
            </w:pPr>
            <w:r w:rsidRPr="00361AC4">
              <w:rPr>
                <w:rFonts w:ascii="Arial" w:hAnsi="Arial" w:cs="Arial"/>
                <w:color w:val="002060"/>
                <w:sz w:val="18"/>
                <w:szCs w:val="18"/>
              </w:rPr>
              <w:t>-13.2%</w:t>
            </w:r>
          </w:p>
        </w:tc>
        <w:tc>
          <w:tcPr>
            <w:tcW w:w="1276"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27,783</w:t>
            </w:r>
          </w:p>
        </w:tc>
        <w:tc>
          <w:tcPr>
            <w:tcW w:w="1134"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21,952</w:t>
            </w:r>
          </w:p>
        </w:tc>
        <w:tc>
          <w:tcPr>
            <w:tcW w:w="1276" w:type="dxa"/>
            <w:noWrap/>
            <w:vAlign w:val="bottom"/>
            <w:hideMark/>
          </w:tcPr>
          <w:p w:rsidR="00361AC4" w:rsidRPr="00361AC4" w:rsidRDefault="00361AC4">
            <w:pPr>
              <w:jc w:val="right"/>
              <w:rPr>
                <w:rFonts w:ascii="Arial" w:hAnsi="Arial" w:cs="Arial"/>
                <w:color w:val="002060"/>
                <w:sz w:val="18"/>
                <w:szCs w:val="18"/>
              </w:rPr>
            </w:pPr>
            <w:r w:rsidRPr="00361AC4">
              <w:rPr>
                <w:rFonts w:ascii="Arial" w:hAnsi="Arial" w:cs="Arial"/>
                <w:color w:val="002060"/>
                <w:sz w:val="18"/>
                <w:szCs w:val="18"/>
              </w:rPr>
              <w:t>-21.0%</w:t>
            </w:r>
          </w:p>
        </w:tc>
      </w:tr>
      <w:tr w:rsidR="00361AC4" w:rsidRPr="00325254" w:rsidTr="00CB4D91">
        <w:trPr>
          <w:trHeight w:val="270"/>
        </w:trPr>
        <w:tc>
          <w:tcPr>
            <w:tcW w:w="2093" w:type="dxa"/>
            <w:noWrap/>
            <w:vAlign w:val="center"/>
            <w:hideMark/>
          </w:tcPr>
          <w:p w:rsidR="00361AC4" w:rsidRPr="00325254" w:rsidRDefault="00361AC4" w:rsidP="00B94DB1">
            <w:pPr>
              <w:jc w:val="right"/>
              <w:rPr>
                <w:rFonts w:ascii="Arial" w:hAnsi="Arial" w:cs="Arial"/>
                <w:color w:val="002060"/>
                <w:sz w:val="20"/>
              </w:rPr>
            </w:pPr>
            <w:r w:rsidRPr="00325254">
              <w:rPr>
                <w:rFonts w:ascii="Arial" w:hAnsi="Arial" w:cs="Arial"/>
                <w:color w:val="002060"/>
                <w:sz w:val="20"/>
              </w:rPr>
              <w:t>Export</w:t>
            </w:r>
          </w:p>
        </w:tc>
        <w:tc>
          <w:tcPr>
            <w:tcW w:w="1276"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2,356</w:t>
            </w:r>
          </w:p>
        </w:tc>
        <w:tc>
          <w:tcPr>
            <w:tcW w:w="1134"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901</w:t>
            </w:r>
          </w:p>
        </w:tc>
        <w:tc>
          <w:tcPr>
            <w:tcW w:w="1275" w:type="dxa"/>
            <w:noWrap/>
            <w:vAlign w:val="bottom"/>
            <w:hideMark/>
          </w:tcPr>
          <w:p w:rsidR="00361AC4" w:rsidRPr="00361AC4" w:rsidRDefault="00361AC4">
            <w:pPr>
              <w:jc w:val="right"/>
              <w:rPr>
                <w:rFonts w:ascii="Arial" w:hAnsi="Arial" w:cs="Arial"/>
                <w:color w:val="002060"/>
                <w:sz w:val="18"/>
                <w:szCs w:val="18"/>
              </w:rPr>
            </w:pPr>
            <w:r w:rsidRPr="00361AC4">
              <w:rPr>
                <w:rFonts w:ascii="Arial" w:hAnsi="Arial" w:cs="Arial"/>
                <w:color w:val="002060"/>
                <w:sz w:val="18"/>
                <w:szCs w:val="18"/>
              </w:rPr>
              <w:t>-61.8%</w:t>
            </w:r>
          </w:p>
        </w:tc>
        <w:tc>
          <w:tcPr>
            <w:tcW w:w="1276"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33,107</w:t>
            </w:r>
          </w:p>
        </w:tc>
        <w:tc>
          <w:tcPr>
            <w:tcW w:w="1134"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23,976</w:t>
            </w:r>
          </w:p>
        </w:tc>
        <w:tc>
          <w:tcPr>
            <w:tcW w:w="1276" w:type="dxa"/>
            <w:noWrap/>
            <w:vAlign w:val="bottom"/>
            <w:hideMark/>
          </w:tcPr>
          <w:p w:rsidR="00361AC4" w:rsidRPr="00361AC4" w:rsidRDefault="00361AC4">
            <w:pPr>
              <w:jc w:val="right"/>
              <w:rPr>
                <w:rFonts w:ascii="Arial" w:hAnsi="Arial" w:cs="Arial"/>
                <w:color w:val="002060"/>
                <w:sz w:val="18"/>
                <w:szCs w:val="18"/>
              </w:rPr>
            </w:pPr>
            <w:r w:rsidRPr="00361AC4">
              <w:rPr>
                <w:rFonts w:ascii="Arial" w:hAnsi="Arial" w:cs="Arial"/>
                <w:color w:val="002060"/>
                <w:sz w:val="18"/>
                <w:szCs w:val="18"/>
              </w:rPr>
              <w:t>-27.6%</w:t>
            </w:r>
          </w:p>
        </w:tc>
      </w:tr>
      <w:tr w:rsidR="00361AC4" w:rsidRPr="00325254" w:rsidTr="00CB4D91">
        <w:trPr>
          <w:trHeight w:val="270"/>
        </w:trPr>
        <w:tc>
          <w:tcPr>
            <w:tcW w:w="2093" w:type="dxa"/>
            <w:noWrap/>
            <w:vAlign w:val="center"/>
            <w:hideMark/>
          </w:tcPr>
          <w:p w:rsidR="00361AC4" w:rsidRPr="00325254" w:rsidRDefault="00361AC4" w:rsidP="00B94DB1">
            <w:pPr>
              <w:jc w:val="right"/>
              <w:rPr>
                <w:rFonts w:ascii="Arial" w:hAnsi="Arial" w:cs="Arial"/>
                <w:color w:val="002060"/>
                <w:sz w:val="20"/>
              </w:rPr>
            </w:pPr>
            <w:r w:rsidRPr="00325254">
              <w:rPr>
                <w:rFonts w:ascii="Arial" w:hAnsi="Arial" w:cs="Arial"/>
                <w:color w:val="002060"/>
                <w:sz w:val="20"/>
              </w:rPr>
              <w:t>% export</w:t>
            </w:r>
          </w:p>
        </w:tc>
        <w:tc>
          <w:tcPr>
            <w:tcW w:w="1276"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62.5%</w:t>
            </w:r>
          </w:p>
        </w:tc>
        <w:tc>
          <w:tcPr>
            <w:tcW w:w="1134"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42.3%</w:t>
            </w:r>
          </w:p>
        </w:tc>
        <w:tc>
          <w:tcPr>
            <w:tcW w:w="1275"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 </w:t>
            </w:r>
          </w:p>
        </w:tc>
        <w:tc>
          <w:tcPr>
            <w:tcW w:w="1276"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54.4%</w:t>
            </w:r>
          </w:p>
        </w:tc>
        <w:tc>
          <w:tcPr>
            <w:tcW w:w="1134"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52.2%</w:t>
            </w:r>
          </w:p>
        </w:tc>
        <w:tc>
          <w:tcPr>
            <w:tcW w:w="1276" w:type="dxa"/>
            <w:noWrap/>
            <w:vAlign w:val="bottom"/>
            <w:hideMark/>
          </w:tcPr>
          <w:p w:rsidR="00361AC4" w:rsidRPr="00361AC4" w:rsidRDefault="00361AC4">
            <w:pPr>
              <w:jc w:val="right"/>
              <w:rPr>
                <w:rFonts w:ascii="Arial" w:hAnsi="Arial" w:cs="Arial"/>
                <w:color w:val="002060"/>
                <w:sz w:val="20"/>
              </w:rPr>
            </w:pPr>
            <w:r w:rsidRPr="00361AC4">
              <w:rPr>
                <w:rFonts w:ascii="Arial" w:hAnsi="Arial" w:cs="Arial"/>
                <w:color w:val="002060"/>
                <w:sz w:val="20"/>
              </w:rPr>
              <w:t> </w:t>
            </w:r>
          </w:p>
        </w:tc>
      </w:tr>
    </w:tbl>
    <w:p w:rsidR="00142AE3" w:rsidRPr="00325254" w:rsidRDefault="00142AE3" w:rsidP="00142AE3">
      <w:pPr>
        <w:rPr>
          <w:rFonts w:ascii="Arial" w:hAnsi="Arial" w:cs="Arial"/>
          <w:b/>
          <w:color w:val="0D2255"/>
          <w:sz w:val="20"/>
        </w:rPr>
      </w:pPr>
    </w:p>
    <w:p w:rsidR="00142AE3" w:rsidRPr="00325254" w:rsidRDefault="00142AE3" w:rsidP="00142AE3">
      <w:pPr>
        <w:rPr>
          <w:rFonts w:ascii="Arial" w:hAnsi="Arial" w:cs="Arial"/>
          <w:b/>
          <w:color w:val="0D2255"/>
          <w:sz w:val="20"/>
        </w:rPr>
      </w:pPr>
      <w:r w:rsidRPr="00325254">
        <w:rPr>
          <w:rFonts w:ascii="Arial" w:hAnsi="Arial" w:cs="Arial"/>
          <w:b/>
          <w:color w:val="0D2255"/>
          <w:sz w:val="20"/>
        </w:rPr>
        <w:t>CV output rolling year total</w:t>
      </w:r>
      <w:r w:rsidRPr="00325254">
        <w:rPr>
          <w:rFonts w:ascii="Arial" w:hAnsi="Arial" w:cs="Arial"/>
          <w:b/>
          <w:color w:val="0D2255"/>
          <w:sz w:val="20"/>
        </w:rPr>
        <w:tab/>
      </w:r>
      <w:r w:rsidRPr="00325254">
        <w:rPr>
          <w:rFonts w:ascii="Arial" w:hAnsi="Arial" w:cs="Arial"/>
          <w:b/>
          <w:color w:val="0D2255"/>
          <w:sz w:val="20"/>
        </w:rPr>
        <w:tab/>
        <w:t xml:space="preserve">       </w:t>
      </w:r>
      <w:r w:rsidRPr="00325254">
        <w:rPr>
          <w:rFonts w:ascii="Arial" w:hAnsi="Arial" w:cs="Arial"/>
          <w:b/>
          <w:color w:val="0D2255"/>
          <w:sz w:val="20"/>
        </w:rPr>
        <w:tab/>
        <w:t xml:space="preserve">         CV output, year-to-date, 2012-2014</w:t>
      </w:r>
    </w:p>
    <w:p w:rsidR="000B47D6" w:rsidRPr="00767145" w:rsidRDefault="00142AE3" w:rsidP="00C4074C">
      <w:pPr>
        <w:rPr>
          <w:rFonts w:ascii="Arial" w:eastAsiaTheme="minorEastAsia" w:hAnsi="Arial" w:cs="Arial"/>
          <w:b/>
          <w:bCs/>
          <w:color w:val="1074CB"/>
          <w:sz w:val="44"/>
          <w:szCs w:val="44"/>
        </w:rPr>
      </w:pPr>
      <w:r w:rsidRPr="00142AE3">
        <w:rPr>
          <w:noProof/>
        </w:rPr>
        <w:t xml:space="preserve"> </w:t>
      </w:r>
      <w:r w:rsidR="00DA78D8">
        <w:rPr>
          <w:rFonts w:ascii="Arial" w:eastAsiaTheme="minorEastAsia" w:hAnsi="Arial" w:cs="Arial"/>
          <w:b/>
          <w:bCs/>
          <w:noProof/>
          <w:color w:val="1074CB"/>
          <w:sz w:val="44"/>
          <w:szCs w:val="44"/>
        </w:rPr>
        <w:drawing>
          <wp:inline distT="0" distB="0" distL="0" distR="0">
            <wp:extent cx="5939790" cy="2444750"/>
            <wp:effectExtent l="19050" t="0" r="3810" b="0"/>
            <wp:docPr id="12" name="Picture 11" descr="CV 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charts.JPG"/>
                    <pic:cNvPicPr/>
                  </pic:nvPicPr>
                  <pic:blipFill>
                    <a:blip r:embed="rId8" cstate="print"/>
                    <a:stretch>
                      <a:fillRect/>
                    </a:stretch>
                  </pic:blipFill>
                  <pic:spPr>
                    <a:xfrm>
                      <a:off x="0" y="0"/>
                      <a:ext cx="5939790" cy="2444750"/>
                    </a:xfrm>
                    <a:prstGeom prst="rect">
                      <a:avLst/>
                    </a:prstGeom>
                  </pic:spPr>
                </pic:pic>
              </a:graphicData>
            </a:graphic>
          </wp:inline>
        </w:drawing>
      </w:r>
    </w:p>
    <w:sectPr w:rsidR="000B47D6" w:rsidRPr="00767145"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07" w:rsidRDefault="00FF1007" w:rsidP="00C80E70">
      <w:r>
        <w:separator/>
      </w:r>
    </w:p>
  </w:endnote>
  <w:endnote w:type="continuationSeparator" w:id="0">
    <w:p w:rsidR="00FF1007" w:rsidRDefault="00FF1007"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83" w:rsidRPr="00853E71" w:rsidRDefault="00BB5F83"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BB5F83" w:rsidRPr="00853E71" w:rsidRDefault="00BB5F83"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BB5F83" w:rsidRPr="00853E71" w:rsidRDefault="00BB5F83" w:rsidP="007A1EAA">
    <w:pPr>
      <w:spacing w:afterAutospacing="1"/>
      <w:contextualSpacing/>
      <w:rPr>
        <w:rFonts w:ascii="Arial" w:eastAsia="Times New Roman" w:hAnsi="Arial" w:cs="Arial"/>
        <w:color w:val="1074CB"/>
        <w:sz w:val="16"/>
        <w:szCs w:val="16"/>
      </w:rPr>
    </w:pPr>
  </w:p>
  <w:p w:rsidR="00BB5F83" w:rsidRPr="00853E71" w:rsidRDefault="00BB5F83"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BB5F83" w:rsidRPr="00853E71" w:rsidRDefault="00BB5F83"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430DCC" w:rsidRDefault="00BB5F83" w:rsidP="00B94DB1">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20B6E">
        <w:rPr>
          <w:rStyle w:val="Hyperlink"/>
          <w:rFonts w:ascii="Arial" w:eastAsia="Times New Roman" w:hAnsi="Arial" w:cs="Arial"/>
          <w:sz w:val="16"/>
          <w:szCs w:val="16"/>
        </w:rPr>
        <w:t>amichaelides@smmt.co.uk</w:t>
      </w:r>
    </w:hyperlink>
  </w:p>
  <w:p w:rsidR="00430DCC" w:rsidRPr="00430DCC" w:rsidRDefault="00430DCC" w:rsidP="00B94DB1">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07974 436640</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4D4928">
        <w:rPr>
          <w:rStyle w:val="Hyperlink"/>
          <w:rFonts w:ascii="Arial" w:eastAsia="Times New Roman" w:hAnsi="Arial" w:cs="Arial"/>
          <w:sz w:val="16"/>
          <w:szCs w:val="16"/>
        </w:rPr>
        <w:t>bfoulds@smmt.co.uk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07" w:rsidRDefault="00FF1007" w:rsidP="00C80E70">
      <w:r>
        <w:separator/>
      </w:r>
    </w:p>
  </w:footnote>
  <w:footnote w:type="continuationSeparator" w:id="0">
    <w:p w:rsidR="00FF1007" w:rsidRDefault="00FF1007"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83" w:rsidRDefault="00BB5F8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80E70"/>
    <w:rsid w:val="0001774D"/>
    <w:rsid w:val="00017BE7"/>
    <w:rsid w:val="000376DA"/>
    <w:rsid w:val="00040399"/>
    <w:rsid w:val="00054E31"/>
    <w:rsid w:val="00066F55"/>
    <w:rsid w:val="00096A24"/>
    <w:rsid w:val="000B47D6"/>
    <w:rsid w:val="000C3FDE"/>
    <w:rsid w:val="000E5317"/>
    <w:rsid w:val="00116666"/>
    <w:rsid w:val="00121C86"/>
    <w:rsid w:val="00125D19"/>
    <w:rsid w:val="00133B87"/>
    <w:rsid w:val="0013617E"/>
    <w:rsid w:val="00142AE3"/>
    <w:rsid w:val="0014558C"/>
    <w:rsid w:val="001737CD"/>
    <w:rsid w:val="0017616F"/>
    <w:rsid w:val="00187E2B"/>
    <w:rsid w:val="00192CE4"/>
    <w:rsid w:val="001A1B4A"/>
    <w:rsid w:val="001A67B5"/>
    <w:rsid w:val="001C389E"/>
    <w:rsid w:val="001D6CB9"/>
    <w:rsid w:val="001E2638"/>
    <w:rsid w:val="001E33CE"/>
    <w:rsid w:val="001E428D"/>
    <w:rsid w:val="00200A18"/>
    <w:rsid w:val="00200F65"/>
    <w:rsid w:val="00201A40"/>
    <w:rsid w:val="0020649D"/>
    <w:rsid w:val="00235019"/>
    <w:rsid w:val="00252DCB"/>
    <w:rsid w:val="00263E82"/>
    <w:rsid w:val="00266A9A"/>
    <w:rsid w:val="002A5934"/>
    <w:rsid w:val="002B4F7D"/>
    <w:rsid w:val="002C400E"/>
    <w:rsid w:val="002D17AA"/>
    <w:rsid w:val="002D6C6E"/>
    <w:rsid w:val="002F3F25"/>
    <w:rsid w:val="002F73AF"/>
    <w:rsid w:val="00325254"/>
    <w:rsid w:val="003372F6"/>
    <w:rsid w:val="00361AC4"/>
    <w:rsid w:val="00375DF8"/>
    <w:rsid w:val="003A0F07"/>
    <w:rsid w:val="003A3777"/>
    <w:rsid w:val="003B1C39"/>
    <w:rsid w:val="003C76B4"/>
    <w:rsid w:val="003D5459"/>
    <w:rsid w:val="003E4D46"/>
    <w:rsid w:val="003E69D3"/>
    <w:rsid w:val="00410539"/>
    <w:rsid w:val="00430DCC"/>
    <w:rsid w:val="00440369"/>
    <w:rsid w:val="00443FDD"/>
    <w:rsid w:val="00447CDA"/>
    <w:rsid w:val="00456EBB"/>
    <w:rsid w:val="00464583"/>
    <w:rsid w:val="0046552A"/>
    <w:rsid w:val="00467D20"/>
    <w:rsid w:val="00471965"/>
    <w:rsid w:val="00472D14"/>
    <w:rsid w:val="00482D22"/>
    <w:rsid w:val="00486897"/>
    <w:rsid w:val="00494E5E"/>
    <w:rsid w:val="004B723F"/>
    <w:rsid w:val="004B727E"/>
    <w:rsid w:val="004B7D45"/>
    <w:rsid w:val="004C6507"/>
    <w:rsid w:val="004D2D65"/>
    <w:rsid w:val="004D592D"/>
    <w:rsid w:val="00505C8C"/>
    <w:rsid w:val="005218AC"/>
    <w:rsid w:val="005230CA"/>
    <w:rsid w:val="005407A6"/>
    <w:rsid w:val="00542422"/>
    <w:rsid w:val="00545182"/>
    <w:rsid w:val="005534B2"/>
    <w:rsid w:val="0055683E"/>
    <w:rsid w:val="005621BD"/>
    <w:rsid w:val="00567F13"/>
    <w:rsid w:val="00577A32"/>
    <w:rsid w:val="005926DF"/>
    <w:rsid w:val="005B33EF"/>
    <w:rsid w:val="005B536B"/>
    <w:rsid w:val="005C668F"/>
    <w:rsid w:val="005D2BA5"/>
    <w:rsid w:val="005E2C9D"/>
    <w:rsid w:val="005F44DC"/>
    <w:rsid w:val="0060762E"/>
    <w:rsid w:val="00614891"/>
    <w:rsid w:val="00626F3D"/>
    <w:rsid w:val="006315A6"/>
    <w:rsid w:val="0063394A"/>
    <w:rsid w:val="006364F0"/>
    <w:rsid w:val="00652DC2"/>
    <w:rsid w:val="00653F42"/>
    <w:rsid w:val="006623D6"/>
    <w:rsid w:val="00686576"/>
    <w:rsid w:val="00696C6A"/>
    <w:rsid w:val="006B3606"/>
    <w:rsid w:val="006B4C72"/>
    <w:rsid w:val="006B7F8A"/>
    <w:rsid w:val="006C63D3"/>
    <w:rsid w:val="006D538E"/>
    <w:rsid w:val="006E5BF9"/>
    <w:rsid w:val="006F7AF9"/>
    <w:rsid w:val="00703767"/>
    <w:rsid w:val="00714EF7"/>
    <w:rsid w:val="00735C0B"/>
    <w:rsid w:val="0073709A"/>
    <w:rsid w:val="007430A2"/>
    <w:rsid w:val="007433FE"/>
    <w:rsid w:val="00750A6C"/>
    <w:rsid w:val="00761183"/>
    <w:rsid w:val="00767145"/>
    <w:rsid w:val="00771A60"/>
    <w:rsid w:val="007851A1"/>
    <w:rsid w:val="00787B6E"/>
    <w:rsid w:val="00791C3D"/>
    <w:rsid w:val="007A1EAA"/>
    <w:rsid w:val="007B7669"/>
    <w:rsid w:val="007D36B3"/>
    <w:rsid w:val="00800A86"/>
    <w:rsid w:val="008030A3"/>
    <w:rsid w:val="00804C47"/>
    <w:rsid w:val="00806662"/>
    <w:rsid w:val="00880351"/>
    <w:rsid w:val="008902B9"/>
    <w:rsid w:val="00891F21"/>
    <w:rsid w:val="008B50CB"/>
    <w:rsid w:val="008E4462"/>
    <w:rsid w:val="008F55A4"/>
    <w:rsid w:val="00924274"/>
    <w:rsid w:val="00931C26"/>
    <w:rsid w:val="00932034"/>
    <w:rsid w:val="009511F2"/>
    <w:rsid w:val="00951B31"/>
    <w:rsid w:val="009548FB"/>
    <w:rsid w:val="00964455"/>
    <w:rsid w:val="0097483C"/>
    <w:rsid w:val="009A5488"/>
    <w:rsid w:val="009D44F7"/>
    <w:rsid w:val="009F17EB"/>
    <w:rsid w:val="009F5D30"/>
    <w:rsid w:val="00A2060E"/>
    <w:rsid w:val="00A24874"/>
    <w:rsid w:val="00A4405B"/>
    <w:rsid w:val="00A453EF"/>
    <w:rsid w:val="00A51715"/>
    <w:rsid w:val="00A67F90"/>
    <w:rsid w:val="00A72CAD"/>
    <w:rsid w:val="00A773DB"/>
    <w:rsid w:val="00A86C6F"/>
    <w:rsid w:val="00A93DE9"/>
    <w:rsid w:val="00A94474"/>
    <w:rsid w:val="00A96D25"/>
    <w:rsid w:val="00AA2084"/>
    <w:rsid w:val="00AA7BF4"/>
    <w:rsid w:val="00AB33BB"/>
    <w:rsid w:val="00AC57E0"/>
    <w:rsid w:val="00AD65CE"/>
    <w:rsid w:val="00B12E13"/>
    <w:rsid w:val="00B2588D"/>
    <w:rsid w:val="00B36DF8"/>
    <w:rsid w:val="00B4035F"/>
    <w:rsid w:val="00B40CCD"/>
    <w:rsid w:val="00B857A6"/>
    <w:rsid w:val="00B94DB1"/>
    <w:rsid w:val="00B95B22"/>
    <w:rsid w:val="00BB3EB9"/>
    <w:rsid w:val="00BB5F83"/>
    <w:rsid w:val="00BC3163"/>
    <w:rsid w:val="00BC5727"/>
    <w:rsid w:val="00BC7B6B"/>
    <w:rsid w:val="00BE1A62"/>
    <w:rsid w:val="00BF086E"/>
    <w:rsid w:val="00BF0928"/>
    <w:rsid w:val="00BF4C94"/>
    <w:rsid w:val="00C02170"/>
    <w:rsid w:val="00C065D0"/>
    <w:rsid w:val="00C07099"/>
    <w:rsid w:val="00C100C5"/>
    <w:rsid w:val="00C108FE"/>
    <w:rsid w:val="00C120C5"/>
    <w:rsid w:val="00C30AE8"/>
    <w:rsid w:val="00C4074C"/>
    <w:rsid w:val="00C53C0C"/>
    <w:rsid w:val="00C625B1"/>
    <w:rsid w:val="00C657AB"/>
    <w:rsid w:val="00C73F08"/>
    <w:rsid w:val="00C80E70"/>
    <w:rsid w:val="00C83606"/>
    <w:rsid w:val="00CA41BC"/>
    <w:rsid w:val="00CB221D"/>
    <w:rsid w:val="00CB4D91"/>
    <w:rsid w:val="00CB6220"/>
    <w:rsid w:val="00CC3D52"/>
    <w:rsid w:val="00CC6098"/>
    <w:rsid w:val="00CD0659"/>
    <w:rsid w:val="00CE070B"/>
    <w:rsid w:val="00CE3518"/>
    <w:rsid w:val="00D12474"/>
    <w:rsid w:val="00D335A5"/>
    <w:rsid w:val="00D41CAD"/>
    <w:rsid w:val="00D446D8"/>
    <w:rsid w:val="00D448CA"/>
    <w:rsid w:val="00D561FB"/>
    <w:rsid w:val="00D6067E"/>
    <w:rsid w:val="00D60A7A"/>
    <w:rsid w:val="00D6336B"/>
    <w:rsid w:val="00D65CB1"/>
    <w:rsid w:val="00D70424"/>
    <w:rsid w:val="00D82F6C"/>
    <w:rsid w:val="00D86627"/>
    <w:rsid w:val="00D911A4"/>
    <w:rsid w:val="00D92B21"/>
    <w:rsid w:val="00D96424"/>
    <w:rsid w:val="00DA78D8"/>
    <w:rsid w:val="00DB3140"/>
    <w:rsid w:val="00DB3768"/>
    <w:rsid w:val="00DC2D95"/>
    <w:rsid w:val="00DE0B9A"/>
    <w:rsid w:val="00DE5D6C"/>
    <w:rsid w:val="00DF19D9"/>
    <w:rsid w:val="00E14BEF"/>
    <w:rsid w:val="00E343D2"/>
    <w:rsid w:val="00E634A1"/>
    <w:rsid w:val="00E714BD"/>
    <w:rsid w:val="00E84E41"/>
    <w:rsid w:val="00E8542A"/>
    <w:rsid w:val="00EB1B2D"/>
    <w:rsid w:val="00EB2FB8"/>
    <w:rsid w:val="00EB4E51"/>
    <w:rsid w:val="00EB5EA2"/>
    <w:rsid w:val="00EC65AF"/>
    <w:rsid w:val="00EF35D8"/>
    <w:rsid w:val="00F16A23"/>
    <w:rsid w:val="00F205F0"/>
    <w:rsid w:val="00F339C4"/>
    <w:rsid w:val="00F40145"/>
    <w:rsid w:val="00F43472"/>
    <w:rsid w:val="00F50E90"/>
    <w:rsid w:val="00F5185E"/>
    <w:rsid w:val="00F67060"/>
    <w:rsid w:val="00F84F7B"/>
    <w:rsid w:val="00F867E9"/>
    <w:rsid w:val="00F869E5"/>
    <w:rsid w:val="00FF1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bfoulds@smmt.co.uk" TargetMode="External"/><Relationship Id="rId2" Type="http://schemas.openxmlformats.org/officeDocument/2006/relationships/hyperlink" Target="mailto:amichaelide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35D32-B839-4D71-ADD0-0EF2D0E5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2013-12-16T13:34:00Z</cp:lastPrinted>
  <dcterms:created xsi:type="dcterms:W3CDTF">2014-09-24T15:49:00Z</dcterms:created>
  <dcterms:modified xsi:type="dcterms:W3CDTF">2014-09-24T15:49:00Z</dcterms:modified>
</cp:coreProperties>
</file>