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2" w:rsidRPr="00176BC5" w:rsidRDefault="00C078E2" w:rsidP="00C078E2">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C078E2" w:rsidRPr="004D7D5E" w:rsidRDefault="004E5D68" w:rsidP="004D7D5E">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0E5F76">
        <w:rPr>
          <w:rFonts w:ascii="Arial" w:eastAsiaTheme="minorEastAsia" w:hAnsi="Arial" w:cs="Arial"/>
          <w:b w:val="0"/>
          <w:bCs/>
          <w:color w:val="1074CB"/>
          <w:sz w:val="44"/>
          <w:szCs w:val="44"/>
        </w:rPr>
        <w:t>7 January</w:t>
      </w:r>
      <w:r w:rsidR="00C078E2">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44"/>
          <w:szCs w:val="44"/>
        </w:rPr>
        <w:t>201</w:t>
      </w:r>
      <w:r w:rsidR="000E5F76">
        <w:rPr>
          <w:rFonts w:ascii="Arial" w:eastAsiaTheme="minorEastAsia" w:hAnsi="Arial" w:cs="Arial"/>
          <w:b w:val="0"/>
          <w:bCs/>
          <w:color w:val="1074CB"/>
          <w:sz w:val="44"/>
          <w:szCs w:val="44"/>
        </w:rPr>
        <w:t>3</w:t>
      </w:r>
      <w:r w:rsidR="00C078E2" w:rsidRPr="00176BC5">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32"/>
          <w:szCs w:val="32"/>
        </w:rPr>
        <w:t>(</w:t>
      </w:r>
      <w:r w:rsidR="000E5F76">
        <w:rPr>
          <w:rFonts w:ascii="Arial" w:eastAsiaTheme="minorEastAsia" w:hAnsi="Arial" w:cs="Arial"/>
          <w:b w:val="0"/>
          <w:bCs/>
          <w:color w:val="1074CB"/>
          <w:sz w:val="32"/>
          <w:szCs w:val="32"/>
        </w:rPr>
        <w:t>full year</w:t>
      </w:r>
      <w:r w:rsidR="00C078E2">
        <w:rPr>
          <w:rFonts w:ascii="Arial" w:eastAsiaTheme="minorEastAsia" w:hAnsi="Arial" w:cs="Arial"/>
          <w:b w:val="0"/>
          <w:bCs/>
          <w:color w:val="1074CB"/>
          <w:sz w:val="32"/>
          <w:szCs w:val="32"/>
        </w:rPr>
        <w:t xml:space="preserve"> 2012</w:t>
      </w:r>
      <w:r w:rsidR="00C078E2" w:rsidRPr="00176BC5">
        <w:rPr>
          <w:rFonts w:ascii="Arial" w:eastAsiaTheme="minorEastAsia" w:hAnsi="Arial" w:cs="Arial"/>
          <w:b w:val="0"/>
          <w:bCs/>
          <w:color w:val="1074CB"/>
          <w:sz w:val="32"/>
          <w:szCs w:val="32"/>
        </w:rPr>
        <w:t>)</w:t>
      </w:r>
      <w:r w:rsidR="004D7D5E">
        <w:rPr>
          <w:rFonts w:ascii="Arial" w:eastAsiaTheme="minorEastAsia" w:hAnsi="Arial" w:cs="Arial"/>
          <w:b w:val="0"/>
          <w:bCs/>
          <w:color w:val="1074CB"/>
          <w:sz w:val="44"/>
          <w:szCs w:val="44"/>
        </w:rPr>
        <w:t xml:space="preserve">        </w:t>
      </w:r>
      <w:r w:rsidR="00C078E2" w:rsidRPr="001A5B1A">
        <w:rPr>
          <w:rFonts w:ascii="Arial" w:eastAsiaTheme="minorEastAsia" w:hAnsi="Arial" w:cs="Arial"/>
          <w:b w:val="0"/>
          <w:bCs/>
          <w:color w:val="1074CB"/>
        </w:rPr>
        <w:t>FOR RELEASE</w:t>
      </w:r>
      <w:r w:rsidR="00C078E2">
        <w:rPr>
          <w:rFonts w:ascii="Arial" w:eastAsiaTheme="minorEastAsia" w:hAnsi="Arial" w:cs="Arial"/>
          <w:b w:val="0"/>
          <w:bCs/>
          <w:color w:val="1074CB"/>
        </w:rPr>
        <w:t>:</w:t>
      </w:r>
      <w:r w:rsidR="00C078E2" w:rsidRPr="001A5B1A">
        <w:rPr>
          <w:rFonts w:ascii="Arial" w:eastAsiaTheme="minorEastAsia" w:hAnsi="Arial" w:cs="Arial"/>
          <w:b w:val="0"/>
          <w:bCs/>
          <w:color w:val="1074CB"/>
        </w:rPr>
        <w:t xml:space="preserve"> IMMEDIATE</w:t>
      </w:r>
    </w:p>
    <w:p w:rsidR="00003F10" w:rsidRDefault="00C63F7E" w:rsidP="00003F10">
      <w:pPr>
        <w:pStyle w:val="PlainText"/>
        <w:rPr>
          <w:rFonts w:cs="Arial"/>
          <w:b/>
          <w:color w:val="1074CB"/>
          <w:sz w:val="36"/>
          <w:szCs w:val="36"/>
        </w:rPr>
      </w:pPr>
      <w:r w:rsidRPr="00C63F7E">
        <w:rPr>
          <w:rFonts w:eastAsiaTheme="minorEastAsia" w:cs="Arial"/>
          <w:bCs/>
          <w:noProof/>
          <w:color w:val="1074CB"/>
        </w:rPr>
        <w:pict>
          <v:line id="_x0000_s1028" style="position:absolute;z-index:251660288" from=".55pt,3.1pt" to="455.9pt,3.1pt" strokecolor="#1074cb"/>
        </w:pict>
      </w:r>
      <w:r w:rsidR="00003F10" w:rsidRPr="00003F10">
        <w:rPr>
          <w:rFonts w:cs="Arial"/>
          <w:b/>
          <w:color w:val="1074CB"/>
          <w:sz w:val="36"/>
          <w:szCs w:val="36"/>
        </w:rPr>
        <w:t xml:space="preserve"> </w:t>
      </w:r>
    </w:p>
    <w:p w:rsidR="00003F10" w:rsidRPr="00B1501C" w:rsidRDefault="00003F10" w:rsidP="00003F10">
      <w:pPr>
        <w:pStyle w:val="PlainText"/>
        <w:rPr>
          <w:rFonts w:cs="Arial"/>
          <w:b/>
          <w:color w:val="1074CB"/>
          <w:sz w:val="36"/>
          <w:szCs w:val="36"/>
        </w:rPr>
      </w:pPr>
      <w:r w:rsidRPr="00B1501C">
        <w:rPr>
          <w:rFonts w:cs="Arial"/>
          <w:b/>
          <w:color w:val="1074CB"/>
          <w:sz w:val="36"/>
          <w:szCs w:val="36"/>
        </w:rPr>
        <w:t xml:space="preserve">UK car manufacturing achieves </w:t>
      </w:r>
      <w:r>
        <w:rPr>
          <w:rFonts w:cs="Arial"/>
          <w:b/>
          <w:color w:val="1074CB"/>
          <w:sz w:val="36"/>
          <w:szCs w:val="36"/>
        </w:rPr>
        <w:t xml:space="preserve">all-time </w:t>
      </w:r>
      <w:r w:rsidRPr="00B1501C">
        <w:rPr>
          <w:rFonts w:cs="Arial"/>
          <w:b/>
          <w:color w:val="1074CB"/>
          <w:sz w:val="36"/>
          <w:szCs w:val="36"/>
        </w:rPr>
        <w:t>record exports in 2012</w:t>
      </w:r>
    </w:p>
    <w:p w:rsidR="00003F10" w:rsidRDefault="00003F10" w:rsidP="00003F10">
      <w:pPr>
        <w:pStyle w:val="PlainText"/>
        <w:spacing w:line="360" w:lineRule="auto"/>
        <w:rPr>
          <w:rFonts w:cs="Arial"/>
          <w:szCs w:val="20"/>
        </w:rPr>
      </w:pPr>
    </w:p>
    <w:p w:rsidR="00003F10" w:rsidRDefault="00003F10" w:rsidP="00976A88">
      <w:pPr>
        <w:numPr>
          <w:ilvl w:val="0"/>
          <w:numId w:val="1"/>
        </w:numPr>
        <w:spacing w:line="360" w:lineRule="auto"/>
        <w:rPr>
          <w:rFonts w:ascii="Arial" w:hAnsi="Arial" w:cs="Arial"/>
          <w:sz w:val="20"/>
        </w:rPr>
      </w:pPr>
      <w:r>
        <w:rPr>
          <w:rFonts w:ascii="Arial" w:hAnsi="Arial" w:cs="Arial"/>
          <w:sz w:val="20"/>
        </w:rPr>
        <w:t>UK car manufacturing broke all-time export records in 2012, with volumes sent overseas exceeding 1.2 million, up 8% on last year.</w:t>
      </w:r>
      <w:r w:rsidRPr="00D71534">
        <w:rPr>
          <w:rFonts w:ascii="Arial" w:hAnsi="Arial" w:cs="Arial"/>
          <w:b/>
          <w:noProof/>
          <w:color w:val="0D2255"/>
          <w:sz w:val="20"/>
        </w:rPr>
        <w:t xml:space="preserve"> </w:t>
      </w:r>
    </w:p>
    <w:p w:rsidR="00003F10" w:rsidRDefault="00003F10" w:rsidP="00976A88">
      <w:pPr>
        <w:numPr>
          <w:ilvl w:val="0"/>
          <w:numId w:val="1"/>
        </w:numPr>
        <w:spacing w:line="360" w:lineRule="auto"/>
        <w:rPr>
          <w:rFonts w:ascii="Arial" w:hAnsi="Arial" w:cs="Arial"/>
          <w:sz w:val="20"/>
        </w:rPr>
      </w:pPr>
      <w:r>
        <w:rPr>
          <w:rFonts w:ascii="Arial" w:hAnsi="Arial" w:cs="Arial"/>
          <w:sz w:val="20"/>
        </w:rPr>
        <w:t>Total vehicle output increased 8% last year to 1.58 million units, the highest level since 2008.</w:t>
      </w:r>
    </w:p>
    <w:p w:rsidR="00003F10" w:rsidRDefault="00003F10" w:rsidP="00976A88">
      <w:pPr>
        <w:numPr>
          <w:ilvl w:val="0"/>
          <w:numId w:val="1"/>
        </w:numPr>
        <w:spacing w:line="360" w:lineRule="auto"/>
        <w:rPr>
          <w:rFonts w:ascii="Arial" w:hAnsi="Arial" w:cs="Arial"/>
          <w:sz w:val="20"/>
        </w:rPr>
      </w:pPr>
      <w:r w:rsidRPr="00CB5253">
        <w:rPr>
          <w:rFonts w:ascii="Arial" w:hAnsi="Arial" w:cs="Arial"/>
          <w:sz w:val="20"/>
        </w:rPr>
        <w:t xml:space="preserve">Car </w:t>
      </w:r>
      <w:r>
        <w:rPr>
          <w:rFonts w:ascii="Arial" w:hAnsi="Arial" w:cs="Arial"/>
          <w:sz w:val="20"/>
        </w:rPr>
        <w:t>output</w:t>
      </w:r>
      <w:r w:rsidRPr="00CB5253">
        <w:rPr>
          <w:rFonts w:ascii="Arial" w:hAnsi="Arial" w:cs="Arial"/>
          <w:sz w:val="20"/>
        </w:rPr>
        <w:t xml:space="preserve"> </w:t>
      </w:r>
      <w:r>
        <w:rPr>
          <w:rFonts w:ascii="Arial" w:hAnsi="Arial" w:cs="Arial"/>
          <w:sz w:val="20"/>
        </w:rPr>
        <w:t>rose 9% in 2012 to 1.46 million units, ending the year with a 6% rise in December.</w:t>
      </w:r>
    </w:p>
    <w:p w:rsidR="00003F10" w:rsidRPr="00951DE5" w:rsidRDefault="00003F10" w:rsidP="00976A88">
      <w:pPr>
        <w:spacing w:line="360" w:lineRule="auto"/>
        <w:ind w:left="360"/>
        <w:rPr>
          <w:rFonts w:ascii="Arial" w:hAnsi="Arial" w:cs="Arial"/>
          <w:sz w:val="20"/>
        </w:rPr>
      </w:pPr>
    </w:p>
    <w:p w:rsidR="00003F10" w:rsidRDefault="00976A88" w:rsidP="00976A88">
      <w:pPr>
        <w:spacing w:line="360" w:lineRule="auto"/>
        <w:rPr>
          <w:rFonts w:ascii="Arial" w:hAnsi="Arial" w:cs="Arial"/>
          <w:sz w:val="20"/>
        </w:rPr>
      </w:pPr>
      <w:r w:rsidRPr="006F47FB">
        <w:rPr>
          <w:rFonts w:ascii="Arial" w:hAnsi="Arial" w:cs="Arial"/>
          <w:b/>
          <w:sz w:val="20"/>
        </w:rPr>
        <w:t xml:space="preserve">Paul Everitt, SMMT Chief Executive </w:t>
      </w:r>
      <w:r w:rsidRPr="00F54FC2">
        <w:rPr>
          <w:rFonts w:ascii="Arial" w:hAnsi="Arial" w:cs="Arial"/>
          <w:sz w:val="20"/>
        </w:rPr>
        <w:t>said,</w:t>
      </w:r>
      <w:r>
        <w:rPr>
          <w:rFonts w:ascii="Arial" w:hAnsi="Arial" w:cs="Arial"/>
          <w:sz w:val="20"/>
        </w:rPr>
        <w:t xml:space="preserve"> </w:t>
      </w:r>
      <w:r w:rsidR="00003F10">
        <w:rPr>
          <w:rFonts w:ascii="Arial" w:hAnsi="Arial" w:cs="Arial"/>
          <w:sz w:val="20"/>
        </w:rPr>
        <w:t xml:space="preserve">"2012 was a very good year for UK car production with record levels of exports and volumes </w:t>
      </w:r>
      <w:r w:rsidR="002F0CCF">
        <w:rPr>
          <w:rFonts w:ascii="Arial" w:hAnsi="Arial" w:cs="Arial"/>
          <w:sz w:val="20"/>
        </w:rPr>
        <w:t>at their</w:t>
      </w:r>
      <w:r>
        <w:rPr>
          <w:rFonts w:ascii="Arial" w:hAnsi="Arial" w:cs="Arial"/>
          <w:sz w:val="20"/>
        </w:rPr>
        <w:t xml:space="preserve"> highest since 2008.</w:t>
      </w:r>
    </w:p>
    <w:p w:rsidR="00003F10" w:rsidRDefault="00003F10" w:rsidP="00976A88">
      <w:pPr>
        <w:spacing w:line="360" w:lineRule="auto"/>
        <w:rPr>
          <w:rFonts w:ascii="Arial" w:hAnsi="Arial" w:cs="Arial"/>
          <w:sz w:val="20"/>
        </w:rPr>
      </w:pPr>
    </w:p>
    <w:p w:rsidR="00003F10" w:rsidRDefault="00003F10" w:rsidP="00976A88">
      <w:pPr>
        <w:spacing w:line="360" w:lineRule="auto"/>
        <w:rPr>
          <w:rFonts w:ascii="Arial" w:hAnsi="Arial" w:cs="Arial"/>
          <w:sz w:val="20"/>
        </w:rPr>
      </w:pPr>
      <w:r>
        <w:rPr>
          <w:rFonts w:ascii="Arial" w:hAnsi="Arial" w:cs="Arial"/>
          <w:sz w:val="20"/>
        </w:rPr>
        <w:t>"The outlook for 2013 remains positive with demand in many faster growing global markets offsetting the continued weakne</w:t>
      </w:r>
      <w:r w:rsidR="008634A4">
        <w:rPr>
          <w:rFonts w:ascii="Arial" w:hAnsi="Arial" w:cs="Arial"/>
          <w:sz w:val="20"/>
        </w:rPr>
        <w:t>ss in European economies. The £6</w:t>
      </w:r>
      <w:r>
        <w:rPr>
          <w:rFonts w:ascii="Arial" w:hAnsi="Arial" w:cs="Arial"/>
          <w:sz w:val="20"/>
        </w:rPr>
        <w:t xml:space="preserve"> billion of investment committed to UK facilities, new model programmes and R&amp;D signals a bright future and many new opportunities for companies in the supply chain.  These remain extremely challenging times and it is essential industry and government continue to work together to secure long-term industrial growth."</w:t>
      </w:r>
    </w:p>
    <w:p w:rsidR="00976A88" w:rsidRDefault="00976A88" w:rsidP="00003F10">
      <w:pPr>
        <w:spacing w:line="288" w:lineRule="auto"/>
        <w:rPr>
          <w:rFonts w:ascii="Arial" w:hAnsi="Arial" w:cs="Arial"/>
          <w:sz w:val="20"/>
        </w:rPr>
      </w:pPr>
    </w:p>
    <w:p w:rsidR="00D71534" w:rsidRDefault="00D71534" w:rsidP="00D71534">
      <w:pPr>
        <w:spacing w:line="288" w:lineRule="auto"/>
        <w:rPr>
          <w:rFonts w:ascii="Arial" w:hAnsi="Arial" w:cs="Arial"/>
          <w:sz w:val="20"/>
        </w:rPr>
      </w:pPr>
      <w:r w:rsidRPr="0081561D">
        <w:rPr>
          <w:rFonts w:ascii="Arial" w:hAnsi="Arial" w:cs="Arial"/>
          <w:b/>
          <w:color w:val="0D2255"/>
          <w:sz w:val="20"/>
        </w:rPr>
        <w:t>Car</w:t>
      </w:r>
      <w:r w:rsidR="006F47FB">
        <w:rPr>
          <w:rFonts w:ascii="Arial" w:hAnsi="Arial" w:cs="Arial"/>
          <w:b/>
          <w:color w:val="0D2255"/>
          <w:sz w:val="20"/>
        </w:rPr>
        <w:t xml:space="preserve"> </w:t>
      </w:r>
      <w:proofErr w:type="gramStart"/>
      <w:r w:rsidR="006F47FB">
        <w:rPr>
          <w:rFonts w:ascii="Arial" w:hAnsi="Arial" w:cs="Arial"/>
          <w:b/>
          <w:color w:val="0D2255"/>
          <w:sz w:val="20"/>
        </w:rPr>
        <w:t>manufacturing</w:t>
      </w:r>
      <w:r w:rsidR="009C3BD2">
        <w:rPr>
          <w:rFonts w:ascii="Arial" w:hAnsi="Arial" w:cs="Arial"/>
          <w:b/>
          <w:color w:val="0D2255"/>
          <w:sz w:val="20"/>
        </w:rPr>
        <w:t>, 2007-2012, total</w:t>
      </w:r>
      <w:proofErr w:type="gramEnd"/>
      <w:r w:rsidR="009C3BD2">
        <w:rPr>
          <w:rFonts w:ascii="Arial" w:hAnsi="Arial" w:cs="Arial"/>
          <w:b/>
          <w:color w:val="0D2255"/>
          <w:sz w:val="20"/>
        </w:rPr>
        <w:t xml:space="preserve"> and export volume</w:t>
      </w:r>
      <w:r w:rsidR="00A23CBA">
        <w:rPr>
          <w:rFonts w:ascii="Arial" w:hAnsi="Arial" w:cs="Arial"/>
          <w:b/>
          <w:color w:val="0D2255"/>
          <w:sz w:val="20"/>
        </w:rPr>
        <w:t>s</w:t>
      </w:r>
      <w:r w:rsidRPr="0081561D">
        <w:rPr>
          <w:rFonts w:ascii="Arial" w:hAnsi="Arial" w:cs="Arial"/>
          <w:b/>
          <w:color w:val="0D2255"/>
          <w:sz w:val="20"/>
        </w:rPr>
        <w:t xml:space="preserve"> </w:t>
      </w:r>
      <w:r>
        <w:rPr>
          <w:rFonts w:ascii="Arial" w:hAnsi="Arial" w:cs="Arial"/>
          <w:b/>
          <w:color w:val="0D2255"/>
          <w:sz w:val="20"/>
        </w:rPr>
        <w:tab/>
      </w:r>
    </w:p>
    <w:p w:rsidR="00D71534" w:rsidRDefault="009C3BD2" w:rsidP="00D71534">
      <w:pPr>
        <w:spacing w:line="288" w:lineRule="auto"/>
        <w:rPr>
          <w:rFonts w:ascii="Arial" w:hAnsi="Arial" w:cs="Arial"/>
          <w:sz w:val="20"/>
        </w:rPr>
      </w:pPr>
      <w:r w:rsidRPr="009C3BD2">
        <w:rPr>
          <w:rFonts w:ascii="Arial" w:hAnsi="Arial" w:cs="Arial"/>
          <w:noProof/>
          <w:sz w:val="20"/>
        </w:rPr>
        <w:drawing>
          <wp:inline distT="0" distB="0" distL="0" distR="0">
            <wp:extent cx="5709037" cy="38404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3EF8" w:rsidRDefault="00E13EF8" w:rsidP="008D0299">
      <w:pPr>
        <w:rPr>
          <w:rFonts w:ascii="Arial" w:hAnsi="Arial" w:cs="Arial"/>
          <w:sz w:val="20"/>
        </w:rPr>
      </w:pPr>
    </w:p>
    <w:p w:rsidR="00976A88" w:rsidRPr="00976A88" w:rsidRDefault="00976A88" w:rsidP="00976A88">
      <w:pPr>
        <w:pStyle w:val="NormalWeb"/>
        <w:spacing w:line="360" w:lineRule="auto"/>
        <w:rPr>
          <w:sz w:val="20"/>
          <w:szCs w:val="20"/>
        </w:rPr>
      </w:pPr>
      <w:r w:rsidRPr="006F47FB">
        <w:rPr>
          <w:rFonts w:ascii="Arial" w:hAnsi="Arial" w:cs="Arial"/>
          <w:b/>
          <w:sz w:val="20"/>
          <w:szCs w:val="20"/>
        </w:rPr>
        <w:t xml:space="preserve">Business Secretary Vince Cable </w:t>
      </w:r>
      <w:r w:rsidRPr="00F54FC2">
        <w:rPr>
          <w:rFonts w:ascii="Arial" w:hAnsi="Arial" w:cs="Arial"/>
          <w:sz w:val="20"/>
          <w:szCs w:val="20"/>
        </w:rPr>
        <w:t>said,</w:t>
      </w:r>
      <w:r>
        <w:rPr>
          <w:rFonts w:ascii="Arial" w:hAnsi="Arial" w:cs="Arial"/>
        </w:rPr>
        <w:t xml:space="preserve"> </w:t>
      </w:r>
      <w:r w:rsidRPr="00976A88">
        <w:rPr>
          <w:rFonts w:ascii="Arial" w:hAnsi="Arial" w:cs="Arial"/>
          <w:sz w:val="20"/>
          <w:szCs w:val="20"/>
        </w:rPr>
        <w:t>"News that UK car pr</w:t>
      </w:r>
      <w:r>
        <w:rPr>
          <w:rFonts w:ascii="Arial" w:hAnsi="Arial" w:cs="Arial"/>
          <w:sz w:val="20"/>
          <w:szCs w:val="20"/>
        </w:rPr>
        <w:t>oduction increased by 9%</w:t>
      </w:r>
      <w:r w:rsidRPr="00976A88">
        <w:rPr>
          <w:rFonts w:ascii="Arial" w:hAnsi="Arial" w:cs="Arial"/>
          <w:sz w:val="20"/>
          <w:szCs w:val="20"/>
        </w:rPr>
        <w:t xml:space="preserve"> in 2012 and exports are at record levels is a great tribute to our manufacturing strengths, particularly in the face of challenging trading conditions in Europe and strong international competition.</w:t>
      </w:r>
    </w:p>
    <w:p w:rsidR="00976A88" w:rsidRPr="00976A88" w:rsidRDefault="00976A88" w:rsidP="00976A88">
      <w:pPr>
        <w:pStyle w:val="NormalWeb"/>
        <w:spacing w:line="360" w:lineRule="auto"/>
        <w:rPr>
          <w:sz w:val="20"/>
          <w:szCs w:val="20"/>
        </w:rPr>
      </w:pPr>
      <w:r w:rsidRPr="00976A88">
        <w:rPr>
          <w:rFonts w:ascii="Arial" w:hAnsi="Arial" w:cs="Arial"/>
          <w:sz w:val="20"/>
          <w:szCs w:val="20"/>
        </w:rPr>
        <w:t>"The UK is achieving success by making products that are in demand across the world. We have a diverse and innovative automotive sector with some of the most productive plants in the world and a flexible, skilled and committed workforce.</w:t>
      </w:r>
    </w:p>
    <w:p w:rsidR="00976A88" w:rsidRPr="00976A88" w:rsidRDefault="00976A88" w:rsidP="00976A88">
      <w:pPr>
        <w:pStyle w:val="NormalWeb"/>
        <w:spacing w:line="360" w:lineRule="auto"/>
        <w:rPr>
          <w:rFonts w:ascii="Arial" w:hAnsi="Arial" w:cs="Arial"/>
          <w:sz w:val="20"/>
          <w:szCs w:val="20"/>
        </w:rPr>
      </w:pPr>
      <w:r>
        <w:rPr>
          <w:rFonts w:ascii="Arial" w:hAnsi="Arial" w:cs="Arial"/>
          <w:sz w:val="20"/>
          <w:szCs w:val="20"/>
        </w:rPr>
        <w:t>"The g</w:t>
      </w:r>
      <w:r w:rsidRPr="00976A88">
        <w:rPr>
          <w:rFonts w:ascii="Arial" w:hAnsi="Arial" w:cs="Arial"/>
          <w:sz w:val="20"/>
          <w:szCs w:val="20"/>
        </w:rPr>
        <w:t>overnment is creating a highly supportive business environment to ensure that UK manufacturers continue to flourish as well as encouraging further investment in the UK automotive sector, including the supply chain.</w:t>
      </w:r>
    </w:p>
    <w:p w:rsidR="00003F10" w:rsidRPr="00976A88" w:rsidRDefault="00976A88" w:rsidP="00976A88">
      <w:pPr>
        <w:pStyle w:val="NormalWeb"/>
        <w:spacing w:line="360" w:lineRule="auto"/>
        <w:rPr>
          <w:sz w:val="20"/>
          <w:szCs w:val="20"/>
        </w:rPr>
      </w:pPr>
      <w:r w:rsidRPr="00976A88">
        <w:rPr>
          <w:rFonts w:ascii="Arial" w:hAnsi="Arial" w:cs="Arial"/>
          <w:sz w:val="20"/>
          <w:szCs w:val="20"/>
        </w:rPr>
        <w:t>"There is no room for complacency and to build on this competitive advantage we are working jointly with the auto sector on a long term industrial strategy.”</w:t>
      </w:r>
    </w:p>
    <w:tbl>
      <w:tblPr>
        <w:tblpPr w:leftFromText="180" w:rightFromText="180" w:vertAnchor="text" w:horzAnchor="margin" w:tblpY="161"/>
        <w:tblW w:w="9256"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67"/>
        <w:gridCol w:w="1288"/>
        <w:gridCol w:w="1032"/>
        <w:gridCol w:w="1284"/>
        <w:gridCol w:w="867"/>
        <w:gridCol w:w="1017"/>
        <w:gridCol w:w="867"/>
        <w:gridCol w:w="1017"/>
      </w:tblGrid>
      <w:tr w:rsidR="006806F1" w:rsidRPr="00307829" w:rsidTr="006806F1">
        <w:trPr>
          <w:trHeight w:val="288"/>
        </w:trPr>
        <w:tc>
          <w:tcPr>
            <w:tcW w:w="0" w:type="auto"/>
            <w:tcBorders>
              <w:left w:val="nil"/>
            </w:tcBorders>
            <w:shd w:val="clear" w:color="auto" w:fill="auto"/>
            <w:noWrap/>
            <w:hideMark/>
          </w:tcPr>
          <w:p w:rsidR="006806F1" w:rsidRPr="00BE2914" w:rsidRDefault="006806F1" w:rsidP="006806F1">
            <w:pPr>
              <w:rPr>
                <w:rFonts w:ascii="Arial" w:hAnsi="Arial" w:cs="Arial"/>
                <w:b/>
                <w:bCs/>
                <w:color w:val="1074CB"/>
                <w:sz w:val="18"/>
                <w:szCs w:val="18"/>
              </w:rPr>
            </w:pPr>
            <w:r>
              <w:rPr>
                <w:rFonts w:ascii="Arial" w:hAnsi="Arial" w:cs="Arial"/>
                <w:b/>
                <w:bCs/>
                <w:color w:val="1074CB"/>
                <w:sz w:val="18"/>
                <w:szCs w:val="18"/>
              </w:rPr>
              <w:t>SMMT</w:t>
            </w:r>
          </w:p>
        </w:tc>
        <w:tc>
          <w:tcPr>
            <w:tcW w:w="2155" w:type="dxa"/>
            <w:gridSpan w:val="2"/>
            <w:shd w:val="clear" w:color="auto" w:fill="auto"/>
            <w:noWrap/>
            <w:hideMark/>
          </w:tcPr>
          <w:p w:rsidR="006806F1" w:rsidRPr="00BE2914" w:rsidRDefault="006806F1" w:rsidP="006806F1">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6806F1" w:rsidRPr="00BE2914" w:rsidRDefault="006806F1" w:rsidP="006806F1">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6806F1" w:rsidRPr="00BE2914" w:rsidRDefault="006806F1" w:rsidP="006806F1">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6806F1" w:rsidRPr="00BE2914" w:rsidRDefault="006806F1" w:rsidP="006806F1">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6806F1" w:rsidRPr="00307829" w:rsidTr="006806F1">
        <w:trPr>
          <w:trHeight w:val="288"/>
        </w:trPr>
        <w:tc>
          <w:tcPr>
            <w:tcW w:w="0" w:type="auto"/>
            <w:tcBorders>
              <w:left w:val="nil"/>
            </w:tcBorders>
            <w:shd w:val="clear" w:color="auto" w:fill="auto"/>
            <w:noWrap/>
            <w:hideMark/>
          </w:tcPr>
          <w:p w:rsidR="006806F1" w:rsidRPr="00BE2914" w:rsidRDefault="006806F1" w:rsidP="006806F1">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Dec-12</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Dec-12</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Dec-12</w:t>
            </w:r>
          </w:p>
        </w:tc>
        <w:tc>
          <w:tcPr>
            <w:tcW w:w="0" w:type="auto"/>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Dec-12</w:t>
            </w:r>
          </w:p>
        </w:tc>
        <w:tc>
          <w:tcPr>
            <w:tcW w:w="1017" w:type="dxa"/>
            <w:tcBorders>
              <w:left w:val="nil"/>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YTD-12</w:t>
            </w:r>
          </w:p>
        </w:tc>
      </w:tr>
      <w:tr w:rsidR="006806F1" w:rsidRPr="002C57DA" w:rsidTr="006806F1">
        <w:trPr>
          <w:trHeight w:val="288"/>
        </w:trPr>
        <w:tc>
          <w:tcPr>
            <w:tcW w:w="0" w:type="auto"/>
            <w:tcBorders>
              <w:left w:val="nil"/>
            </w:tcBorders>
            <w:shd w:val="clear" w:color="auto" w:fill="auto"/>
            <w:noWrap/>
            <w:vAlign w:val="center"/>
            <w:hideMark/>
          </w:tcPr>
          <w:p w:rsidR="006806F1" w:rsidRPr="002C57DA" w:rsidRDefault="006806F1" w:rsidP="006806F1">
            <w:pPr>
              <w:rPr>
                <w:rFonts w:ascii="Arial" w:hAnsi="Arial" w:cs="Arial"/>
                <w:bCs/>
                <w:color w:val="1074CB"/>
                <w:sz w:val="18"/>
                <w:szCs w:val="18"/>
              </w:rPr>
            </w:pPr>
            <w:r w:rsidRPr="002C57DA">
              <w:rPr>
                <w:rFonts w:ascii="Arial" w:hAnsi="Arial" w:cs="Arial"/>
                <w:bCs/>
                <w:color w:val="1074CB"/>
                <w:sz w:val="18"/>
                <w:szCs w:val="18"/>
              </w:rPr>
              <w:t>Total</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101,740</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1,464,906</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6,851</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112,039</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108,591</w:t>
            </w:r>
          </w:p>
        </w:tc>
        <w:tc>
          <w:tcPr>
            <w:tcW w:w="0" w:type="auto"/>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1,576,945</w:t>
            </w:r>
          </w:p>
        </w:tc>
        <w:tc>
          <w:tcPr>
            <w:tcW w:w="867" w:type="dxa"/>
            <w:tcBorders>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150,204</w:t>
            </w:r>
          </w:p>
        </w:tc>
        <w:tc>
          <w:tcPr>
            <w:tcW w:w="1017" w:type="dxa"/>
            <w:tcBorders>
              <w:left w:val="nil"/>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2,495,371</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6.2%</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9.0%</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-18.9%</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-6.8%</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4.2%</w:t>
            </w:r>
          </w:p>
        </w:tc>
        <w:tc>
          <w:tcPr>
            <w:tcW w:w="0" w:type="auto"/>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7.7%</w:t>
            </w:r>
          </w:p>
        </w:tc>
        <w:tc>
          <w:tcPr>
            <w:tcW w:w="867" w:type="dxa"/>
            <w:tcBorders>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-0.8%</w:t>
            </w:r>
          </w:p>
        </w:tc>
        <w:tc>
          <w:tcPr>
            <w:tcW w:w="1017" w:type="dxa"/>
            <w:tcBorders>
              <w:left w:val="nil"/>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-0.3%</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84,986</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1,212,031</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3,550</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63,733</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88,536</w:t>
            </w:r>
          </w:p>
        </w:tc>
        <w:tc>
          <w:tcPr>
            <w:tcW w:w="0" w:type="auto"/>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1,275,764</w:t>
            </w:r>
          </w:p>
        </w:tc>
        <w:tc>
          <w:tcPr>
            <w:tcW w:w="867" w:type="dxa"/>
            <w:tcBorders>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96,933</w:t>
            </w:r>
          </w:p>
        </w:tc>
        <w:tc>
          <w:tcPr>
            <w:tcW w:w="1017" w:type="dxa"/>
            <w:tcBorders>
              <w:left w:val="nil"/>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1,554,208</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4.2%</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7.8%</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-26.7%</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-8.1%</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2.5%</w:t>
            </w:r>
          </w:p>
        </w:tc>
        <w:tc>
          <w:tcPr>
            <w:tcW w:w="0" w:type="auto"/>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6.8%</w:t>
            </w:r>
          </w:p>
        </w:tc>
        <w:tc>
          <w:tcPr>
            <w:tcW w:w="867" w:type="dxa"/>
            <w:tcBorders>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-2.1%</w:t>
            </w:r>
          </w:p>
        </w:tc>
        <w:tc>
          <w:tcPr>
            <w:tcW w:w="1017" w:type="dxa"/>
            <w:tcBorders>
              <w:left w:val="nil"/>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-11.6%</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83.5%</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82.7%</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51.8%</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56.9%</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81.5%</w:t>
            </w:r>
          </w:p>
        </w:tc>
        <w:tc>
          <w:tcPr>
            <w:tcW w:w="0" w:type="auto"/>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80.9%</w:t>
            </w:r>
          </w:p>
        </w:tc>
        <w:tc>
          <w:tcPr>
            <w:tcW w:w="867" w:type="dxa"/>
            <w:tcBorders>
              <w:right w:val="nil"/>
            </w:tcBorders>
            <w:shd w:val="clear" w:color="auto" w:fill="auto"/>
            <w:vAlign w:val="bottom"/>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64.5%</w:t>
            </w:r>
          </w:p>
        </w:tc>
        <w:tc>
          <w:tcPr>
            <w:tcW w:w="1017" w:type="dxa"/>
            <w:tcBorders>
              <w:left w:val="nil"/>
              <w:right w:val="nil"/>
            </w:tcBorders>
            <w:shd w:val="clear" w:color="auto" w:fill="auto"/>
            <w:vAlign w:val="bottom"/>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62.3%</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16,754</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252,875</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3,301</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48,306</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20,055</w:t>
            </w:r>
          </w:p>
        </w:tc>
        <w:tc>
          <w:tcPr>
            <w:tcW w:w="0" w:type="auto"/>
            <w:tcBorders>
              <w:left w:val="nil"/>
            </w:tcBorders>
            <w:shd w:val="clear" w:color="auto" w:fill="auto"/>
            <w:noWrap/>
            <w:vAlign w:val="bottom"/>
            <w:hideMark/>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301,181</w:t>
            </w:r>
          </w:p>
        </w:tc>
        <w:tc>
          <w:tcPr>
            <w:tcW w:w="867" w:type="dxa"/>
            <w:tcBorders>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53,271</w:t>
            </w:r>
          </w:p>
        </w:tc>
        <w:tc>
          <w:tcPr>
            <w:tcW w:w="1017" w:type="dxa"/>
            <w:tcBorders>
              <w:left w:val="nil"/>
              <w:right w:val="nil"/>
            </w:tcBorders>
            <w:shd w:val="clear" w:color="auto" w:fill="auto"/>
            <w:vAlign w:val="bottom"/>
          </w:tcPr>
          <w:p w:rsidR="006806F1" w:rsidRDefault="006806F1" w:rsidP="006806F1">
            <w:pPr>
              <w:jc w:val="center"/>
              <w:rPr>
                <w:rFonts w:ascii="Arial" w:hAnsi="Arial" w:cs="Arial"/>
                <w:b/>
                <w:bCs/>
                <w:color w:val="0070C0"/>
                <w:sz w:val="18"/>
                <w:szCs w:val="18"/>
              </w:rPr>
            </w:pPr>
            <w:r>
              <w:rPr>
                <w:rFonts w:ascii="Arial" w:hAnsi="Arial" w:cs="Arial"/>
                <w:b/>
                <w:bCs/>
                <w:color w:val="0070C0"/>
                <w:sz w:val="18"/>
                <w:szCs w:val="18"/>
              </w:rPr>
              <w:t>941,163</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17.5%</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15.4%</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-8.4%</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-4.9%</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12.3%</w:t>
            </w:r>
          </w:p>
        </w:tc>
        <w:tc>
          <w:tcPr>
            <w:tcW w:w="0" w:type="auto"/>
            <w:tcBorders>
              <w:left w:val="nil"/>
            </w:tcBorders>
            <w:shd w:val="clear" w:color="auto" w:fill="auto"/>
            <w:noWrap/>
            <w:vAlign w:val="bottom"/>
            <w:hideMark/>
          </w:tcPr>
          <w:p w:rsidR="006806F1" w:rsidRDefault="006806F1" w:rsidP="006806F1">
            <w:pPr>
              <w:jc w:val="center"/>
              <w:rPr>
                <w:rFonts w:ascii="Arial" w:hAnsi="Arial" w:cs="Arial"/>
                <w:color w:val="0070C0"/>
                <w:sz w:val="18"/>
                <w:szCs w:val="18"/>
              </w:rPr>
            </w:pPr>
            <w:r>
              <w:rPr>
                <w:rFonts w:ascii="Arial" w:hAnsi="Arial" w:cs="Arial"/>
                <w:color w:val="0070C0"/>
                <w:sz w:val="18"/>
                <w:szCs w:val="18"/>
              </w:rPr>
              <w:t>11.6%</w:t>
            </w:r>
          </w:p>
        </w:tc>
        <w:tc>
          <w:tcPr>
            <w:tcW w:w="867" w:type="dxa"/>
            <w:tcBorders>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1.7%</w:t>
            </w:r>
          </w:p>
        </w:tc>
        <w:tc>
          <w:tcPr>
            <w:tcW w:w="1017" w:type="dxa"/>
            <w:tcBorders>
              <w:left w:val="nil"/>
              <w:right w:val="nil"/>
            </w:tcBorders>
            <w:shd w:val="clear" w:color="auto" w:fill="auto"/>
            <w:vAlign w:val="bottom"/>
          </w:tcPr>
          <w:p w:rsidR="006806F1" w:rsidRDefault="006806F1" w:rsidP="006806F1">
            <w:pPr>
              <w:jc w:val="center"/>
              <w:rPr>
                <w:rFonts w:ascii="Arial" w:hAnsi="Arial" w:cs="Arial"/>
                <w:color w:val="0070C0"/>
                <w:sz w:val="18"/>
                <w:szCs w:val="18"/>
              </w:rPr>
            </w:pPr>
            <w:r>
              <w:rPr>
                <w:rFonts w:ascii="Arial" w:hAnsi="Arial" w:cs="Arial"/>
                <w:color w:val="0070C0"/>
                <w:sz w:val="18"/>
                <w:szCs w:val="18"/>
              </w:rPr>
              <w:t>26.2%</w:t>
            </w:r>
          </w:p>
        </w:tc>
      </w:tr>
      <w:tr w:rsidR="006806F1" w:rsidRPr="00307829" w:rsidTr="006806F1">
        <w:trPr>
          <w:trHeight w:val="288"/>
        </w:trPr>
        <w:tc>
          <w:tcPr>
            <w:tcW w:w="0" w:type="auto"/>
            <w:tcBorders>
              <w:left w:val="nil"/>
            </w:tcBorders>
            <w:shd w:val="clear" w:color="auto" w:fill="auto"/>
            <w:noWrap/>
            <w:vAlign w:val="center"/>
            <w:hideMark/>
          </w:tcPr>
          <w:p w:rsidR="006806F1" w:rsidRPr="00BE2914" w:rsidRDefault="006806F1" w:rsidP="006806F1">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16.5%</w:t>
            </w:r>
          </w:p>
        </w:tc>
        <w:tc>
          <w:tcPr>
            <w:tcW w:w="1288" w:type="dxa"/>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17.3%</w:t>
            </w:r>
          </w:p>
        </w:tc>
        <w:tc>
          <w:tcPr>
            <w:tcW w:w="1032" w:type="dxa"/>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48.2%</w:t>
            </w:r>
          </w:p>
        </w:tc>
        <w:tc>
          <w:tcPr>
            <w:tcW w:w="1284" w:type="dxa"/>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43.1%</w:t>
            </w:r>
          </w:p>
        </w:tc>
        <w:tc>
          <w:tcPr>
            <w:tcW w:w="0" w:type="auto"/>
            <w:tcBorders>
              <w:righ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18.5%</w:t>
            </w:r>
          </w:p>
        </w:tc>
        <w:tc>
          <w:tcPr>
            <w:tcW w:w="0" w:type="auto"/>
            <w:tcBorders>
              <w:left w:val="nil"/>
            </w:tcBorders>
            <w:shd w:val="clear" w:color="auto" w:fill="auto"/>
            <w:noWrap/>
            <w:vAlign w:val="bottom"/>
            <w:hideMark/>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19.1%</w:t>
            </w:r>
          </w:p>
        </w:tc>
        <w:tc>
          <w:tcPr>
            <w:tcW w:w="867" w:type="dxa"/>
            <w:tcBorders>
              <w:right w:val="nil"/>
            </w:tcBorders>
            <w:shd w:val="clear" w:color="auto" w:fill="auto"/>
            <w:vAlign w:val="bottom"/>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35.5%</w:t>
            </w:r>
          </w:p>
        </w:tc>
        <w:tc>
          <w:tcPr>
            <w:tcW w:w="1017" w:type="dxa"/>
            <w:tcBorders>
              <w:left w:val="nil"/>
              <w:right w:val="nil"/>
            </w:tcBorders>
            <w:shd w:val="clear" w:color="auto" w:fill="auto"/>
            <w:vAlign w:val="bottom"/>
          </w:tcPr>
          <w:p w:rsidR="006806F1" w:rsidRDefault="006806F1" w:rsidP="006806F1">
            <w:pPr>
              <w:jc w:val="center"/>
              <w:rPr>
                <w:rFonts w:ascii="Arial" w:hAnsi="Arial" w:cs="Arial"/>
                <w:i/>
                <w:iCs/>
                <w:color w:val="0070C0"/>
                <w:sz w:val="18"/>
                <w:szCs w:val="18"/>
              </w:rPr>
            </w:pPr>
            <w:r>
              <w:rPr>
                <w:rFonts w:ascii="Arial" w:hAnsi="Arial" w:cs="Arial"/>
                <w:i/>
                <w:iCs/>
                <w:color w:val="0070C0"/>
                <w:sz w:val="18"/>
                <w:szCs w:val="18"/>
              </w:rPr>
              <w:t>37.7%</w:t>
            </w:r>
          </w:p>
        </w:tc>
      </w:tr>
    </w:tbl>
    <w:p w:rsidR="00AE7AA2" w:rsidRDefault="00AE7AA2" w:rsidP="00C078E2">
      <w:pPr>
        <w:keepNext/>
        <w:spacing w:line="276" w:lineRule="auto"/>
        <w:rPr>
          <w:rFonts w:ascii="Arial" w:hAnsi="Arial" w:cs="Arial"/>
          <w:b/>
          <w:color w:val="0D2255"/>
          <w:sz w:val="20"/>
        </w:rPr>
      </w:pPr>
    </w:p>
    <w:p w:rsidR="00976A88" w:rsidRDefault="00976A88" w:rsidP="00C078E2">
      <w:pPr>
        <w:keepNext/>
        <w:spacing w:line="276" w:lineRule="auto"/>
        <w:rPr>
          <w:rFonts w:ascii="Arial" w:hAnsi="Arial" w:cs="Arial"/>
          <w:b/>
          <w:color w:val="0D2255"/>
          <w:sz w:val="20"/>
        </w:rPr>
      </w:pPr>
    </w:p>
    <w:p w:rsidR="00CA568D" w:rsidRDefault="00D71534" w:rsidP="00976A88">
      <w:pPr>
        <w:numPr>
          <w:ilvl w:val="0"/>
          <w:numId w:val="1"/>
        </w:numPr>
        <w:spacing w:line="360" w:lineRule="auto"/>
        <w:rPr>
          <w:rFonts w:ascii="Arial" w:hAnsi="Arial" w:cs="Arial"/>
          <w:sz w:val="20"/>
        </w:rPr>
      </w:pPr>
      <w:r w:rsidRPr="00CA568D">
        <w:rPr>
          <w:rFonts w:ascii="Arial" w:hAnsi="Arial" w:cs="Arial"/>
          <w:sz w:val="20"/>
        </w:rPr>
        <w:t>CV output fell 6.8% in the year and was down 18.9% in December</w:t>
      </w:r>
      <w:r w:rsidR="00CA568D">
        <w:rPr>
          <w:rFonts w:ascii="Arial" w:hAnsi="Arial" w:cs="Arial"/>
          <w:sz w:val="20"/>
        </w:rPr>
        <w:t>.</w:t>
      </w:r>
    </w:p>
    <w:p w:rsidR="00D71534" w:rsidRDefault="00D71534" w:rsidP="00976A88">
      <w:pPr>
        <w:numPr>
          <w:ilvl w:val="0"/>
          <w:numId w:val="1"/>
        </w:numPr>
        <w:spacing w:line="360" w:lineRule="auto"/>
        <w:rPr>
          <w:rFonts w:ascii="Arial" w:hAnsi="Arial" w:cs="Arial"/>
          <w:sz w:val="20"/>
        </w:rPr>
      </w:pPr>
      <w:r w:rsidRPr="00CA568D">
        <w:rPr>
          <w:rFonts w:ascii="Arial" w:hAnsi="Arial" w:cs="Arial"/>
          <w:sz w:val="20"/>
        </w:rPr>
        <w:t>UK engine production remained stable, down just 0.3% in 2012, with December dipping 0.8%.</w:t>
      </w:r>
    </w:p>
    <w:p w:rsidR="00CA568D" w:rsidRDefault="00CA568D" w:rsidP="00976A88">
      <w:pPr>
        <w:numPr>
          <w:ilvl w:val="0"/>
          <w:numId w:val="1"/>
        </w:numPr>
        <w:spacing w:line="360" w:lineRule="auto"/>
        <w:rPr>
          <w:rFonts w:ascii="Arial" w:hAnsi="Arial" w:cs="Arial"/>
          <w:sz w:val="20"/>
        </w:rPr>
      </w:pPr>
      <w:r>
        <w:rPr>
          <w:rFonts w:ascii="Arial" w:hAnsi="Arial" w:cs="Arial"/>
          <w:sz w:val="20"/>
        </w:rPr>
        <w:t>CV and engine manufacturing output last year reflects weak demand in Europe</w:t>
      </w:r>
      <w:r w:rsidR="002F0CCF">
        <w:rPr>
          <w:rFonts w:ascii="Arial" w:hAnsi="Arial" w:cs="Arial"/>
          <w:sz w:val="20"/>
        </w:rPr>
        <w:t>an</w:t>
      </w:r>
      <w:r>
        <w:rPr>
          <w:rFonts w:ascii="Arial" w:hAnsi="Arial" w:cs="Arial"/>
          <w:sz w:val="20"/>
        </w:rPr>
        <w:t xml:space="preserve"> economies as instability in the eurozone and fresh austerity measures impact on consumer confidence.</w:t>
      </w:r>
    </w:p>
    <w:p w:rsidR="00F54FC2" w:rsidRDefault="00F54FC2" w:rsidP="00976A88">
      <w:pPr>
        <w:numPr>
          <w:ilvl w:val="0"/>
          <w:numId w:val="1"/>
        </w:numPr>
        <w:spacing w:line="360" w:lineRule="auto"/>
        <w:rPr>
          <w:rFonts w:ascii="Arial" w:hAnsi="Arial" w:cs="Arial"/>
          <w:sz w:val="20"/>
        </w:rPr>
      </w:pPr>
      <w:r>
        <w:rPr>
          <w:rFonts w:ascii="Arial" w:hAnsi="Arial" w:cs="Arial"/>
          <w:sz w:val="20"/>
        </w:rPr>
        <w:t xml:space="preserve">The outlook for UK automotive manufacturing is good with global demand remaining strong and UK facilities building on </w:t>
      </w:r>
      <w:r w:rsidR="005841CC">
        <w:rPr>
          <w:rFonts w:ascii="Arial" w:hAnsi="Arial" w:cs="Arial"/>
          <w:sz w:val="20"/>
        </w:rPr>
        <w:t>the significant investment committed to them in recent years</w:t>
      </w:r>
      <w:r>
        <w:rPr>
          <w:rFonts w:ascii="Arial" w:hAnsi="Arial" w:cs="Arial"/>
          <w:sz w:val="20"/>
        </w:rPr>
        <w:t>.</w:t>
      </w:r>
    </w:p>
    <w:p w:rsidR="00CA568D" w:rsidRPr="00CA568D" w:rsidRDefault="00CA568D" w:rsidP="00CA568D">
      <w:pPr>
        <w:spacing w:line="288" w:lineRule="auto"/>
        <w:ind w:left="360"/>
        <w:rPr>
          <w:rFonts w:ascii="Arial" w:hAnsi="Arial" w:cs="Arial"/>
          <w:sz w:val="20"/>
        </w:rPr>
      </w:pPr>
    </w:p>
    <w:p w:rsidR="00976A88" w:rsidRDefault="00976A88" w:rsidP="00234A29">
      <w:pPr>
        <w:keepNext/>
        <w:spacing w:line="276" w:lineRule="auto"/>
        <w:rPr>
          <w:rFonts w:ascii="Arial" w:hAnsi="Arial" w:cs="Arial"/>
          <w:b/>
          <w:color w:val="0D2255"/>
          <w:sz w:val="20"/>
        </w:rPr>
      </w:pPr>
    </w:p>
    <w:p w:rsidR="00DB54D4" w:rsidRDefault="00DB54D4" w:rsidP="00DB54D4">
      <w:pPr>
        <w:rPr>
          <w:rFonts w:ascii="Arial" w:hAnsi="Arial" w:cs="Arial"/>
          <w:sz w:val="20"/>
        </w:rPr>
      </w:pPr>
      <w:r w:rsidRPr="00AB7A36">
        <w:rPr>
          <w:rFonts w:ascii="Arial" w:hAnsi="Arial" w:cs="Arial"/>
          <w:b/>
          <w:color w:val="1074CB"/>
          <w:sz w:val="20"/>
          <w:u w:val="single"/>
        </w:rPr>
        <w:t>Video link:</w:t>
      </w:r>
      <w:r>
        <w:rPr>
          <w:rFonts w:ascii="Arial" w:hAnsi="Arial" w:cs="Arial"/>
          <w:color w:val="1074CB"/>
          <w:sz w:val="20"/>
        </w:rPr>
        <w:t xml:space="preserve"> Full year review: </w:t>
      </w:r>
      <w:hyperlink r:id="rId8" w:history="1">
        <w:r>
          <w:rPr>
            <w:rStyle w:val="Hyperlink"/>
            <w:rFonts w:ascii="Arial" w:hAnsi="Arial" w:cs="Arial"/>
            <w:sz w:val="20"/>
          </w:rPr>
          <w:t>http://youtu.be/mPaI57_XIl0</w:t>
        </w:r>
      </w:hyperlink>
    </w:p>
    <w:p w:rsidR="00DB54D4" w:rsidRPr="00AB7A36" w:rsidRDefault="00DB54D4" w:rsidP="00DB54D4">
      <w:pPr>
        <w:tabs>
          <w:tab w:val="left" w:pos="2016"/>
        </w:tabs>
        <w:rPr>
          <w:rFonts w:ascii="Arial" w:hAnsi="Arial" w:cs="Arial"/>
          <w:sz w:val="20"/>
        </w:rPr>
      </w:pPr>
    </w:p>
    <w:p w:rsidR="00C078E2" w:rsidRPr="00A23CBA" w:rsidRDefault="00C078E2" w:rsidP="00234A29">
      <w:pPr>
        <w:keepNext/>
        <w:spacing w:line="276" w:lineRule="auto"/>
        <w:rPr>
          <w:rFonts w:ascii="Arial" w:hAnsi="Arial" w:cs="Arial"/>
          <w:b/>
          <w:color w:val="0D2255"/>
          <w:sz w:val="20"/>
        </w:rPr>
        <w:sectPr w:rsidR="00C078E2" w:rsidRPr="00A23CBA" w:rsidSect="002B5523">
          <w:headerReference w:type="default" r:id="rId9"/>
          <w:footerReference w:type="default" r:id="rId10"/>
          <w:headerReference w:type="first" r:id="rId11"/>
          <w:pgSz w:w="11906" w:h="16838"/>
          <w:pgMar w:top="707" w:right="1133" w:bottom="1134" w:left="1418" w:header="57" w:footer="277" w:gutter="0"/>
          <w:cols w:space="720" w:equalWidth="0">
            <w:col w:w="9355"/>
          </w:cols>
          <w:titlePg/>
          <w:docGrid w:linePitch="360"/>
        </w:sectPr>
      </w:pPr>
    </w:p>
    <w:p w:rsidR="00E56C54" w:rsidRPr="00473D48" w:rsidRDefault="00E56C54" w:rsidP="00A23CBA">
      <w:pPr>
        <w:rPr>
          <w:rFonts w:ascii="Arial" w:hAnsi="Arial" w:cs="Arial"/>
        </w:rPr>
      </w:pPr>
    </w:p>
    <w:sectPr w:rsidR="00E56C54" w:rsidRPr="00473D48" w:rsidSect="00AF2748">
      <w:headerReference w:type="default" r:id="rId12"/>
      <w:footerReference w:type="default" r:id="rId13"/>
      <w:type w:val="continuous"/>
      <w:pgSz w:w="11906" w:h="16838" w:code="9"/>
      <w:pgMar w:top="-249" w:right="284" w:bottom="851" w:left="1418" w:header="23" w:footer="27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C2" w:rsidRDefault="00F54FC2" w:rsidP="00C078E2">
      <w:r>
        <w:separator/>
      </w:r>
    </w:p>
  </w:endnote>
  <w:endnote w:type="continuationSeparator" w:id="0">
    <w:p w:rsidR="00F54FC2" w:rsidRDefault="00F54FC2" w:rsidP="00C07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2" w:rsidRDefault="00F54FC2" w:rsidP="00AF2748">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F54FC2" w:rsidRPr="0098763B" w:rsidRDefault="00F54FC2" w:rsidP="00AF2748">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55 billion turnover and £12</w:t>
    </w:r>
    <w:r w:rsidRPr="0098763B">
      <w:rPr>
        <w:rFonts w:ascii="Arial" w:hAnsi="Arial" w:cs="Arial"/>
        <w:b w:val="0"/>
        <w:color w:val="1074CB"/>
        <w:sz w:val="16"/>
        <w:szCs w:val="16"/>
      </w:rPr>
      <w:t xml:space="preserve"> billion value added. With </w:t>
    </w:r>
    <w:r>
      <w:rPr>
        <w:rFonts w:ascii="Arial" w:hAnsi="Arial" w:cs="Arial"/>
        <w:b w:val="0"/>
        <w:color w:val="1074CB"/>
        <w:sz w:val="16"/>
        <w:szCs w:val="16"/>
      </w:rPr>
      <w:t>more than</w:t>
    </w:r>
    <w:r w:rsidRPr="0098763B">
      <w:rPr>
        <w:rFonts w:ascii="Arial" w:hAnsi="Arial" w:cs="Arial"/>
        <w:b w:val="0"/>
        <w:color w:val="1074CB"/>
        <w:sz w:val="16"/>
        <w:szCs w:val="16"/>
      </w:rPr>
      <w:t xml:space="preserve"> 700,000 jobs dependent on the industry, it accounts for 10% of total exports and invests </w:t>
    </w:r>
    <w:r>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F54FC2" w:rsidRPr="00593F7B" w:rsidRDefault="00F54FC2" w:rsidP="00AF2748">
    <w:pPr>
      <w:pStyle w:val="Footer"/>
      <w:rPr>
        <w:rFonts w:ascii="Arial" w:hAnsi="Arial" w:cs="Arial"/>
        <w:sz w:val="16"/>
        <w:szCs w:val="16"/>
      </w:rPr>
    </w:pPr>
  </w:p>
  <w:p w:rsidR="00F54FC2" w:rsidRDefault="00F54FC2" w:rsidP="00AF2748">
    <w:pPr>
      <w:rPr>
        <w:rFonts w:ascii="Arial" w:hAnsi="Arial" w:cs="Arial"/>
        <w:b/>
        <w:color w:val="1074CB"/>
        <w:sz w:val="16"/>
        <w:szCs w:val="16"/>
      </w:rPr>
    </w:pPr>
    <w:r>
      <w:rPr>
        <w:rFonts w:ascii="Arial" w:hAnsi="Arial" w:cs="Arial"/>
        <w:b/>
        <w:color w:val="1074CB"/>
        <w:sz w:val="16"/>
        <w:szCs w:val="16"/>
      </w:rPr>
      <w:t>Media contacts:</w:t>
    </w:r>
  </w:p>
  <w:p w:rsidR="00F54FC2" w:rsidRDefault="00F54FC2" w:rsidP="00AF2748">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2" w:history="1">
      <w:r w:rsidRPr="007252B7">
        <w:rPr>
          <w:rStyle w:val="Hyperlink"/>
          <w:rFonts w:ascii="Arial" w:hAnsi="Arial" w:cs="Arial"/>
          <w:sz w:val="16"/>
          <w:szCs w:val="16"/>
        </w:rPr>
        <w:t>klewis@smmt.co.uk</w:t>
      </w:r>
    </w:hyperlink>
    <w:r>
      <w:rPr>
        <w:rFonts w:ascii="Arial" w:hAnsi="Arial" w:cs="Arial"/>
        <w:color w:val="1074CB"/>
        <w:sz w:val="16"/>
        <w:szCs w:val="16"/>
      </w:rPr>
      <w:t xml:space="preserve"> </w:t>
    </w:r>
  </w:p>
  <w:p w:rsidR="00F54FC2" w:rsidRDefault="00F54FC2" w:rsidP="00AF2748">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9263</w:t>
    </w:r>
    <w:r>
      <w:rPr>
        <w:rFonts w:ascii="Arial" w:hAnsi="Arial" w:cs="Arial"/>
        <w:color w:val="1074CB"/>
        <w:sz w:val="16"/>
        <w:szCs w:val="16"/>
      </w:rPr>
      <w:tab/>
    </w:r>
    <w:r>
      <w:rPr>
        <w:rFonts w:ascii="Arial" w:hAnsi="Arial" w:cs="Arial"/>
        <w:color w:val="1074CB"/>
        <w:sz w:val="16"/>
        <w:szCs w:val="16"/>
      </w:rPr>
      <w:tab/>
    </w:r>
    <w:hyperlink r:id="rId3" w:history="1">
      <w:r w:rsidRPr="007252B7">
        <w:rPr>
          <w:rStyle w:val="Hyperlink"/>
          <w:rFonts w:ascii="Arial" w:hAnsi="Arial" w:cs="Arial"/>
          <w:sz w:val="16"/>
          <w:szCs w:val="16"/>
        </w:rPr>
        <w:t>jvisscher@smmt.co.uk</w:t>
      </w:r>
    </w:hyperlink>
    <w:r>
      <w:rPr>
        <w:rFonts w:ascii="Arial" w:hAnsi="Arial" w:cs="Arial"/>
        <w:color w:val="1074CB"/>
        <w:sz w:val="16"/>
        <w:szCs w:val="16"/>
      </w:rPr>
      <w:t xml:space="preserve"> </w:t>
    </w:r>
  </w:p>
  <w:p w:rsidR="00F54FC2" w:rsidRPr="005B770B" w:rsidRDefault="00F54FC2" w:rsidP="00AF2748">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4" w:history="1">
      <w:r w:rsidRPr="00FC69B3">
        <w:rPr>
          <w:rStyle w:val="Hyperlink"/>
          <w:rFonts w:ascii="Arial" w:hAnsi="Arial" w:cs="Arial"/>
          <w:sz w:val="16"/>
          <w:szCs w:val="16"/>
        </w:rPr>
        <w:t>klawrence@smmt.co.uk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2" w:rsidRDefault="00F54FC2" w:rsidP="00AF274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C2" w:rsidRDefault="00F54FC2" w:rsidP="00C078E2">
      <w:r>
        <w:separator/>
      </w:r>
    </w:p>
  </w:footnote>
  <w:footnote w:type="continuationSeparator" w:id="0">
    <w:p w:rsidR="00F54FC2" w:rsidRDefault="00F54FC2" w:rsidP="00C0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2" w:rsidRDefault="00F54FC2" w:rsidP="00AF2748">
    <w:pPr>
      <w:pStyle w:val="Header"/>
      <w:jc w:val="right"/>
    </w:pPr>
    <w:r w:rsidRPr="0040241C">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F54FC2" w:rsidRDefault="00F54FC2" w:rsidP="00AF2748">
    <w:pPr>
      <w:rPr>
        <w:rStyle w:val="Strong"/>
        <w:rFonts w:ascii="Arial" w:hAnsi="Arial" w:cs="Arial"/>
        <w:color w:val="1074CB"/>
        <w:sz w:val="20"/>
      </w:rPr>
    </w:pPr>
    <w:r>
      <w:rPr>
        <w:rStyle w:val="Strong"/>
        <w:rFonts w:ascii="Arial" w:hAnsi="Arial" w:cs="Arial"/>
        <w:color w:val="1074CB"/>
        <w:sz w:val="20"/>
      </w:rPr>
      <w:t xml:space="preserve">                                                                                   </w:t>
    </w:r>
  </w:p>
  <w:p w:rsidR="00F54FC2" w:rsidRDefault="00F54FC2" w:rsidP="00AF2748">
    <w:pPr>
      <w:rPr>
        <w:rStyle w:val="Strong"/>
        <w:rFonts w:ascii="Arial" w:hAnsi="Arial" w:cs="Arial"/>
        <w:color w:val="1074CB"/>
        <w:sz w:val="20"/>
      </w:rPr>
    </w:pPr>
  </w:p>
  <w:p w:rsidR="00F54FC2" w:rsidRDefault="00F54FC2" w:rsidP="00AF2748">
    <w:pPr>
      <w:rPr>
        <w:rStyle w:val="Strong"/>
        <w:rFonts w:ascii="Arial" w:hAnsi="Arial" w:cs="Arial"/>
        <w:color w:val="1074CB"/>
        <w:sz w:val="20"/>
      </w:rPr>
    </w:pPr>
  </w:p>
  <w:p w:rsidR="00F54FC2" w:rsidRDefault="00F54FC2" w:rsidP="00AF2748">
    <w:pPr>
      <w:rPr>
        <w:rStyle w:val="Strong"/>
        <w:rFonts w:ascii="Arial" w:hAnsi="Arial" w:cs="Arial"/>
        <w:color w:val="1074CB"/>
        <w:sz w:val="20"/>
      </w:rPr>
    </w:pPr>
  </w:p>
  <w:p w:rsidR="00F54FC2" w:rsidRDefault="00F54FC2" w:rsidP="00AF2748">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F54FC2" w:rsidRPr="001A5B1A" w:rsidRDefault="00F54FC2" w:rsidP="00AF2748">
    <w:pPr>
      <w:ind w:firstLine="720"/>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23" w:rsidRDefault="002B5523" w:rsidP="002B5523">
    <w:pPr>
      <w:jc w:val="right"/>
      <w:rPr>
        <w:rStyle w:val="Strong"/>
        <w:rFonts w:ascii="Arial" w:hAnsi="Arial" w:cs="Arial"/>
        <w:color w:val="1074CB"/>
        <w:sz w:val="20"/>
      </w:rPr>
    </w:pPr>
  </w:p>
  <w:p w:rsidR="002B5523" w:rsidRDefault="002B5523" w:rsidP="002B5523">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1312" behindDoc="1" locked="0" layoutInCell="1" allowOverlap="1">
          <wp:simplePos x="0" y="0"/>
          <wp:positionH relativeFrom="column">
            <wp:posOffset>4128770</wp:posOffset>
          </wp:positionH>
          <wp:positionV relativeFrom="paragraph">
            <wp:posOffset>8255</wp:posOffset>
          </wp:positionV>
          <wp:extent cx="1952625" cy="742950"/>
          <wp:effectExtent l="19050" t="0" r="9525" b="0"/>
          <wp:wrapNone/>
          <wp:docPr id="2"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2B5523" w:rsidRDefault="002B5523" w:rsidP="002B5523">
    <w:pPr>
      <w:jc w:val="right"/>
      <w:rPr>
        <w:rStyle w:val="Strong"/>
        <w:rFonts w:ascii="Arial" w:hAnsi="Arial" w:cs="Arial"/>
        <w:color w:val="1074CB"/>
        <w:sz w:val="20"/>
      </w:rPr>
    </w:pPr>
  </w:p>
  <w:p w:rsidR="002B5523" w:rsidRDefault="002B5523" w:rsidP="002B5523">
    <w:pPr>
      <w:jc w:val="right"/>
      <w:rPr>
        <w:rStyle w:val="Strong"/>
        <w:rFonts w:ascii="Arial" w:hAnsi="Arial" w:cs="Arial"/>
        <w:color w:val="1074CB"/>
        <w:sz w:val="20"/>
      </w:rPr>
    </w:pPr>
  </w:p>
  <w:p w:rsidR="002B5523" w:rsidRDefault="002B5523" w:rsidP="002B5523">
    <w:pPr>
      <w:jc w:val="right"/>
      <w:rPr>
        <w:rStyle w:val="Strong"/>
        <w:rFonts w:ascii="Arial" w:hAnsi="Arial" w:cs="Arial"/>
        <w:color w:val="1074CB"/>
        <w:sz w:val="20"/>
      </w:rPr>
    </w:pPr>
  </w:p>
  <w:p w:rsidR="002B5523" w:rsidRDefault="002B5523" w:rsidP="002B5523">
    <w:pPr>
      <w:jc w:val="right"/>
      <w:rPr>
        <w:rStyle w:val="Strong"/>
        <w:rFonts w:ascii="Arial" w:hAnsi="Arial" w:cs="Arial"/>
        <w:color w:val="1074CB"/>
        <w:sz w:val="20"/>
      </w:rPr>
    </w:pPr>
  </w:p>
  <w:p w:rsidR="002B5523" w:rsidRDefault="002B5523" w:rsidP="002B5523">
    <w:pPr>
      <w:jc w:val="right"/>
      <w:rPr>
        <w:rStyle w:val="Strong"/>
        <w:rFonts w:ascii="Arial" w:hAnsi="Arial" w:cs="Arial"/>
        <w:color w:val="1074CB"/>
        <w:sz w:val="20"/>
      </w:rPr>
    </w:pPr>
    <w:r>
      <w:rPr>
        <w:rStyle w:val="Strong"/>
        <w:rFonts w:ascii="Arial" w:hAnsi="Arial" w:cs="Arial"/>
        <w:color w:val="1074CB"/>
        <w:sz w:val="20"/>
      </w:rPr>
      <w:t xml:space="preserve"> Note to broadcasters: SMMT has an ISDN studio</w:t>
    </w:r>
  </w:p>
  <w:p w:rsidR="002B5523" w:rsidRDefault="002B5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2" w:rsidRPr="003517A2" w:rsidRDefault="00F54FC2" w:rsidP="00AF27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078E2"/>
    <w:rsid w:val="00003F10"/>
    <w:rsid w:val="00096CD1"/>
    <w:rsid w:val="000E5F76"/>
    <w:rsid w:val="00161EDC"/>
    <w:rsid w:val="00164E43"/>
    <w:rsid w:val="001C10A5"/>
    <w:rsid w:val="002006D0"/>
    <w:rsid w:val="00204278"/>
    <w:rsid w:val="00234A29"/>
    <w:rsid w:val="00236CD3"/>
    <w:rsid w:val="002A04BC"/>
    <w:rsid w:val="002B5523"/>
    <w:rsid w:val="002F0CCF"/>
    <w:rsid w:val="00305DC2"/>
    <w:rsid w:val="00321760"/>
    <w:rsid w:val="00340A05"/>
    <w:rsid w:val="00361F75"/>
    <w:rsid w:val="0039040F"/>
    <w:rsid w:val="0040373D"/>
    <w:rsid w:val="004129CA"/>
    <w:rsid w:val="00416E0E"/>
    <w:rsid w:val="004613CC"/>
    <w:rsid w:val="00473384"/>
    <w:rsid w:val="00473D48"/>
    <w:rsid w:val="004A382E"/>
    <w:rsid w:val="004D7D5E"/>
    <w:rsid w:val="004E2EB6"/>
    <w:rsid w:val="004E3E2E"/>
    <w:rsid w:val="004E5D68"/>
    <w:rsid w:val="00522B5F"/>
    <w:rsid w:val="005339E5"/>
    <w:rsid w:val="005841CC"/>
    <w:rsid w:val="005903B8"/>
    <w:rsid w:val="00597EB6"/>
    <w:rsid w:val="005B770B"/>
    <w:rsid w:val="005C28E0"/>
    <w:rsid w:val="005F4EE9"/>
    <w:rsid w:val="00625539"/>
    <w:rsid w:val="006269ED"/>
    <w:rsid w:val="00661D6A"/>
    <w:rsid w:val="006806F1"/>
    <w:rsid w:val="006F47FB"/>
    <w:rsid w:val="007139E4"/>
    <w:rsid w:val="007E7CEF"/>
    <w:rsid w:val="00830370"/>
    <w:rsid w:val="00845592"/>
    <w:rsid w:val="008634A4"/>
    <w:rsid w:val="008946C6"/>
    <w:rsid w:val="008D0299"/>
    <w:rsid w:val="0091475C"/>
    <w:rsid w:val="009246A1"/>
    <w:rsid w:val="00976A88"/>
    <w:rsid w:val="009C3BD2"/>
    <w:rsid w:val="009E310B"/>
    <w:rsid w:val="00A23CBA"/>
    <w:rsid w:val="00A57DA4"/>
    <w:rsid w:val="00A93A3E"/>
    <w:rsid w:val="00AA0D3F"/>
    <w:rsid w:val="00AA635D"/>
    <w:rsid w:val="00AB264E"/>
    <w:rsid w:val="00AD024F"/>
    <w:rsid w:val="00AD2355"/>
    <w:rsid w:val="00AE7AA2"/>
    <w:rsid w:val="00AF2748"/>
    <w:rsid w:val="00B016F1"/>
    <w:rsid w:val="00B85768"/>
    <w:rsid w:val="00BA3E4E"/>
    <w:rsid w:val="00BD092A"/>
    <w:rsid w:val="00C078E2"/>
    <w:rsid w:val="00C63F7E"/>
    <w:rsid w:val="00C72FCF"/>
    <w:rsid w:val="00CA568D"/>
    <w:rsid w:val="00CF0224"/>
    <w:rsid w:val="00D44749"/>
    <w:rsid w:val="00D71534"/>
    <w:rsid w:val="00DB053D"/>
    <w:rsid w:val="00DB54D4"/>
    <w:rsid w:val="00E13EF8"/>
    <w:rsid w:val="00E50BDB"/>
    <w:rsid w:val="00E56562"/>
    <w:rsid w:val="00E56C54"/>
    <w:rsid w:val="00E64367"/>
    <w:rsid w:val="00F54FC2"/>
    <w:rsid w:val="00F666DB"/>
    <w:rsid w:val="00F94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8E2"/>
    <w:rPr>
      <w:rFonts w:ascii="Times" w:eastAsia="Times" w:hAnsi="Times"/>
      <w:sz w:val="24"/>
    </w:rPr>
  </w:style>
  <w:style w:type="paragraph" w:styleId="Heading1">
    <w:name w:val="heading 1"/>
    <w:basedOn w:val="Normal"/>
    <w:next w:val="Normal"/>
    <w:link w:val="Heading1Char"/>
    <w:qFormat/>
    <w:rsid w:val="00C078E2"/>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E2"/>
    <w:rPr>
      <w:rFonts w:ascii="Arial Bold" w:hAnsi="Arial Bold"/>
      <w:b/>
    </w:rPr>
  </w:style>
  <w:style w:type="paragraph" w:styleId="Header">
    <w:name w:val="header"/>
    <w:basedOn w:val="Normal"/>
    <w:link w:val="HeaderChar"/>
    <w:rsid w:val="00C078E2"/>
    <w:pPr>
      <w:tabs>
        <w:tab w:val="center" w:pos="4320"/>
        <w:tab w:val="right" w:pos="8640"/>
      </w:tabs>
    </w:pPr>
  </w:style>
  <w:style w:type="character" w:customStyle="1" w:styleId="HeaderChar">
    <w:name w:val="Header Char"/>
    <w:basedOn w:val="DefaultParagraphFont"/>
    <w:link w:val="Header"/>
    <w:rsid w:val="00C078E2"/>
    <w:rPr>
      <w:rFonts w:ascii="Times" w:eastAsia="Times" w:hAnsi="Times"/>
      <w:sz w:val="24"/>
    </w:rPr>
  </w:style>
  <w:style w:type="paragraph" w:styleId="Footer">
    <w:name w:val="footer"/>
    <w:basedOn w:val="Normal"/>
    <w:link w:val="FooterChar"/>
    <w:rsid w:val="00C078E2"/>
    <w:pPr>
      <w:tabs>
        <w:tab w:val="center" w:pos="4320"/>
        <w:tab w:val="right" w:pos="8640"/>
      </w:tabs>
    </w:pPr>
  </w:style>
  <w:style w:type="character" w:customStyle="1" w:styleId="FooterChar">
    <w:name w:val="Footer Char"/>
    <w:basedOn w:val="DefaultParagraphFont"/>
    <w:link w:val="Footer"/>
    <w:rsid w:val="00C078E2"/>
    <w:rPr>
      <w:rFonts w:ascii="Times" w:eastAsia="Times" w:hAnsi="Times"/>
      <w:sz w:val="24"/>
    </w:rPr>
  </w:style>
  <w:style w:type="character" w:styleId="Hyperlink">
    <w:name w:val="Hyperlink"/>
    <w:basedOn w:val="DefaultParagraphFont"/>
    <w:rsid w:val="00C078E2"/>
    <w:rPr>
      <w:color w:val="0000FF"/>
      <w:u w:val="single"/>
    </w:rPr>
  </w:style>
  <w:style w:type="character" w:styleId="Strong">
    <w:name w:val="Strong"/>
    <w:basedOn w:val="DefaultParagraphFont"/>
    <w:qFormat/>
    <w:rsid w:val="00C078E2"/>
    <w:rPr>
      <w:b/>
      <w:bCs/>
    </w:rPr>
  </w:style>
  <w:style w:type="paragraph" w:styleId="PlainText">
    <w:name w:val="Plain Text"/>
    <w:basedOn w:val="Normal"/>
    <w:link w:val="PlainTextChar"/>
    <w:uiPriority w:val="99"/>
    <w:unhideWhenUsed/>
    <w:rsid w:val="00C078E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C078E2"/>
    <w:rPr>
      <w:rFonts w:ascii="Arial" w:eastAsiaTheme="minorHAnsi" w:hAnsi="Arial" w:cstheme="minorBidi"/>
      <w:szCs w:val="21"/>
      <w:lang w:eastAsia="en-US"/>
    </w:rPr>
  </w:style>
  <w:style w:type="paragraph" w:styleId="Caption">
    <w:name w:val="caption"/>
    <w:basedOn w:val="Normal"/>
    <w:next w:val="Normal"/>
    <w:uiPriority w:val="35"/>
    <w:unhideWhenUsed/>
    <w:qFormat/>
    <w:rsid w:val="00C078E2"/>
    <w:pPr>
      <w:spacing w:after="200"/>
    </w:pPr>
    <w:rPr>
      <w:b/>
      <w:bCs/>
      <w:color w:val="4F81BD" w:themeColor="accent1"/>
      <w:sz w:val="18"/>
      <w:szCs w:val="18"/>
    </w:rPr>
  </w:style>
  <w:style w:type="paragraph" w:styleId="BalloonText">
    <w:name w:val="Balloon Text"/>
    <w:basedOn w:val="Normal"/>
    <w:link w:val="BalloonTextChar"/>
    <w:rsid w:val="00C078E2"/>
    <w:rPr>
      <w:rFonts w:ascii="Tahoma" w:hAnsi="Tahoma" w:cs="Tahoma"/>
      <w:sz w:val="16"/>
      <w:szCs w:val="16"/>
    </w:rPr>
  </w:style>
  <w:style w:type="character" w:customStyle="1" w:styleId="BalloonTextChar">
    <w:name w:val="Balloon Text Char"/>
    <w:basedOn w:val="DefaultParagraphFont"/>
    <w:link w:val="BalloonText"/>
    <w:rsid w:val="00C078E2"/>
    <w:rPr>
      <w:rFonts w:ascii="Tahoma" w:eastAsia="Times" w:hAnsi="Tahoma" w:cs="Tahoma"/>
      <w:sz w:val="16"/>
      <w:szCs w:val="16"/>
    </w:rPr>
  </w:style>
  <w:style w:type="paragraph" w:styleId="NormalWeb">
    <w:name w:val="Normal (Web)"/>
    <w:basedOn w:val="Normal"/>
    <w:uiPriority w:val="99"/>
    <w:unhideWhenUsed/>
    <w:rsid w:val="00976A88"/>
    <w:pPr>
      <w:spacing w:before="100" w:beforeAutospacing="1" w:after="100" w:afterAutospacing="1"/>
    </w:pPr>
    <w:rPr>
      <w:rFonts w:ascii="Times New Roman" w:eastAsiaTheme="minorHAnsi" w:hAnsi="Times New Roman"/>
      <w:szCs w:val="24"/>
    </w:rPr>
  </w:style>
</w:styles>
</file>

<file path=word/webSettings.xml><?xml version="1.0" encoding="utf-8"?>
<w:webSettings xmlns:r="http://schemas.openxmlformats.org/officeDocument/2006/relationships" xmlns:w="http://schemas.openxmlformats.org/wordprocessingml/2006/main">
  <w:divs>
    <w:div w:id="1093358150">
      <w:bodyDiv w:val="1"/>
      <w:marLeft w:val="0"/>
      <w:marRight w:val="0"/>
      <w:marTop w:val="0"/>
      <w:marBottom w:val="0"/>
      <w:divBdr>
        <w:top w:val="none" w:sz="0" w:space="0" w:color="auto"/>
        <w:left w:val="none" w:sz="0" w:space="0" w:color="auto"/>
        <w:bottom w:val="none" w:sz="0" w:space="0" w:color="auto"/>
        <w:right w:val="none" w:sz="0" w:space="0" w:color="auto"/>
      </w:divBdr>
    </w:div>
    <w:div w:id="1591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mPaI57_XIl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ewis@smmt.co.uk" TargetMode="External"/><Relationship Id="rId1" Type="http://schemas.openxmlformats.org/officeDocument/2006/relationships/hyperlink" Target="http://www.smmt.co.uk/publications" TargetMode="External"/><Relationship Id="rId4" Type="http://schemas.openxmlformats.org/officeDocument/2006/relationships/hyperlink" Target="mailto:klawrenc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8959951881014891"/>
          <c:y val="8.8437591134441704E-2"/>
          <c:w val="0.77827087139983986"/>
          <c:h val="0.81194241824066471"/>
        </c:manualLayout>
      </c:layout>
      <c:barChart>
        <c:barDir val="col"/>
        <c:grouping val="clustered"/>
        <c:ser>
          <c:idx val="0"/>
          <c:order val="0"/>
          <c:tx>
            <c:strRef>
              <c:f>Sheet1!$B$5</c:f>
              <c:strCache>
                <c:ptCount val="1"/>
                <c:pt idx="0">
                  <c:v>Total</c:v>
                </c:pt>
              </c:strCache>
            </c:strRef>
          </c:tx>
          <c:cat>
            <c:numRef>
              <c:f>Sheet1!$C$4:$H$4</c:f>
              <c:numCache>
                <c:formatCode>General</c:formatCode>
                <c:ptCount val="6"/>
                <c:pt idx="0">
                  <c:v>2007</c:v>
                </c:pt>
                <c:pt idx="1">
                  <c:v>2008</c:v>
                </c:pt>
                <c:pt idx="2">
                  <c:v>2009</c:v>
                </c:pt>
                <c:pt idx="3">
                  <c:v>2010</c:v>
                </c:pt>
                <c:pt idx="4">
                  <c:v>2011</c:v>
                </c:pt>
                <c:pt idx="5">
                  <c:v>2012</c:v>
                </c:pt>
              </c:numCache>
            </c:numRef>
          </c:cat>
          <c:val>
            <c:numRef>
              <c:f>Sheet1!$C$5:$H$5</c:f>
              <c:numCache>
                <c:formatCode>#,##0</c:formatCode>
                <c:ptCount val="6"/>
                <c:pt idx="0">
                  <c:v>1534567</c:v>
                </c:pt>
                <c:pt idx="1">
                  <c:v>1446619</c:v>
                </c:pt>
                <c:pt idx="2">
                  <c:v>999460</c:v>
                </c:pt>
                <c:pt idx="3">
                  <c:v>1270444</c:v>
                </c:pt>
                <c:pt idx="4">
                  <c:v>1343810</c:v>
                </c:pt>
                <c:pt idx="5">
                  <c:v>1464906</c:v>
                </c:pt>
              </c:numCache>
            </c:numRef>
          </c:val>
        </c:ser>
        <c:gapWidth val="50"/>
        <c:axId val="69342336"/>
        <c:axId val="69343872"/>
      </c:barChart>
      <c:lineChart>
        <c:grouping val="standard"/>
        <c:ser>
          <c:idx val="1"/>
          <c:order val="1"/>
          <c:tx>
            <c:strRef>
              <c:f>Sheet1!$B$6</c:f>
              <c:strCache>
                <c:ptCount val="1"/>
                <c:pt idx="0">
                  <c:v>Export</c:v>
                </c:pt>
              </c:strCache>
            </c:strRef>
          </c:tx>
          <c:spPr>
            <a:ln w="50800">
              <a:solidFill>
                <a:srgbClr val="E4124A"/>
              </a:solidFill>
            </a:ln>
          </c:spPr>
          <c:marker>
            <c:symbol val="none"/>
          </c:marker>
          <c:cat>
            <c:numRef>
              <c:f>Sheet1!$C$4:$H$4</c:f>
              <c:numCache>
                <c:formatCode>General</c:formatCode>
                <c:ptCount val="6"/>
                <c:pt idx="0">
                  <c:v>2007</c:v>
                </c:pt>
                <c:pt idx="1">
                  <c:v>2008</c:v>
                </c:pt>
                <c:pt idx="2">
                  <c:v>2009</c:v>
                </c:pt>
                <c:pt idx="3">
                  <c:v>2010</c:v>
                </c:pt>
                <c:pt idx="4">
                  <c:v>2011</c:v>
                </c:pt>
                <c:pt idx="5">
                  <c:v>2012</c:v>
                </c:pt>
              </c:numCache>
            </c:numRef>
          </c:cat>
          <c:val>
            <c:numRef>
              <c:f>Sheet1!$C$6:$H$6</c:f>
              <c:numCache>
                <c:formatCode>#,##0</c:formatCode>
                <c:ptCount val="6"/>
                <c:pt idx="0">
                  <c:v>1185459</c:v>
                </c:pt>
                <c:pt idx="1">
                  <c:v>1128586</c:v>
                </c:pt>
                <c:pt idx="2">
                  <c:v>762234</c:v>
                </c:pt>
                <c:pt idx="3">
                  <c:v>961420</c:v>
                </c:pt>
                <c:pt idx="4">
                  <c:v>1124676</c:v>
                </c:pt>
                <c:pt idx="5">
                  <c:v>1212031</c:v>
                </c:pt>
              </c:numCache>
            </c:numRef>
          </c:val>
        </c:ser>
        <c:marker val="1"/>
        <c:axId val="69342336"/>
        <c:axId val="69343872"/>
      </c:lineChart>
      <c:catAx>
        <c:axId val="69342336"/>
        <c:scaling>
          <c:orientation val="minMax"/>
        </c:scaling>
        <c:axPos val="b"/>
        <c:numFmt formatCode="General" sourceLinked="1"/>
        <c:tickLblPos val="nextTo"/>
        <c:crossAx val="69343872"/>
        <c:crosses val="autoZero"/>
        <c:auto val="1"/>
        <c:lblAlgn val="ctr"/>
        <c:lblOffset val="100"/>
      </c:catAx>
      <c:valAx>
        <c:axId val="69343872"/>
        <c:scaling>
          <c:orientation val="minMax"/>
          <c:max val="1600000"/>
          <c:min val="600000"/>
        </c:scaling>
        <c:axPos val="l"/>
        <c:majorGridlines/>
        <c:title>
          <c:tx>
            <c:rich>
              <a:bodyPr rot="-5400000" vert="horz"/>
              <a:lstStyle/>
              <a:p>
                <a:pPr>
                  <a:defRPr/>
                </a:pPr>
                <a:r>
                  <a:rPr lang="en-US"/>
                  <a:t>UK car manufacturing</a:t>
                </a:r>
              </a:p>
            </c:rich>
          </c:tx>
          <c:layout>
            <c:manualLayout>
              <c:xMode val="edge"/>
              <c:yMode val="edge"/>
              <c:x val="6.5750190732557024E-3"/>
              <c:y val="0.27041848935549923"/>
            </c:manualLayout>
          </c:layout>
        </c:title>
        <c:numFmt formatCode="#,##0" sourceLinked="1"/>
        <c:tickLblPos val="nextTo"/>
        <c:crossAx val="69342336"/>
        <c:crosses val="autoZero"/>
        <c:crossBetween val="between"/>
      </c:valAx>
    </c:plotArea>
    <c:legend>
      <c:legendPos val="r"/>
      <c:layout>
        <c:manualLayout>
          <c:xMode val="edge"/>
          <c:yMode val="edge"/>
          <c:x val="0.31787642169728986"/>
          <c:y val="1.8134660250801984E-2"/>
          <c:w val="0.39323468941382417"/>
          <c:h val="5.1693642461358866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visscj</cp:lastModifiedBy>
  <cp:revision>8</cp:revision>
  <cp:lastPrinted>2013-01-16T14:07:00Z</cp:lastPrinted>
  <dcterms:created xsi:type="dcterms:W3CDTF">2013-01-16T18:26:00Z</dcterms:created>
  <dcterms:modified xsi:type="dcterms:W3CDTF">2013-01-17T09:13:00Z</dcterms:modified>
</cp:coreProperties>
</file>