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bookmarkStart w:id="0" w:name="_GoBack"/>
      <w:bookmarkEnd w:id="0"/>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B95EB8" w:rsidP="006B3606">
      <w:pPr>
        <w:pStyle w:val="Heading1"/>
        <w:ind w:right="142"/>
      </w:pPr>
      <w:r>
        <w:rPr>
          <w:rFonts w:ascii="Arial" w:eastAsiaTheme="minorEastAsia" w:hAnsi="Arial" w:cs="Arial"/>
          <w:b w:val="0"/>
          <w:bCs/>
          <w:color w:val="1074CB"/>
          <w:sz w:val="44"/>
          <w:szCs w:val="44"/>
        </w:rPr>
        <w:t>23</w:t>
      </w:r>
      <w:r w:rsidR="004D5063">
        <w:rPr>
          <w:rFonts w:ascii="Arial" w:eastAsiaTheme="minorEastAsia" w:hAnsi="Arial" w:cs="Arial"/>
          <w:b w:val="0"/>
          <w:bCs/>
          <w:color w:val="1074CB"/>
          <w:sz w:val="44"/>
          <w:szCs w:val="44"/>
        </w:rPr>
        <w:t xml:space="preserve"> January 2015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4D5063">
        <w:rPr>
          <w:rFonts w:ascii="Arial" w:eastAsiaTheme="minorEastAsia" w:hAnsi="Arial" w:cs="Arial"/>
          <w:b w:val="0"/>
          <w:bCs/>
          <w:color w:val="1074CB"/>
          <w:sz w:val="28"/>
          <w:szCs w:val="28"/>
        </w:rPr>
        <w:t>Decem</w:t>
      </w:r>
      <w:r w:rsidR="00B22811">
        <w:rPr>
          <w:rFonts w:ascii="Arial" w:eastAsiaTheme="minorEastAsia" w:hAnsi="Arial" w:cs="Arial"/>
          <w:b w:val="0"/>
          <w:bCs/>
          <w:color w:val="1074CB"/>
          <w:sz w:val="28"/>
          <w:szCs w:val="28"/>
        </w:rPr>
        <w:t>ber</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3850F1" w:rsidP="00C80E70">
      <w:r w:rsidRPr="003850F1">
        <w:rPr>
          <w:rFonts w:ascii="Arial" w:eastAsiaTheme="minorEastAsia" w:hAnsi="Arial" w:cs="Arial"/>
          <w:b/>
          <w:bCs/>
          <w:noProof/>
          <w:color w:val="1074CB"/>
          <w:sz w:val="20"/>
        </w:rPr>
        <w:pict>
          <v:line id="Line 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w:r>
    </w:p>
    <w:p w:rsidR="00BE2CB3" w:rsidRPr="004D5063" w:rsidRDefault="00545EE2" w:rsidP="00BE2CB3">
      <w:pPr>
        <w:pStyle w:val="Heading1"/>
        <w:ind w:left="0" w:right="425" w:firstLine="0"/>
      </w:pPr>
      <w:r w:rsidRPr="004D5063">
        <w:rPr>
          <w:rFonts w:ascii="Arial" w:hAnsi="Arial" w:cs="Arial"/>
          <w:color w:val="1074CB"/>
          <w:sz w:val="36"/>
          <w:szCs w:val="36"/>
        </w:rPr>
        <w:t xml:space="preserve">CV manufacturing </w:t>
      </w:r>
      <w:r w:rsidR="004D5063">
        <w:rPr>
          <w:rFonts w:ascii="Arial" w:hAnsi="Arial" w:cs="Arial"/>
          <w:color w:val="1074CB"/>
          <w:sz w:val="36"/>
          <w:szCs w:val="36"/>
        </w:rPr>
        <w:t>returns to growth in December</w:t>
      </w:r>
    </w:p>
    <w:p w:rsidR="00BE2CB3" w:rsidRDefault="00BE2CB3" w:rsidP="00BE2CB3">
      <w:pPr>
        <w:rPr>
          <w:rFonts w:eastAsiaTheme="minorHAnsi"/>
        </w:rPr>
      </w:pPr>
      <w:r>
        <w:rPr>
          <w:rFonts w:cs="Times"/>
          <w:szCs w:val="24"/>
        </w:rPr>
        <w:t> </w:t>
      </w:r>
    </w:p>
    <w:p w:rsidR="00BE2CB3" w:rsidRPr="007B07B1" w:rsidRDefault="00BE2CB3" w:rsidP="00BE2CB3">
      <w:pPr>
        <w:numPr>
          <w:ilvl w:val="0"/>
          <w:numId w:val="6"/>
        </w:numPr>
        <w:spacing w:line="360" w:lineRule="auto"/>
        <w:rPr>
          <w:sz w:val="20"/>
        </w:rPr>
      </w:pPr>
      <w:r w:rsidRPr="007B07B1">
        <w:rPr>
          <w:rFonts w:ascii="Arial" w:hAnsi="Arial" w:cs="Arial"/>
          <w:sz w:val="20"/>
        </w:rPr>
        <w:t xml:space="preserve">UK commercial vehicle (CV) manufacturing </w:t>
      </w:r>
      <w:r w:rsidR="004D5063">
        <w:rPr>
          <w:rFonts w:ascii="Arial" w:hAnsi="Arial" w:cs="Arial"/>
          <w:sz w:val="20"/>
        </w:rPr>
        <w:t xml:space="preserve">output up 12.6% in December, the first month of growth </w:t>
      </w:r>
      <w:r w:rsidR="00E95EE7">
        <w:rPr>
          <w:rFonts w:ascii="Arial" w:hAnsi="Arial" w:cs="Arial"/>
          <w:sz w:val="20"/>
        </w:rPr>
        <w:t>since July 2013</w:t>
      </w:r>
      <w:r w:rsidR="00545EE2" w:rsidRPr="007B07B1">
        <w:rPr>
          <w:rFonts w:ascii="Arial" w:hAnsi="Arial" w:cs="Arial"/>
          <w:sz w:val="20"/>
        </w:rPr>
        <w:t>.</w:t>
      </w:r>
    </w:p>
    <w:p w:rsidR="00B01D92" w:rsidRPr="007B07B1" w:rsidRDefault="00E95EE7" w:rsidP="00B01D92">
      <w:pPr>
        <w:numPr>
          <w:ilvl w:val="0"/>
          <w:numId w:val="6"/>
        </w:numPr>
        <w:spacing w:line="360" w:lineRule="auto"/>
        <w:rPr>
          <w:sz w:val="20"/>
        </w:rPr>
      </w:pPr>
      <w:r>
        <w:rPr>
          <w:rFonts w:ascii="Arial" w:hAnsi="Arial" w:cs="Arial"/>
          <w:sz w:val="20"/>
        </w:rPr>
        <w:t>Output</w:t>
      </w:r>
      <w:r w:rsidR="007E52E9">
        <w:rPr>
          <w:rFonts w:ascii="Arial" w:hAnsi="Arial" w:cs="Arial"/>
          <w:sz w:val="20"/>
        </w:rPr>
        <w:t xml:space="preserve"> fell 19.7% in 2014, but month of</w:t>
      </w:r>
      <w:r>
        <w:rPr>
          <w:rFonts w:ascii="Arial" w:hAnsi="Arial" w:cs="Arial"/>
          <w:sz w:val="20"/>
        </w:rPr>
        <w:t xml:space="preserve"> growth </w:t>
      </w:r>
      <w:r w:rsidR="007E52E9">
        <w:rPr>
          <w:rFonts w:ascii="Arial" w:hAnsi="Arial" w:cs="Arial"/>
          <w:sz w:val="20"/>
        </w:rPr>
        <w:t>herald</w:t>
      </w:r>
      <w:r>
        <w:rPr>
          <w:rFonts w:ascii="Arial" w:hAnsi="Arial" w:cs="Arial"/>
          <w:sz w:val="20"/>
        </w:rPr>
        <w:t>s bright future</w:t>
      </w:r>
      <w:r w:rsidR="00BE2CB3" w:rsidRPr="007B07B1">
        <w:rPr>
          <w:rFonts w:ascii="Arial" w:hAnsi="Arial" w:cs="Arial"/>
          <w:sz w:val="20"/>
        </w:rPr>
        <w:t>.</w:t>
      </w:r>
    </w:p>
    <w:p w:rsidR="00B01D92" w:rsidRPr="007B07B1" w:rsidRDefault="00E95EE7" w:rsidP="00B01D92">
      <w:pPr>
        <w:numPr>
          <w:ilvl w:val="0"/>
          <w:numId w:val="6"/>
        </w:numPr>
        <w:spacing w:line="360" w:lineRule="auto"/>
        <w:rPr>
          <w:rFonts w:ascii="Arial" w:hAnsi="Arial" w:cs="Arial"/>
          <w:sz w:val="20"/>
        </w:rPr>
      </w:pPr>
      <w:r>
        <w:rPr>
          <w:rFonts w:ascii="Arial" w:hAnsi="Arial" w:cs="Arial"/>
          <w:sz w:val="20"/>
        </w:rPr>
        <w:t xml:space="preserve">Growing demand </w:t>
      </w:r>
      <w:r w:rsidR="007E52E9">
        <w:rPr>
          <w:rFonts w:ascii="Arial" w:hAnsi="Arial" w:cs="Arial"/>
          <w:sz w:val="20"/>
        </w:rPr>
        <w:t>at</w:t>
      </w:r>
      <w:r>
        <w:rPr>
          <w:rFonts w:ascii="Arial" w:hAnsi="Arial" w:cs="Arial"/>
          <w:sz w:val="20"/>
        </w:rPr>
        <w:t xml:space="preserve"> home helped to drive</w:t>
      </w:r>
      <w:r w:rsidR="007E52E9">
        <w:rPr>
          <w:rFonts w:ascii="Arial" w:hAnsi="Arial" w:cs="Arial"/>
          <w:sz w:val="20"/>
        </w:rPr>
        <w:t xml:space="preserve"> December</w:t>
      </w:r>
      <w:r>
        <w:rPr>
          <w:rFonts w:ascii="Arial" w:hAnsi="Arial" w:cs="Arial"/>
          <w:sz w:val="20"/>
        </w:rPr>
        <w:t xml:space="preserve"> growth</w:t>
      </w:r>
      <w:r w:rsidR="007E52E9">
        <w:rPr>
          <w:rFonts w:ascii="Arial" w:hAnsi="Arial" w:cs="Arial"/>
          <w:sz w:val="20"/>
        </w:rPr>
        <w:t>, despite deflated export markets</w:t>
      </w:r>
      <w:r w:rsidR="00B01D92" w:rsidRPr="007B07B1">
        <w:rPr>
          <w:rFonts w:ascii="Arial" w:hAnsi="Arial" w:cs="Arial"/>
          <w:sz w:val="20"/>
        </w:rPr>
        <w:t>.</w:t>
      </w:r>
    </w:p>
    <w:p w:rsidR="00BE2CB3" w:rsidRDefault="00BE2CB3" w:rsidP="00BE2CB3">
      <w:pPr>
        <w:spacing w:line="360" w:lineRule="auto"/>
        <w:ind w:left="360"/>
      </w:pPr>
      <w:r>
        <w:rPr>
          <w:sz w:val="20"/>
        </w:rPr>
        <w:t> </w:t>
      </w:r>
    </w:p>
    <w:p w:rsidR="00037DBD" w:rsidRPr="0089542C" w:rsidRDefault="00037DBD" w:rsidP="00037DBD">
      <w:pPr>
        <w:spacing w:line="276" w:lineRule="auto"/>
        <w:rPr>
          <w:rFonts w:ascii="Arial" w:hAnsi="Arial" w:cs="Arial"/>
          <w:sz w:val="20"/>
        </w:rPr>
      </w:pPr>
      <w:r w:rsidRPr="0089542C">
        <w:rPr>
          <w:rFonts w:ascii="Arial" w:hAnsi="Arial" w:cs="Arial"/>
          <w:sz w:val="20"/>
        </w:rPr>
        <w:t>"</w:t>
      </w:r>
      <w:r w:rsidR="0089542C" w:rsidRPr="0089542C">
        <w:rPr>
          <w:rFonts w:ascii="Arial" w:hAnsi="Arial" w:cs="Arial"/>
          <w:sz w:val="20"/>
        </w:rPr>
        <w:t>The growth of commercial vehicle manufacturing output in December represents a turning point in the sector’s fortunes," said Mike Hawes, SMMT Chief Executive. "A ramping up of new model production, as well as a thriving home market, is expected to yield a stronger 2015, while the effects of restructuring in 2013 will no longer be felt.”</w:t>
      </w:r>
    </w:p>
    <w:p w:rsidR="00BE2CB3" w:rsidRDefault="00BE2CB3" w:rsidP="00BE2CB3">
      <w:r w:rsidRPr="00BE2CB3">
        <w:rPr>
          <w:rFonts w:ascii="Arial" w:hAnsi="Arial" w:cs="Arial"/>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4D5063" w:rsidRPr="004D5063"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Dec-13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Dec-14</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YTD-13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YTD-14</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center"/>
              <w:rPr>
                <w:rFonts w:ascii="Arial" w:hAnsi="Arial" w:cs="Arial"/>
                <w:b/>
                <w:color w:val="002060"/>
                <w:sz w:val="20"/>
              </w:rPr>
            </w:pPr>
            <w:r w:rsidRPr="004D5063">
              <w:rPr>
                <w:rFonts w:ascii="Arial" w:hAnsi="Arial" w:cs="Arial"/>
                <w:b/>
                <w:color w:val="002060"/>
                <w:sz w:val="20"/>
              </w:rPr>
              <w:t>% Change</w:t>
            </w:r>
          </w:p>
        </w:tc>
      </w:tr>
      <w:tr w:rsidR="004D5063" w:rsidRPr="004D506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b/>
                <w:color w:val="002060"/>
                <w:sz w:val="20"/>
              </w:rPr>
              <w:t>Tota</w:t>
            </w:r>
            <w:r w:rsidRPr="004D5063">
              <w:rPr>
                <w:rFonts w:ascii="Arial" w:hAnsi="Arial" w:cs="Arial"/>
                <w:color w:val="002060"/>
                <w:sz w:val="20"/>
              </w:rPr>
              <w:t>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5,163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5,815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12.6%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88,110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70,731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-19.7%</w:t>
            </w:r>
          </w:p>
        </w:tc>
      </w:tr>
      <w:tr w:rsidR="004D5063" w:rsidRPr="004D506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1,041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2,891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177.7%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40,200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35,909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-10.7%</w:t>
            </w:r>
          </w:p>
        </w:tc>
      </w:tr>
      <w:tr w:rsidR="004D5063" w:rsidRPr="004D506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4,122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2,924</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-29.1%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47,910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34,822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18"/>
                <w:szCs w:val="18"/>
              </w:rPr>
            </w:pPr>
            <w:r w:rsidRPr="004D5063">
              <w:rPr>
                <w:rFonts w:ascii="Arial" w:hAnsi="Arial" w:cs="Arial"/>
                <w:color w:val="002060"/>
                <w:sz w:val="18"/>
                <w:szCs w:val="18"/>
              </w:rPr>
              <w:t>-27.3%</w:t>
            </w:r>
          </w:p>
        </w:tc>
      </w:tr>
      <w:tr w:rsidR="004D5063" w:rsidRPr="004D506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79.8%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50.3%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54.4%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49.2%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4D5063" w:rsidRPr="004D5063" w:rsidRDefault="004D5063">
            <w:pPr>
              <w:jc w:val="right"/>
              <w:rPr>
                <w:rFonts w:ascii="Arial" w:hAnsi="Arial" w:cs="Arial"/>
                <w:color w:val="002060"/>
                <w:sz w:val="20"/>
              </w:rPr>
            </w:pPr>
            <w:r w:rsidRPr="004D5063">
              <w:rPr>
                <w:rFonts w:ascii="Arial" w:hAnsi="Arial" w:cs="Arial"/>
                <w:color w:val="002060"/>
                <w:sz w:val="20"/>
              </w:rPr>
              <w:t> </w:t>
            </w:r>
          </w:p>
        </w:tc>
      </w:tr>
    </w:tbl>
    <w:p w:rsidR="00142AE3" w:rsidRPr="004D5063" w:rsidRDefault="00142AE3" w:rsidP="00142AE3">
      <w:pPr>
        <w:rPr>
          <w:rFonts w:ascii="Arial" w:hAnsi="Arial" w:cs="Arial"/>
          <w:b/>
          <w:color w:val="002060"/>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CV output – </w:t>
      </w:r>
      <w:r w:rsidR="002E7D61">
        <w:rPr>
          <w:rFonts w:ascii="Arial" w:hAnsi="Arial" w:cs="Arial"/>
          <w:b/>
          <w:color w:val="0D2255"/>
          <w:sz w:val="20"/>
        </w:rPr>
        <w:t>% change per 2014 quarter</w:t>
      </w:r>
    </w:p>
    <w:p w:rsidR="000B47D6" w:rsidRPr="00247A08" w:rsidRDefault="00A93760" w:rsidP="00C4074C">
      <w:pPr>
        <w:rPr>
          <w:rFonts w:ascii="Arial" w:hAnsi="Arial" w:cs="Arial"/>
          <w:b/>
          <w:color w:val="0D2255"/>
          <w:sz w:val="20"/>
        </w:rPr>
      </w:pPr>
      <w:r>
        <w:rPr>
          <w:rFonts w:ascii="Arial" w:hAnsi="Arial" w:cs="Arial"/>
          <w:b/>
          <w:color w:val="0D2255"/>
          <w:sz w:val="20"/>
        </w:rPr>
        <w:t xml:space="preserve">     </w:t>
      </w:r>
      <w:r w:rsidR="002A1C06">
        <w:rPr>
          <w:noProof/>
        </w:rPr>
        <w:drawing>
          <wp:inline distT="0" distB="0" distL="0" distR="0">
            <wp:extent cx="2724150" cy="25050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b/>
          <w:color w:val="0D2255"/>
          <w:sz w:val="20"/>
        </w:rPr>
        <w:t xml:space="preserve">    </w:t>
      </w:r>
      <w:r w:rsidR="002E7D61">
        <w:rPr>
          <w:noProof/>
        </w:rPr>
        <w:drawing>
          <wp:inline distT="0" distB="0" distL="0" distR="0">
            <wp:extent cx="2847975" cy="25622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0B47D6" w:rsidRPr="00247A08"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B1" w:rsidRDefault="007B07B1" w:rsidP="00C80E70">
      <w:r>
        <w:separator/>
      </w:r>
    </w:p>
  </w:endnote>
  <w:endnote w:type="continuationSeparator" w:id="0">
    <w:p w:rsidR="007B07B1" w:rsidRDefault="007B07B1"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1" w:rsidRPr="00853E71" w:rsidRDefault="007B07B1"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7B07B1" w:rsidRPr="00853E71" w:rsidRDefault="007B07B1"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2A7A56" w:rsidRDefault="002A7A56" w:rsidP="00B94DB1">
    <w:pPr>
      <w:rPr>
        <w:rFonts w:ascii="Arial" w:eastAsia="Times New Roman" w:hAnsi="Arial" w:cs="Arial"/>
        <w:color w:val="1074CB"/>
        <w:sz w:val="16"/>
        <w:szCs w:val="16"/>
      </w:rPr>
    </w:pPr>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AF42BB">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p w:rsidR="007B07B1" w:rsidRDefault="007B07B1" w:rsidP="00B94DB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F56359">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7B07B1" w:rsidRPr="00430DCC" w:rsidRDefault="007B07B1"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4"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B1" w:rsidRDefault="007B07B1" w:rsidP="00C80E70">
      <w:r>
        <w:separator/>
      </w:r>
    </w:p>
  </w:footnote>
  <w:footnote w:type="continuationSeparator" w:id="0">
    <w:p w:rsidR="007B07B1" w:rsidRDefault="007B07B1"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1" w:rsidRDefault="007B07B1"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C80E70"/>
    <w:rsid w:val="0001774D"/>
    <w:rsid w:val="00017BE7"/>
    <w:rsid w:val="000376DA"/>
    <w:rsid w:val="00037DBD"/>
    <w:rsid w:val="00040399"/>
    <w:rsid w:val="00054E31"/>
    <w:rsid w:val="00066F55"/>
    <w:rsid w:val="0008241D"/>
    <w:rsid w:val="00096A24"/>
    <w:rsid w:val="000B47D6"/>
    <w:rsid w:val="000C3FDE"/>
    <w:rsid w:val="000E5317"/>
    <w:rsid w:val="00116666"/>
    <w:rsid w:val="00121C86"/>
    <w:rsid w:val="00125D19"/>
    <w:rsid w:val="00131A1F"/>
    <w:rsid w:val="00133B87"/>
    <w:rsid w:val="0013617E"/>
    <w:rsid w:val="00142AE3"/>
    <w:rsid w:val="0014558C"/>
    <w:rsid w:val="001737CD"/>
    <w:rsid w:val="0017616F"/>
    <w:rsid w:val="00187E2B"/>
    <w:rsid w:val="00192CE4"/>
    <w:rsid w:val="001A1B4A"/>
    <w:rsid w:val="001A67B5"/>
    <w:rsid w:val="001B2FFA"/>
    <w:rsid w:val="001C389E"/>
    <w:rsid w:val="001D6CB9"/>
    <w:rsid w:val="001E2638"/>
    <w:rsid w:val="001E33CE"/>
    <w:rsid w:val="001E428D"/>
    <w:rsid w:val="001F21A2"/>
    <w:rsid w:val="001F7274"/>
    <w:rsid w:val="00200A18"/>
    <w:rsid w:val="00200F65"/>
    <w:rsid w:val="00201A40"/>
    <w:rsid w:val="0020649D"/>
    <w:rsid w:val="00207B1F"/>
    <w:rsid w:val="00215AA6"/>
    <w:rsid w:val="00235019"/>
    <w:rsid w:val="00247A08"/>
    <w:rsid w:val="00252DCB"/>
    <w:rsid w:val="00263E82"/>
    <w:rsid w:val="00266A9A"/>
    <w:rsid w:val="002A1C06"/>
    <w:rsid w:val="002A5934"/>
    <w:rsid w:val="002A7A56"/>
    <w:rsid w:val="002B4F7D"/>
    <w:rsid w:val="002C400E"/>
    <w:rsid w:val="002D17AA"/>
    <w:rsid w:val="002D6C6E"/>
    <w:rsid w:val="002E7D61"/>
    <w:rsid w:val="002F3F25"/>
    <w:rsid w:val="002F73AF"/>
    <w:rsid w:val="00325254"/>
    <w:rsid w:val="003372F6"/>
    <w:rsid w:val="00361AC4"/>
    <w:rsid w:val="00375DF8"/>
    <w:rsid w:val="003850F1"/>
    <w:rsid w:val="003A0F07"/>
    <w:rsid w:val="003A3777"/>
    <w:rsid w:val="003B1C39"/>
    <w:rsid w:val="003C76B4"/>
    <w:rsid w:val="003D5459"/>
    <w:rsid w:val="003E4D46"/>
    <w:rsid w:val="003E69D3"/>
    <w:rsid w:val="003F69E6"/>
    <w:rsid w:val="00410539"/>
    <w:rsid w:val="00427213"/>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B7047"/>
    <w:rsid w:val="004B723F"/>
    <w:rsid w:val="004B727E"/>
    <w:rsid w:val="004B7D45"/>
    <w:rsid w:val="004C6418"/>
    <w:rsid w:val="004C6507"/>
    <w:rsid w:val="004D2D65"/>
    <w:rsid w:val="004D5063"/>
    <w:rsid w:val="004D592D"/>
    <w:rsid w:val="004F53F5"/>
    <w:rsid w:val="00505C8C"/>
    <w:rsid w:val="005068D3"/>
    <w:rsid w:val="005218AC"/>
    <w:rsid w:val="005230CA"/>
    <w:rsid w:val="005407A6"/>
    <w:rsid w:val="00542422"/>
    <w:rsid w:val="00545182"/>
    <w:rsid w:val="00545EE2"/>
    <w:rsid w:val="005534B2"/>
    <w:rsid w:val="0055683E"/>
    <w:rsid w:val="005621BD"/>
    <w:rsid w:val="00567F13"/>
    <w:rsid w:val="00577A32"/>
    <w:rsid w:val="005926DF"/>
    <w:rsid w:val="005B33EF"/>
    <w:rsid w:val="005B536B"/>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96C6A"/>
    <w:rsid w:val="006B3606"/>
    <w:rsid w:val="006B4C72"/>
    <w:rsid w:val="006B7F8A"/>
    <w:rsid w:val="006C63D3"/>
    <w:rsid w:val="006D538E"/>
    <w:rsid w:val="006E1921"/>
    <w:rsid w:val="006E5BF9"/>
    <w:rsid w:val="006F7AF9"/>
    <w:rsid w:val="00703767"/>
    <w:rsid w:val="00714EF7"/>
    <w:rsid w:val="00735C0B"/>
    <w:rsid w:val="00736FB6"/>
    <w:rsid w:val="0073709A"/>
    <w:rsid w:val="007430A2"/>
    <w:rsid w:val="007433FE"/>
    <w:rsid w:val="00750A6C"/>
    <w:rsid w:val="00761183"/>
    <w:rsid w:val="00767145"/>
    <w:rsid w:val="00771A60"/>
    <w:rsid w:val="007851A1"/>
    <w:rsid w:val="00787B6E"/>
    <w:rsid w:val="00791C3D"/>
    <w:rsid w:val="007A1EAA"/>
    <w:rsid w:val="007B07B1"/>
    <w:rsid w:val="007B7669"/>
    <w:rsid w:val="007D36B3"/>
    <w:rsid w:val="007E52E9"/>
    <w:rsid w:val="00800A86"/>
    <w:rsid w:val="008030A3"/>
    <w:rsid w:val="00804C47"/>
    <w:rsid w:val="00806662"/>
    <w:rsid w:val="00815724"/>
    <w:rsid w:val="00834B54"/>
    <w:rsid w:val="008510FC"/>
    <w:rsid w:val="00865D45"/>
    <w:rsid w:val="00867D0B"/>
    <w:rsid w:val="00880351"/>
    <w:rsid w:val="008902B9"/>
    <w:rsid w:val="00891F21"/>
    <w:rsid w:val="0089542C"/>
    <w:rsid w:val="008B50CB"/>
    <w:rsid w:val="008D1E45"/>
    <w:rsid w:val="008E4462"/>
    <w:rsid w:val="008F0A62"/>
    <w:rsid w:val="008F55A4"/>
    <w:rsid w:val="00924274"/>
    <w:rsid w:val="00931C26"/>
    <w:rsid w:val="00932034"/>
    <w:rsid w:val="009511F2"/>
    <w:rsid w:val="00951B31"/>
    <w:rsid w:val="009548FB"/>
    <w:rsid w:val="00964455"/>
    <w:rsid w:val="0097483C"/>
    <w:rsid w:val="009A5488"/>
    <w:rsid w:val="009D0F8E"/>
    <w:rsid w:val="009D44F7"/>
    <w:rsid w:val="009F17EB"/>
    <w:rsid w:val="009F5D30"/>
    <w:rsid w:val="00A2060E"/>
    <w:rsid w:val="00A24874"/>
    <w:rsid w:val="00A4405B"/>
    <w:rsid w:val="00A453EF"/>
    <w:rsid w:val="00A50F40"/>
    <w:rsid w:val="00A51715"/>
    <w:rsid w:val="00A67F90"/>
    <w:rsid w:val="00A72CAD"/>
    <w:rsid w:val="00A73903"/>
    <w:rsid w:val="00A773DB"/>
    <w:rsid w:val="00A86C6F"/>
    <w:rsid w:val="00A93760"/>
    <w:rsid w:val="00A93DE9"/>
    <w:rsid w:val="00A94474"/>
    <w:rsid w:val="00A96D25"/>
    <w:rsid w:val="00AA2084"/>
    <w:rsid w:val="00AA7BF4"/>
    <w:rsid w:val="00AB33BB"/>
    <w:rsid w:val="00AC57E0"/>
    <w:rsid w:val="00AD65CE"/>
    <w:rsid w:val="00B01D92"/>
    <w:rsid w:val="00B12E13"/>
    <w:rsid w:val="00B142C0"/>
    <w:rsid w:val="00B22811"/>
    <w:rsid w:val="00B2588D"/>
    <w:rsid w:val="00B32A86"/>
    <w:rsid w:val="00B36DF8"/>
    <w:rsid w:val="00B4035F"/>
    <w:rsid w:val="00B40CCD"/>
    <w:rsid w:val="00B4715D"/>
    <w:rsid w:val="00B857A6"/>
    <w:rsid w:val="00B93687"/>
    <w:rsid w:val="00B94DB1"/>
    <w:rsid w:val="00B95B22"/>
    <w:rsid w:val="00B95EB8"/>
    <w:rsid w:val="00BB3EB9"/>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67372"/>
    <w:rsid w:val="00C73F08"/>
    <w:rsid w:val="00C80E70"/>
    <w:rsid w:val="00C83606"/>
    <w:rsid w:val="00CA41BC"/>
    <w:rsid w:val="00CB221D"/>
    <w:rsid w:val="00CB4D91"/>
    <w:rsid w:val="00CB6220"/>
    <w:rsid w:val="00CC3D52"/>
    <w:rsid w:val="00CC6098"/>
    <w:rsid w:val="00CD0659"/>
    <w:rsid w:val="00CE070B"/>
    <w:rsid w:val="00CE0EE1"/>
    <w:rsid w:val="00CE3518"/>
    <w:rsid w:val="00D12474"/>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6424"/>
    <w:rsid w:val="00DA78D8"/>
    <w:rsid w:val="00DB3140"/>
    <w:rsid w:val="00DB3768"/>
    <w:rsid w:val="00DC2D95"/>
    <w:rsid w:val="00DE0B9A"/>
    <w:rsid w:val="00DE5D6C"/>
    <w:rsid w:val="00DF0D1C"/>
    <w:rsid w:val="00DF19D9"/>
    <w:rsid w:val="00E14BEF"/>
    <w:rsid w:val="00E15193"/>
    <w:rsid w:val="00E343D2"/>
    <w:rsid w:val="00E634A1"/>
    <w:rsid w:val="00E714BD"/>
    <w:rsid w:val="00E84E41"/>
    <w:rsid w:val="00E8542A"/>
    <w:rsid w:val="00E95EE7"/>
    <w:rsid w:val="00EB1B2D"/>
    <w:rsid w:val="00EB2FB8"/>
    <w:rsid w:val="00EB4E51"/>
    <w:rsid w:val="00EB5EA2"/>
    <w:rsid w:val="00EC2476"/>
    <w:rsid w:val="00EC65AF"/>
    <w:rsid w:val="00EF35D8"/>
    <w:rsid w:val="00F16A23"/>
    <w:rsid w:val="00F205F0"/>
    <w:rsid w:val="00F339C4"/>
    <w:rsid w:val="00F40145"/>
    <w:rsid w:val="00F43472"/>
    <w:rsid w:val="00F50E90"/>
    <w:rsid w:val="00F5185E"/>
    <w:rsid w:val="00F67060"/>
    <w:rsid w:val="00F84F7B"/>
    <w:rsid w:val="00F867E9"/>
    <w:rsid w:val="00F869E5"/>
    <w:rsid w:val="00FF1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bfoulds@smmt.co.uk" TargetMode="External"/><Relationship Id="rId2" Type="http://schemas.openxmlformats.org/officeDocument/2006/relationships/hyperlink" Target="mailto:ebutcher@smmt.co.uk" TargetMode="External"/><Relationship Id="rId1" Type="http://schemas.openxmlformats.org/officeDocument/2006/relationships/hyperlink" Target="http://www.smmt.co.uk/facts14" TargetMode="External"/><Relationship Id="rId4" Type="http://schemas.openxmlformats.org/officeDocument/2006/relationships/hyperlink" Target="mailto:amichaelide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a\Documents\Copy%20of%20Dec%2014%20Pr%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Dec%2014%20Pr%20Chart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0142136079143957"/>
          <c:y val="8.6288161348252554E-2"/>
          <c:w val="0.72901969421654478"/>
          <c:h val="0.76206403349378926"/>
        </c:manualLayout>
      </c:layout>
      <c:lineChart>
        <c:grouping val="standard"/>
        <c:ser>
          <c:idx val="13"/>
          <c:order val="0"/>
          <c:tx>
            <c:strRef>
              <c:f>'[2]PR&amp;12MONTHROLL-CHARTS'!$J$21</c:f>
              <c:strCache>
                <c:ptCount val="1"/>
                <c:pt idx="0">
                  <c:v>CVs</c:v>
                </c:pt>
              </c:strCache>
            </c:strRef>
          </c:tx>
          <c:spPr>
            <a:ln w="31750">
              <a:solidFill>
                <a:srgbClr val="1074CB"/>
              </a:solidFill>
              <a:prstDash val="solid"/>
            </a:ln>
          </c:spPr>
          <c:marker>
            <c:symbol val="none"/>
          </c:marker>
          <c:cat>
            <c:numRef>
              <c:f>'[2]PR&amp;12MONTHROLL-CHARTS'!$C$3:$CT$3</c:f>
              <c:numCache>
                <c:formatCode>General</c:formatCode>
                <c:ptCount val="96"/>
                <c:pt idx="0">
                  <c:v>2008</c:v>
                </c:pt>
                <c:pt idx="12">
                  <c:v>2009</c:v>
                </c:pt>
                <c:pt idx="24">
                  <c:v>2010</c:v>
                </c:pt>
                <c:pt idx="36">
                  <c:v>2011</c:v>
                </c:pt>
                <c:pt idx="48">
                  <c:v>2012</c:v>
                </c:pt>
                <c:pt idx="60">
                  <c:v>2013</c:v>
                </c:pt>
                <c:pt idx="72">
                  <c:v>2014</c:v>
                </c:pt>
                <c:pt idx="84">
                  <c:v>2015</c:v>
                </c:pt>
              </c:numCache>
            </c:numRef>
          </c:cat>
          <c:val>
            <c:numRef>
              <c:f>'[2]PR&amp;12MONTHROLL-CHARTS'!$C$9:$CH$9</c:f>
              <c:numCache>
                <c:formatCode>General</c:formatCode>
                <c:ptCount val="84"/>
                <c:pt idx="0">
                  <c:v>216.93200000000002</c:v>
                </c:pt>
                <c:pt idx="1">
                  <c:v>220.09</c:v>
                </c:pt>
                <c:pt idx="2">
                  <c:v>218.60499999999999</c:v>
                </c:pt>
                <c:pt idx="3">
                  <c:v>224.066</c:v>
                </c:pt>
                <c:pt idx="4">
                  <c:v>224.81300000000002</c:v>
                </c:pt>
                <c:pt idx="5">
                  <c:v>227.24299999999999</c:v>
                </c:pt>
                <c:pt idx="6">
                  <c:v>234.255</c:v>
                </c:pt>
                <c:pt idx="7">
                  <c:v>230.57899999999998</c:v>
                </c:pt>
                <c:pt idx="8">
                  <c:v>231.30100000000002</c:v>
                </c:pt>
                <c:pt idx="9">
                  <c:v>222.191</c:v>
                </c:pt>
                <c:pt idx="10">
                  <c:v>211.12800000000001</c:v>
                </c:pt>
                <c:pt idx="11">
                  <c:v>202.89600000000002</c:v>
                </c:pt>
                <c:pt idx="12">
                  <c:v>190.40700000000001</c:v>
                </c:pt>
                <c:pt idx="13">
                  <c:v>175.62800000000001</c:v>
                </c:pt>
                <c:pt idx="14">
                  <c:v>164.89700000000002</c:v>
                </c:pt>
                <c:pt idx="15">
                  <c:v>150.56800000000001</c:v>
                </c:pt>
                <c:pt idx="16">
                  <c:v>137.55800000000002</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103.93400000000001</c:v>
                </c:pt>
                <c:pt idx="28">
                  <c:v>109.98699999999999</c:v>
                </c:pt>
                <c:pt idx="29">
                  <c:v>112.111</c:v>
                </c:pt>
                <c:pt idx="30">
                  <c:v>113.232</c:v>
                </c:pt>
                <c:pt idx="31">
                  <c:v>114.29600000000002</c:v>
                </c:pt>
                <c:pt idx="32">
                  <c:v>115.91900000000001</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115.91700000000002</c:v>
                </c:pt>
                <c:pt idx="56">
                  <c:v>113.47799999999999</c:v>
                </c:pt>
                <c:pt idx="57">
                  <c:v>114.04</c:v>
                </c:pt>
                <c:pt idx="58">
                  <c:v>113.634</c:v>
                </c:pt>
                <c:pt idx="59">
                  <c:v>112.039</c:v>
                </c:pt>
                <c:pt idx="60">
                  <c:v>110.01700000000001</c:v>
                </c:pt>
                <c:pt idx="61">
                  <c:v>108.367</c:v>
                </c:pt>
                <c:pt idx="62">
                  <c:v>106.52200000000001</c:v>
                </c:pt>
                <c:pt idx="63">
                  <c:v>106.232</c:v>
                </c:pt>
                <c:pt idx="64">
                  <c:v>104.34699999999999</c:v>
                </c:pt>
                <c:pt idx="65">
                  <c:v>104.46000000000001</c:v>
                </c:pt>
                <c:pt idx="66">
                  <c:v>103.89100000000002</c:v>
                </c:pt>
                <c:pt idx="67">
                  <c:v>99.977000000000004</c:v>
                </c:pt>
                <c:pt idx="68">
                  <c:v>97.332999999999998</c:v>
                </c:pt>
                <c:pt idx="69">
                  <c:v>93.308999999999983</c:v>
                </c:pt>
                <c:pt idx="70">
                  <c:v>89.385999999999981</c:v>
                </c:pt>
                <c:pt idx="71">
                  <c:v>87.670999999999992</c:v>
                </c:pt>
                <c:pt idx="72">
                  <c:v>86.555999999999983</c:v>
                </c:pt>
                <c:pt idx="73">
                  <c:v>84.79</c:v>
                </c:pt>
                <c:pt idx="74">
                  <c:v>83.495000000000005</c:v>
                </c:pt>
                <c:pt idx="75">
                  <c:v>81.178999999999988</c:v>
                </c:pt>
                <c:pt idx="76">
                  <c:v>78.745999999999995</c:v>
                </c:pt>
                <c:pt idx="77">
                  <c:v>76.614000000000004</c:v>
                </c:pt>
                <c:pt idx="78">
                  <c:v>74.516999999999996</c:v>
                </c:pt>
                <c:pt idx="79">
                  <c:v>72.953000000000003</c:v>
                </c:pt>
                <c:pt idx="80">
                  <c:v>70.669999999999987</c:v>
                </c:pt>
                <c:pt idx="81">
                  <c:v>70.03</c:v>
                </c:pt>
                <c:pt idx="82">
                  <c:v>70.051999999999992</c:v>
                </c:pt>
                <c:pt idx="83">
                  <c:v>70.730999999999995</c:v>
                </c:pt>
              </c:numCache>
            </c:numRef>
          </c:val>
        </c:ser>
        <c:dLbls/>
        <c:marker val="1"/>
        <c:axId val="92587520"/>
        <c:axId val="92589056"/>
      </c:lineChart>
      <c:catAx>
        <c:axId val="92587520"/>
        <c:scaling>
          <c:orientation val="minMax"/>
        </c:scaling>
        <c:axPos val="b"/>
        <c:numFmt formatCode="General" sourceLinked="0"/>
        <c:majorTickMark val="none"/>
        <c:tickLblPos val="nextTo"/>
        <c:spPr>
          <a:ln>
            <a:solidFill>
              <a:schemeClr val="tx1">
                <a:lumMod val="50000"/>
                <a:lumOff val="50000"/>
              </a:schemeClr>
            </a:solidFill>
          </a:ln>
        </c:spPr>
        <c:txPr>
          <a:bodyPr rot="-1740000" vert="horz"/>
          <a:lstStyle/>
          <a:p>
            <a:pPr>
              <a:defRPr sz="1000" b="0" i="1" u="none" strike="noStrike" baseline="0">
                <a:solidFill>
                  <a:srgbClr val="002060"/>
                </a:solidFill>
                <a:latin typeface="Arial"/>
                <a:ea typeface="Arial"/>
                <a:cs typeface="Arial"/>
              </a:defRPr>
            </a:pPr>
            <a:endParaRPr lang="en-US"/>
          </a:p>
        </c:txPr>
        <c:crossAx val="92589056"/>
        <c:crosses val="autoZero"/>
        <c:auto val="1"/>
        <c:lblAlgn val="ctr"/>
        <c:lblOffset val="100"/>
        <c:tickLblSkip val="1"/>
        <c:tickMarkSkip val="1"/>
      </c:catAx>
      <c:valAx>
        <c:axId val="92589056"/>
        <c:scaling>
          <c:orientation val="minMax"/>
        </c:scaling>
        <c:axPos val="l"/>
        <c:majorGridlines>
          <c:spPr>
            <a:ln w="3175">
              <a:solidFill>
                <a:schemeClr val="tx1">
                  <a:lumMod val="50000"/>
                  <a:lumOff val="50000"/>
                </a:schemeClr>
              </a:solidFill>
              <a:prstDash val="solid"/>
            </a:ln>
          </c:spPr>
        </c:majorGridlines>
        <c:title>
          <c:tx>
            <c:rich>
              <a:bodyPr/>
              <a:lstStyle/>
              <a:p>
                <a:pPr>
                  <a:defRPr sz="800" b="1" i="0" u="none" strike="noStrike" baseline="0">
                    <a:solidFill>
                      <a:srgbClr val="002060"/>
                    </a:solidFill>
                    <a:latin typeface="Arial"/>
                    <a:ea typeface="Arial"/>
                    <a:cs typeface="Arial"/>
                  </a:defRPr>
                </a:pPr>
                <a:r>
                  <a:rPr lang="en-GB" sz="1000" i="0">
                    <a:solidFill>
                      <a:srgbClr val="002060"/>
                    </a:solidFill>
                  </a:rPr>
                  <a:t>Thousands</a:t>
                </a:r>
              </a:p>
            </c:rich>
          </c:tx>
          <c:layout>
            <c:manualLayout>
              <c:xMode val="edge"/>
              <c:yMode val="edge"/>
              <c:x val="4.6620046620046629E-3"/>
              <c:y val="0.37266868257437408"/>
            </c:manualLayout>
          </c:layout>
        </c:title>
        <c:numFmt formatCode="General" sourceLinked="1"/>
        <c:tickLblPos val="nextTo"/>
        <c:spPr>
          <a:ln w="3175">
            <a:solidFill>
              <a:schemeClr val="tx1">
                <a:lumMod val="50000"/>
                <a:lumOff val="50000"/>
              </a:schemeClr>
            </a:solidFill>
            <a:prstDash val="solid"/>
          </a:ln>
        </c:spPr>
        <c:txPr>
          <a:bodyPr rot="-900000" vert="horz"/>
          <a:lstStyle/>
          <a:p>
            <a:pPr>
              <a:defRPr sz="1000" b="0" i="1" u="none" strike="noStrike" baseline="0">
                <a:solidFill>
                  <a:sysClr val="windowText" lastClr="000000"/>
                </a:solidFill>
                <a:latin typeface="Arial"/>
                <a:ea typeface="Arial"/>
                <a:cs typeface="Arial"/>
              </a:defRPr>
            </a:pPr>
            <a:endParaRPr lang="en-US"/>
          </a:p>
        </c:txPr>
        <c:crossAx val="92587520"/>
        <c:crosses val="autoZero"/>
        <c:crossBetween val="between"/>
      </c:valAx>
      <c:spPr>
        <a:noFill/>
        <a:ln w="12700">
          <a:solidFill>
            <a:srgbClr val="808080"/>
          </a:solidFill>
          <a:prstDash val="solid"/>
        </a:ln>
      </c:spPr>
    </c:plotArea>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444052352987653"/>
          <c:y val="0.14814814814814817"/>
          <c:w val="0.73778140608678122"/>
          <c:h val="0.76127272195064821"/>
        </c:manualLayout>
      </c:layout>
      <c:barChart>
        <c:barDir val="col"/>
        <c:grouping val="clustered"/>
        <c:ser>
          <c:idx val="0"/>
          <c:order val="0"/>
          <c:spPr>
            <a:ln>
              <a:solidFill>
                <a:sysClr val="windowText" lastClr="000000"/>
              </a:solidFill>
            </a:ln>
          </c:spPr>
          <c:dPt>
            <c:idx val="0"/>
            <c:spPr>
              <a:solidFill>
                <a:srgbClr val="1074CB"/>
              </a:solidFill>
              <a:ln>
                <a:solidFill>
                  <a:sysClr val="windowText" lastClr="000000"/>
                </a:solidFill>
              </a:ln>
            </c:spPr>
          </c:dPt>
          <c:dPt>
            <c:idx val="1"/>
            <c:spPr>
              <a:solidFill>
                <a:srgbClr val="1074CB"/>
              </a:solidFill>
              <a:ln>
                <a:solidFill>
                  <a:sysClr val="windowText" lastClr="000000"/>
                </a:solidFill>
              </a:ln>
            </c:spPr>
          </c:dPt>
          <c:dPt>
            <c:idx val="2"/>
            <c:spPr>
              <a:solidFill>
                <a:srgbClr val="1074CB"/>
              </a:solidFill>
              <a:ln>
                <a:solidFill>
                  <a:sysClr val="windowText" lastClr="000000"/>
                </a:solidFill>
              </a:ln>
            </c:spPr>
          </c:dPt>
          <c:cat>
            <c:strRef>
              <c:f>CV!$J$73:$J$76</c:f>
              <c:strCache>
                <c:ptCount val="4"/>
                <c:pt idx="0">
                  <c:v>Q1</c:v>
                </c:pt>
                <c:pt idx="1">
                  <c:v>Q2</c:v>
                </c:pt>
                <c:pt idx="2">
                  <c:v>Q3</c:v>
                </c:pt>
                <c:pt idx="3">
                  <c:v>Q4</c:v>
                </c:pt>
              </c:strCache>
            </c:strRef>
          </c:cat>
          <c:val>
            <c:numRef>
              <c:f>CV!$K$73:$K$76</c:f>
              <c:numCache>
                <c:formatCode>General</c:formatCode>
                <c:ptCount val="4"/>
                <c:pt idx="0">
                  <c:v>-17.50649786199379</c:v>
                </c:pt>
                <c:pt idx="1">
                  <c:v>-27.90009325710578</c:v>
                </c:pt>
                <c:pt idx="2">
                  <c:v>-31.133459040435785</c:v>
                </c:pt>
                <c:pt idx="3">
                  <c:v>0.30405742199182539</c:v>
                </c:pt>
              </c:numCache>
            </c:numRef>
          </c:val>
        </c:ser>
        <c:dLbls/>
        <c:axId val="11961088"/>
        <c:axId val="11962624"/>
      </c:barChart>
      <c:catAx>
        <c:axId val="11961088"/>
        <c:scaling>
          <c:orientation val="minMax"/>
        </c:scaling>
        <c:axPos val="b"/>
        <c:tickLblPos val="nextTo"/>
        <c:spPr>
          <a:ln w="12700">
            <a:solidFill>
              <a:schemeClr val="tx2"/>
            </a:solidFill>
          </a:ln>
        </c:spPr>
        <c:crossAx val="11962624"/>
        <c:crosses val="autoZero"/>
        <c:auto val="1"/>
        <c:lblAlgn val="ctr"/>
        <c:lblOffset val="100"/>
      </c:catAx>
      <c:valAx>
        <c:axId val="11962624"/>
        <c:scaling>
          <c:orientation val="minMax"/>
        </c:scaling>
        <c:axPos val="l"/>
        <c:majorGridlines/>
        <c:title>
          <c:tx>
            <c:rich>
              <a:bodyPr rot="-5400000" vert="horz"/>
              <a:lstStyle/>
              <a:p>
                <a:pPr>
                  <a:defRPr>
                    <a:solidFill>
                      <a:srgbClr val="002060"/>
                    </a:solidFill>
                  </a:defRPr>
                </a:pPr>
                <a:r>
                  <a:rPr lang="en-US">
                    <a:solidFill>
                      <a:srgbClr val="002060"/>
                    </a:solidFill>
                  </a:rPr>
                  <a:t>% change</a:t>
                </a:r>
              </a:p>
            </c:rich>
          </c:tx>
          <c:layout/>
        </c:title>
        <c:numFmt formatCode="General" sourceLinked="1"/>
        <c:tickLblPos val="nextTo"/>
        <c:txPr>
          <a:bodyPr/>
          <a:lstStyle/>
          <a:p>
            <a:pPr>
              <a:defRPr>
                <a:solidFill>
                  <a:srgbClr val="002060"/>
                </a:solidFill>
              </a:defRPr>
            </a:pPr>
            <a:endParaRPr lang="en-US"/>
          </a:p>
        </c:txPr>
        <c:crossAx val="11961088"/>
        <c:crosses val="autoZero"/>
        <c:crossBetween val="between"/>
      </c:valAx>
    </c:plotArea>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0.13149</cdr:x>
      <cdr:y>0.7587</cdr:y>
    </cdr:from>
    <cdr:to>
      <cdr:x>0.68011</cdr:x>
      <cdr:y>0.82274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A86CC-EB78-416D-AE11-3140CCC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3</cp:revision>
  <cp:lastPrinted>2015-01-21T14:04:00Z</cp:lastPrinted>
  <dcterms:created xsi:type="dcterms:W3CDTF">2015-01-22T17:01:00Z</dcterms:created>
  <dcterms:modified xsi:type="dcterms:W3CDTF">2015-01-23T09:14:00Z</dcterms:modified>
</cp:coreProperties>
</file>