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6EA" w:rsidRPr="00A72CAD" w:rsidRDefault="008B46EA" w:rsidP="005E0768">
      <w:pPr>
        <w:pStyle w:val="Heading1"/>
        <w:ind w:right="142"/>
        <w:rPr>
          <w:rFonts w:ascii="Arial" w:eastAsiaTheme="minorEastAsia" w:hAnsi="Arial" w:cs="Arial"/>
          <w:bCs/>
          <w:color w:val="1074CB"/>
          <w:sz w:val="28"/>
          <w:szCs w:val="28"/>
        </w:rPr>
      </w:pPr>
      <w:r w:rsidRPr="00A72CAD">
        <w:rPr>
          <w:rFonts w:ascii="Arial" w:eastAsiaTheme="minorEastAsia" w:hAnsi="Arial" w:cs="Arial"/>
          <w:bCs/>
          <w:color w:val="1074CB"/>
          <w:sz w:val="44"/>
          <w:szCs w:val="44"/>
        </w:rPr>
        <w:t xml:space="preserve">UK CAR MANUFACTURING </w:t>
      </w:r>
      <w:r w:rsidRPr="00A72CAD">
        <w:rPr>
          <w:rFonts w:ascii="Arial" w:eastAsiaTheme="minorEastAsia" w:hAnsi="Arial" w:cs="Arial"/>
          <w:b w:val="0"/>
          <w:bCs/>
          <w:color w:val="1074CB"/>
          <w:sz w:val="28"/>
          <w:szCs w:val="28"/>
        </w:rPr>
        <w:t xml:space="preserve">(data for </w:t>
      </w:r>
      <w:r w:rsidR="0043010A">
        <w:rPr>
          <w:rFonts w:ascii="Arial" w:eastAsiaTheme="minorEastAsia" w:hAnsi="Arial" w:cs="Arial"/>
          <w:b w:val="0"/>
          <w:bCs/>
          <w:color w:val="1074CB"/>
          <w:sz w:val="28"/>
          <w:szCs w:val="28"/>
        </w:rPr>
        <w:t>full year</w:t>
      </w:r>
      <w:r w:rsidR="005C4BC2">
        <w:rPr>
          <w:rFonts w:ascii="Arial" w:eastAsiaTheme="minorEastAsia" w:hAnsi="Arial" w:cs="Arial"/>
          <w:b w:val="0"/>
          <w:bCs/>
          <w:color w:val="1074CB"/>
          <w:sz w:val="28"/>
          <w:szCs w:val="28"/>
        </w:rPr>
        <w:t xml:space="preserve"> </w:t>
      </w:r>
      <w:r>
        <w:rPr>
          <w:rFonts w:ascii="Arial" w:eastAsiaTheme="minorEastAsia" w:hAnsi="Arial" w:cs="Arial"/>
          <w:b w:val="0"/>
          <w:bCs/>
          <w:color w:val="1074CB"/>
          <w:sz w:val="28"/>
          <w:szCs w:val="28"/>
        </w:rPr>
        <w:t>2014</w:t>
      </w:r>
      <w:r w:rsidRPr="00A72CAD">
        <w:rPr>
          <w:rFonts w:ascii="Arial" w:eastAsiaTheme="minorEastAsia" w:hAnsi="Arial" w:cs="Arial"/>
          <w:b w:val="0"/>
          <w:bCs/>
          <w:color w:val="1074CB"/>
          <w:sz w:val="28"/>
          <w:szCs w:val="28"/>
        </w:rPr>
        <w:t>)</w:t>
      </w:r>
    </w:p>
    <w:p w:rsidR="008B46EA" w:rsidRPr="00A72CAD" w:rsidRDefault="008B46EA" w:rsidP="005E0768">
      <w:pPr>
        <w:pStyle w:val="Heading1"/>
        <w:ind w:right="142"/>
        <w:rPr>
          <w:rFonts w:ascii="Arial" w:eastAsiaTheme="minorEastAsia" w:hAnsi="Arial" w:cs="Arial"/>
          <w:b w:val="0"/>
          <w:bCs/>
          <w:color w:val="FF0000"/>
        </w:rPr>
      </w:pPr>
      <w:r w:rsidRPr="00A72CAD">
        <w:rPr>
          <w:rFonts w:ascii="Arial" w:eastAsiaTheme="minorEastAsia" w:hAnsi="Arial" w:cs="Arial"/>
          <w:b w:val="0"/>
          <w:bCs/>
          <w:color w:val="FF0000"/>
          <w:sz w:val="44"/>
          <w:szCs w:val="44"/>
        </w:rPr>
        <w:t xml:space="preserve">Embargoed to 00:01 on </w:t>
      </w:r>
      <w:r w:rsidR="00634006">
        <w:rPr>
          <w:rFonts w:ascii="Arial" w:eastAsiaTheme="minorEastAsia" w:hAnsi="Arial" w:cs="Arial"/>
          <w:b w:val="0"/>
          <w:bCs/>
          <w:color w:val="FF0000"/>
          <w:sz w:val="44"/>
          <w:szCs w:val="44"/>
        </w:rPr>
        <w:t>23</w:t>
      </w:r>
      <w:r w:rsidR="00D16FB8">
        <w:rPr>
          <w:rFonts w:ascii="Arial" w:eastAsiaTheme="minorEastAsia" w:hAnsi="Arial" w:cs="Arial"/>
          <w:b w:val="0"/>
          <w:bCs/>
          <w:color w:val="FF0000"/>
          <w:sz w:val="44"/>
          <w:szCs w:val="44"/>
        </w:rPr>
        <w:t xml:space="preserve"> </w:t>
      </w:r>
      <w:r w:rsidR="00634006">
        <w:rPr>
          <w:rFonts w:ascii="Arial" w:eastAsiaTheme="minorEastAsia" w:hAnsi="Arial" w:cs="Arial"/>
          <w:b w:val="0"/>
          <w:bCs/>
          <w:color w:val="FF0000"/>
          <w:sz w:val="44"/>
          <w:szCs w:val="44"/>
        </w:rPr>
        <w:t>January 2015</w:t>
      </w:r>
      <w:r w:rsidRPr="00A72CAD">
        <w:rPr>
          <w:rFonts w:ascii="Arial" w:eastAsiaTheme="minorEastAsia" w:hAnsi="Arial" w:cs="Arial"/>
          <w:b w:val="0"/>
          <w:bCs/>
          <w:color w:val="FF0000"/>
          <w:szCs w:val="24"/>
        </w:rPr>
        <w:t xml:space="preserve"> </w:t>
      </w:r>
    </w:p>
    <w:p w:rsidR="00C23320" w:rsidRPr="002933CF" w:rsidRDefault="00F01A98" w:rsidP="005E0768">
      <w:pPr>
        <w:tabs>
          <w:tab w:val="left" w:pos="889"/>
        </w:tabs>
        <w:rPr>
          <w:rFonts w:ascii="Arial" w:eastAsiaTheme="minorEastAsia" w:hAnsi="Arial" w:cs="Arial"/>
          <w:bCs/>
          <w:color w:val="1074CB"/>
          <w:sz w:val="20"/>
        </w:rPr>
      </w:pPr>
      <w:r w:rsidRPr="00F01A98">
        <w:rPr>
          <w:rFonts w:ascii="Arial" w:eastAsiaTheme="minorEastAsia" w:hAnsi="Arial" w:cs="Arial"/>
          <w:b/>
          <w:bCs/>
          <w:noProof/>
          <w:color w:val="1074CB"/>
          <w:sz w:val="20"/>
        </w:rPr>
        <w:pict>
          <v:line id="Line 4"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pt,.6pt" to="462.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" strokecolor="#1074cb"/>
        </w:pict>
      </w:r>
      <w:r w:rsidR="00C80E70">
        <w:rPr>
          <w:rFonts w:ascii="Arial" w:eastAsiaTheme="minorEastAsia" w:hAnsi="Arial" w:cs="Arial"/>
          <w:bCs/>
          <w:color w:val="1074CB"/>
          <w:sz w:val="36"/>
          <w:szCs w:val="36"/>
        </w:rPr>
        <w:t xml:space="preserve"> </w:t>
      </w:r>
    </w:p>
    <w:p w:rsidR="005C4BC2" w:rsidRDefault="00634006" w:rsidP="005C4BC2">
      <w:pPr>
        <w:pStyle w:val="Heading1"/>
        <w:ind w:left="0" w:right="425" w:firstLine="0"/>
      </w:pPr>
      <w:r>
        <w:rPr>
          <w:rFonts w:ascii="Arial" w:hAnsi="Arial" w:cs="Arial"/>
          <w:color w:val="1074CB"/>
          <w:sz w:val="36"/>
          <w:szCs w:val="36"/>
        </w:rPr>
        <w:t xml:space="preserve">UK car manufacturing defies </w:t>
      </w:r>
      <w:r w:rsidR="002E6A7B">
        <w:rPr>
          <w:rFonts w:ascii="Arial" w:hAnsi="Arial" w:cs="Arial"/>
          <w:color w:val="1074CB"/>
          <w:sz w:val="36"/>
          <w:szCs w:val="36"/>
        </w:rPr>
        <w:t>export challenges</w:t>
      </w:r>
      <w:r>
        <w:rPr>
          <w:rFonts w:ascii="Arial" w:hAnsi="Arial" w:cs="Arial"/>
          <w:color w:val="1074CB"/>
          <w:sz w:val="36"/>
          <w:szCs w:val="36"/>
        </w:rPr>
        <w:t xml:space="preserve"> with year of growth</w:t>
      </w:r>
    </w:p>
    <w:p w:rsidR="00DF5C28" w:rsidRPr="00DF5C28" w:rsidRDefault="008D4D5C" w:rsidP="008D4D5C">
      <w:pPr>
        <w:rPr>
          <w:rFonts w:ascii="Arial" w:hAnsi="Arial" w:cs="Arial"/>
          <w:sz w:val="20"/>
        </w:rPr>
      </w:pPr>
      <w:r>
        <w:rPr>
          <w:rFonts w:ascii="Arial" w:hAnsi="Arial" w:cs="Arial"/>
          <w:sz w:val="20"/>
        </w:rPr>
        <w:t> </w:t>
      </w:r>
    </w:p>
    <w:p w:rsidR="005C4BC2" w:rsidRDefault="002E6A7B" w:rsidP="005C4BC2">
      <w:pPr>
        <w:pStyle w:val="ListParagraph"/>
        <w:numPr>
          <w:ilvl w:val="0"/>
          <w:numId w:val="7"/>
        </w:numPr>
        <w:spacing w:after="120"/>
        <w:contextualSpacing w:val="0"/>
        <w:rPr>
          <w:rFonts w:ascii="Arial" w:hAnsi="Arial" w:cs="Arial"/>
          <w:sz w:val="20"/>
        </w:rPr>
      </w:pPr>
      <w:r>
        <w:rPr>
          <w:rFonts w:ascii="Arial" w:hAnsi="Arial" w:cs="Arial"/>
          <w:sz w:val="20"/>
        </w:rPr>
        <w:t>1,528,148 cars manufactured in the UK in 2014 – a 1.2% increase on the previous year</w:t>
      </w:r>
      <w:r w:rsidR="00DA7240">
        <w:rPr>
          <w:rFonts w:ascii="Arial" w:hAnsi="Arial" w:cs="Arial"/>
          <w:sz w:val="20"/>
        </w:rPr>
        <w:t xml:space="preserve"> and the best year since 2007.</w:t>
      </w:r>
    </w:p>
    <w:p w:rsidR="002E6A7B" w:rsidRDefault="00312C44" w:rsidP="005C4BC2">
      <w:pPr>
        <w:pStyle w:val="ListParagraph"/>
        <w:numPr>
          <w:ilvl w:val="0"/>
          <w:numId w:val="7"/>
        </w:numPr>
        <w:spacing w:after="120"/>
        <w:contextualSpacing w:val="0"/>
        <w:rPr>
          <w:rFonts w:ascii="Arial" w:hAnsi="Arial" w:cs="Arial"/>
          <w:sz w:val="20"/>
        </w:rPr>
      </w:pPr>
      <w:r>
        <w:rPr>
          <w:rFonts w:ascii="Arial" w:hAnsi="Arial" w:cs="Arial"/>
          <w:sz w:val="20"/>
        </w:rPr>
        <w:t>Strongest December in a decade saw 108,721 cars produced, up 27.1% on December 2013.</w:t>
      </w:r>
    </w:p>
    <w:p w:rsidR="005C4BC2" w:rsidRDefault="002E6A7B" w:rsidP="00312C44">
      <w:pPr>
        <w:pStyle w:val="ListParagraph"/>
        <w:numPr>
          <w:ilvl w:val="0"/>
          <w:numId w:val="7"/>
        </w:numPr>
        <w:spacing w:after="120"/>
        <w:contextualSpacing w:val="0"/>
        <w:rPr>
          <w:rFonts w:ascii="Arial" w:hAnsi="Arial" w:cs="Arial"/>
          <w:sz w:val="20"/>
        </w:rPr>
      </w:pPr>
      <w:r>
        <w:rPr>
          <w:rFonts w:ascii="Arial" w:hAnsi="Arial" w:cs="Arial"/>
          <w:sz w:val="20"/>
        </w:rPr>
        <w:t>Growth comes despite c</w:t>
      </w:r>
      <w:r w:rsidR="00312C44">
        <w:rPr>
          <w:rFonts w:ascii="Arial" w:hAnsi="Arial" w:cs="Arial"/>
          <w:sz w:val="20"/>
        </w:rPr>
        <w:t>hallenges in some export markets.</w:t>
      </w:r>
    </w:p>
    <w:p w:rsidR="00B60D2C" w:rsidRPr="00312C44" w:rsidRDefault="00B60D2C" w:rsidP="00312C44">
      <w:pPr>
        <w:pStyle w:val="ListParagraph"/>
        <w:numPr>
          <w:ilvl w:val="0"/>
          <w:numId w:val="7"/>
        </w:numPr>
        <w:spacing w:after="120"/>
        <w:contextualSpacing w:val="0"/>
        <w:rPr>
          <w:rFonts w:ascii="Arial" w:hAnsi="Arial" w:cs="Arial"/>
          <w:sz w:val="20"/>
        </w:rPr>
      </w:pPr>
      <w:r>
        <w:rPr>
          <w:rFonts w:ascii="Arial" w:hAnsi="Arial" w:cs="Arial"/>
          <w:sz w:val="20"/>
        </w:rPr>
        <w:t xml:space="preserve">Output for the UK market matched the growth in overall UK registrations, </w:t>
      </w:r>
      <w:r w:rsidR="006374F4">
        <w:rPr>
          <w:rFonts w:ascii="Arial" w:hAnsi="Arial" w:cs="Arial"/>
          <w:sz w:val="20"/>
        </w:rPr>
        <w:t>rising</w:t>
      </w:r>
      <w:r>
        <w:rPr>
          <w:rFonts w:ascii="Arial" w:hAnsi="Arial" w:cs="Arial"/>
          <w:sz w:val="20"/>
        </w:rPr>
        <w:t xml:space="preserve"> 8.0%.</w:t>
      </w:r>
    </w:p>
    <w:p w:rsidR="008D4D5C" w:rsidRPr="005C4BC2" w:rsidRDefault="008D4D5C" w:rsidP="008D4D5C">
      <w:r w:rsidRPr="005C4BC2">
        <w:rPr>
          <w:rFonts w:ascii="Arial" w:hAnsi="Arial" w:cs="Arial"/>
          <w:sz w:val="16"/>
          <w:szCs w:val="16"/>
        </w:rPr>
        <w:t> </w:t>
      </w:r>
    </w:p>
    <w:p w:rsidR="00312C44" w:rsidRDefault="00F15094" w:rsidP="005C4BC2">
      <w:pPr>
        <w:spacing w:line="276" w:lineRule="auto"/>
        <w:rPr>
          <w:rFonts w:ascii="Arial" w:hAnsi="Arial" w:cs="Arial"/>
          <w:sz w:val="20"/>
        </w:rPr>
      </w:pPr>
      <w:r w:rsidRPr="001C5FB2">
        <w:rPr>
          <w:rFonts w:ascii="Arial" w:hAnsi="Arial" w:cs="Arial"/>
          <w:b/>
          <w:sz w:val="20"/>
        </w:rPr>
        <w:t>Mike Hawes, SMMT Chief Executive</w:t>
      </w:r>
      <w:r>
        <w:rPr>
          <w:rFonts w:ascii="Arial" w:hAnsi="Arial" w:cs="Arial"/>
          <w:sz w:val="20"/>
        </w:rPr>
        <w:t xml:space="preserve">, said, </w:t>
      </w:r>
      <w:r w:rsidR="005C4BC2">
        <w:rPr>
          <w:rFonts w:ascii="Arial" w:hAnsi="Arial" w:cs="Arial"/>
          <w:sz w:val="20"/>
        </w:rPr>
        <w:t>"</w:t>
      </w:r>
      <w:r w:rsidR="00312C44">
        <w:rPr>
          <w:rFonts w:ascii="Arial" w:hAnsi="Arial" w:cs="Arial"/>
          <w:sz w:val="20"/>
        </w:rPr>
        <w:t xml:space="preserve">Placed in context, </w:t>
      </w:r>
      <w:r w:rsidR="00AC476D">
        <w:rPr>
          <w:rFonts w:ascii="Arial" w:hAnsi="Arial" w:cs="Arial"/>
          <w:sz w:val="20"/>
        </w:rPr>
        <w:t>a 1.2% growth</w:t>
      </w:r>
      <w:r w:rsidR="00312C44">
        <w:rPr>
          <w:rFonts w:ascii="Arial" w:hAnsi="Arial" w:cs="Arial"/>
          <w:sz w:val="20"/>
        </w:rPr>
        <w:t xml:space="preserve"> in UK car manufacturing in 2014 represents a </w:t>
      </w:r>
      <w:r w:rsidR="00AC476D">
        <w:rPr>
          <w:rFonts w:ascii="Arial" w:hAnsi="Arial" w:cs="Arial"/>
          <w:sz w:val="20"/>
        </w:rPr>
        <w:t xml:space="preserve">very </w:t>
      </w:r>
      <w:r w:rsidR="00312C44">
        <w:rPr>
          <w:rFonts w:ascii="Arial" w:hAnsi="Arial" w:cs="Arial"/>
          <w:sz w:val="20"/>
        </w:rPr>
        <w:t>successful year.</w:t>
      </w:r>
      <w:r w:rsidR="00AC476D">
        <w:rPr>
          <w:rFonts w:ascii="Arial" w:hAnsi="Arial" w:cs="Arial"/>
          <w:sz w:val="20"/>
        </w:rPr>
        <w:t xml:space="preserve"> The industry has overcome various challenges, including </w:t>
      </w:r>
      <w:r w:rsidR="008A166C" w:rsidRPr="008A166C">
        <w:rPr>
          <w:rFonts w:ascii="Arial" w:hAnsi="Arial" w:cs="Arial"/>
          <w:sz w:val="20"/>
        </w:rPr>
        <w:t>slower than expected EU recovery and weakness in some global markets.</w:t>
      </w:r>
    </w:p>
    <w:p w:rsidR="00312C44" w:rsidRDefault="00312C44" w:rsidP="005C4BC2">
      <w:pPr>
        <w:spacing w:line="276" w:lineRule="auto"/>
        <w:rPr>
          <w:rFonts w:ascii="Arial" w:hAnsi="Arial" w:cs="Arial"/>
          <w:sz w:val="20"/>
        </w:rPr>
      </w:pPr>
    </w:p>
    <w:p w:rsidR="00312C44" w:rsidRDefault="00FE5416" w:rsidP="005C4BC2">
      <w:pPr>
        <w:spacing w:line="276" w:lineRule="auto"/>
        <w:rPr>
          <w:rFonts w:ascii="Arial" w:hAnsi="Arial" w:cs="Arial"/>
          <w:sz w:val="20"/>
        </w:rPr>
      </w:pPr>
      <w:r>
        <w:rPr>
          <w:rFonts w:ascii="Arial" w:hAnsi="Arial" w:cs="Arial"/>
          <w:sz w:val="20"/>
        </w:rPr>
        <w:t>"</w:t>
      </w:r>
      <w:r w:rsidR="001815A7">
        <w:rPr>
          <w:rFonts w:ascii="Arial" w:hAnsi="Arial" w:cs="Arial"/>
          <w:sz w:val="20"/>
        </w:rPr>
        <w:t xml:space="preserve">More than £7 billion </w:t>
      </w:r>
      <w:r w:rsidR="008A166C">
        <w:rPr>
          <w:rFonts w:ascii="Arial" w:hAnsi="Arial" w:cs="Arial"/>
          <w:sz w:val="20"/>
        </w:rPr>
        <w:t xml:space="preserve">of </w:t>
      </w:r>
      <w:r w:rsidR="001815A7">
        <w:rPr>
          <w:rFonts w:ascii="Arial" w:hAnsi="Arial" w:cs="Arial"/>
          <w:sz w:val="20"/>
        </w:rPr>
        <w:t>investment into UK production facilities has been a</w:t>
      </w:r>
      <w:r>
        <w:rPr>
          <w:rFonts w:ascii="Arial" w:hAnsi="Arial" w:cs="Arial"/>
          <w:sz w:val="20"/>
        </w:rPr>
        <w:t xml:space="preserve">nnounced in the past two years, and we are now seeing the effects as new models begin </w:t>
      </w:r>
      <w:r w:rsidR="008A166C">
        <w:rPr>
          <w:rFonts w:ascii="Arial" w:hAnsi="Arial" w:cs="Arial"/>
          <w:sz w:val="20"/>
        </w:rPr>
        <w:t>production</w:t>
      </w:r>
      <w:r>
        <w:rPr>
          <w:rFonts w:ascii="Arial" w:hAnsi="Arial" w:cs="Arial"/>
          <w:sz w:val="20"/>
        </w:rPr>
        <w:t xml:space="preserve"> – with more expected in 2015. </w:t>
      </w:r>
      <w:r w:rsidR="00DA7240">
        <w:rPr>
          <w:rFonts w:ascii="Arial" w:hAnsi="Arial" w:cs="Arial"/>
          <w:sz w:val="20"/>
        </w:rPr>
        <w:t>UK car manufacturing is now more diverse</w:t>
      </w:r>
      <w:r w:rsidR="001815A7">
        <w:rPr>
          <w:rFonts w:ascii="Arial" w:hAnsi="Arial" w:cs="Arial"/>
          <w:sz w:val="20"/>
        </w:rPr>
        <w:t xml:space="preserve"> than ever, with a unique combination of volume, premium and specialist brands giving our products truly global appeal. This is epitomised by the doubling of car export values in the decade from 2005 to 2014.</w:t>
      </w:r>
      <w:r w:rsidR="001C5FB2">
        <w:rPr>
          <w:rFonts w:ascii="Arial" w:hAnsi="Arial" w:cs="Arial"/>
          <w:sz w:val="20"/>
        </w:rPr>
        <w:t>"</w:t>
      </w:r>
    </w:p>
    <w:p w:rsidR="00F72297" w:rsidRPr="006B5D2C" w:rsidRDefault="00F72297" w:rsidP="005D34F5">
      <w:pPr>
        <w:spacing w:line="276" w:lineRule="auto"/>
        <w:rPr>
          <w:rFonts w:ascii="Arial" w:hAnsi="Arial" w:cs="Arial"/>
          <w:sz w:val="16"/>
          <w:szCs w:val="16"/>
        </w:rPr>
      </w:pPr>
    </w:p>
    <w:tbl>
      <w:tblPr>
        <w:tblW w:w="9318" w:type="dxa"/>
        <w:tblInd w:w="9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tblPr>
      <w:tblGrid>
        <w:gridCol w:w="2142"/>
        <w:gridCol w:w="1134"/>
        <w:gridCol w:w="1134"/>
        <w:gridCol w:w="1275"/>
        <w:gridCol w:w="1276"/>
        <w:gridCol w:w="1141"/>
        <w:gridCol w:w="1216"/>
      </w:tblGrid>
      <w:tr w:rsidR="00C75DBA" w:rsidRPr="00C75DBA" w:rsidTr="00911A14">
        <w:trPr>
          <w:trHeight w:val="280"/>
        </w:trPr>
        <w:tc>
          <w:tcPr>
            <w:tcW w:w="2142" w:type="dxa"/>
            <w:shd w:val="clear" w:color="auto" w:fill="auto"/>
            <w:noWrap/>
            <w:vAlign w:val="bottom"/>
            <w:hideMark/>
          </w:tcPr>
          <w:p w:rsidR="00C75DBA" w:rsidRPr="00741A8B" w:rsidRDefault="00C75DBA" w:rsidP="00634006">
            <w:pPr>
              <w:jc w:val="center"/>
              <w:rPr>
                <w:rFonts w:ascii="Arial" w:eastAsia="Times New Roman" w:hAnsi="Arial" w:cs="Arial"/>
                <w:b/>
                <w:color w:val="002060"/>
                <w:sz w:val="10"/>
                <w:szCs w:val="10"/>
              </w:rPr>
            </w:pPr>
            <w:r w:rsidRPr="00741A8B">
              <w:rPr>
                <w:rFonts w:ascii="Arial" w:eastAsia="Times New Roman" w:hAnsi="Arial" w:cs="Arial"/>
                <w:b/>
                <w:color w:val="002060"/>
                <w:sz w:val="20"/>
              </w:rPr>
              <w:t>Car manufacturing</w:t>
            </w:r>
          </w:p>
        </w:tc>
        <w:tc>
          <w:tcPr>
            <w:tcW w:w="1134" w:type="dxa"/>
            <w:shd w:val="clear" w:color="auto" w:fill="auto"/>
            <w:noWrap/>
            <w:vAlign w:val="bottom"/>
            <w:hideMark/>
          </w:tcPr>
          <w:p w:rsidR="00C75DBA" w:rsidRPr="00741A8B" w:rsidRDefault="00634006" w:rsidP="00634006">
            <w:pPr>
              <w:jc w:val="center"/>
              <w:rPr>
                <w:rFonts w:ascii="Arial" w:eastAsia="Times New Roman" w:hAnsi="Arial" w:cs="Arial"/>
                <w:b/>
                <w:color w:val="002060"/>
                <w:sz w:val="20"/>
              </w:rPr>
            </w:pPr>
            <w:r>
              <w:rPr>
                <w:rFonts w:ascii="Arial" w:eastAsia="Times New Roman" w:hAnsi="Arial" w:cs="Arial"/>
                <w:b/>
                <w:color w:val="002060"/>
                <w:sz w:val="20"/>
              </w:rPr>
              <w:t>Dec</w:t>
            </w:r>
            <w:r w:rsidR="00C75DBA" w:rsidRPr="00741A8B">
              <w:rPr>
                <w:rFonts w:ascii="Arial" w:eastAsia="Times New Roman" w:hAnsi="Arial" w:cs="Arial"/>
                <w:b/>
                <w:color w:val="002060"/>
                <w:sz w:val="20"/>
              </w:rPr>
              <w:t>-13</w:t>
            </w:r>
          </w:p>
        </w:tc>
        <w:tc>
          <w:tcPr>
            <w:tcW w:w="1134" w:type="dxa"/>
            <w:shd w:val="clear" w:color="auto" w:fill="auto"/>
            <w:noWrap/>
            <w:vAlign w:val="bottom"/>
            <w:hideMark/>
          </w:tcPr>
          <w:p w:rsidR="00C75DBA" w:rsidRPr="00741A8B" w:rsidRDefault="00634006" w:rsidP="00634006">
            <w:pPr>
              <w:jc w:val="center"/>
              <w:rPr>
                <w:rFonts w:ascii="Arial" w:eastAsia="Times New Roman" w:hAnsi="Arial" w:cs="Arial"/>
                <w:b/>
                <w:color w:val="002060"/>
                <w:sz w:val="20"/>
              </w:rPr>
            </w:pPr>
            <w:r>
              <w:rPr>
                <w:rFonts w:ascii="Arial" w:eastAsia="Times New Roman" w:hAnsi="Arial" w:cs="Arial"/>
                <w:b/>
                <w:color w:val="002060"/>
                <w:sz w:val="20"/>
              </w:rPr>
              <w:t>Dec</w:t>
            </w:r>
            <w:r w:rsidR="00C75DBA" w:rsidRPr="00741A8B">
              <w:rPr>
                <w:rFonts w:ascii="Arial" w:eastAsia="Times New Roman" w:hAnsi="Arial" w:cs="Arial"/>
                <w:b/>
                <w:color w:val="002060"/>
                <w:sz w:val="20"/>
              </w:rPr>
              <w:t>-14</w:t>
            </w:r>
          </w:p>
        </w:tc>
        <w:tc>
          <w:tcPr>
            <w:tcW w:w="1275" w:type="dxa"/>
            <w:shd w:val="clear" w:color="auto" w:fill="auto"/>
            <w:noWrap/>
            <w:vAlign w:val="bottom"/>
            <w:hideMark/>
          </w:tcPr>
          <w:p w:rsidR="00C75DBA" w:rsidRPr="00741A8B" w:rsidRDefault="00C75DBA" w:rsidP="00634006">
            <w:pPr>
              <w:jc w:val="center"/>
              <w:rPr>
                <w:rFonts w:ascii="Arial" w:eastAsia="Times New Roman" w:hAnsi="Arial" w:cs="Arial"/>
                <w:b/>
                <w:color w:val="002060"/>
                <w:sz w:val="20"/>
              </w:rPr>
            </w:pPr>
            <w:r w:rsidRPr="00741A8B">
              <w:rPr>
                <w:rFonts w:ascii="Arial" w:eastAsia="Times New Roman" w:hAnsi="Arial" w:cs="Arial"/>
                <w:b/>
                <w:color w:val="002060"/>
                <w:sz w:val="20"/>
              </w:rPr>
              <w:t>% Change</w:t>
            </w:r>
          </w:p>
        </w:tc>
        <w:tc>
          <w:tcPr>
            <w:tcW w:w="1276" w:type="dxa"/>
            <w:shd w:val="clear" w:color="auto" w:fill="auto"/>
            <w:noWrap/>
            <w:vAlign w:val="bottom"/>
            <w:hideMark/>
          </w:tcPr>
          <w:p w:rsidR="00C75DBA" w:rsidRPr="00741A8B" w:rsidRDefault="00634006" w:rsidP="00634006">
            <w:pPr>
              <w:jc w:val="center"/>
              <w:rPr>
                <w:rFonts w:ascii="Arial" w:eastAsia="Times New Roman" w:hAnsi="Arial" w:cs="Arial"/>
                <w:b/>
                <w:color w:val="002060"/>
                <w:sz w:val="20"/>
              </w:rPr>
            </w:pPr>
            <w:r>
              <w:rPr>
                <w:rFonts w:ascii="Arial" w:eastAsia="Times New Roman" w:hAnsi="Arial" w:cs="Arial"/>
                <w:b/>
                <w:color w:val="002060"/>
                <w:sz w:val="20"/>
              </w:rPr>
              <w:t>2013</w:t>
            </w:r>
          </w:p>
        </w:tc>
        <w:tc>
          <w:tcPr>
            <w:tcW w:w="1141" w:type="dxa"/>
            <w:shd w:val="clear" w:color="auto" w:fill="auto"/>
            <w:noWrap/>
            <w:vAlign w:val="bottom"/>
            <w:hideMark/>
          </w:tcPr>
          <w:p w:rsidR="00C75DBA" w:rsidRPr="00741A8B" w:rsidRDefault="00634006" w:rsidP="00634006">
            <w:pPr>
              <w:jc w:val="center"/>
              <w:rPr>
                <w:rFonts w:ascii="Arial" w:eastAsia="Times New Roman" w:hAnsi="Arial" w:cs="Arial"/>
                <w:b/>
                <w:color w:val="002060"/>
                <w:sz w:val="20"/>
              </w:rPr>
            </w:pPr>
            <w:r>
              <w:rPr>
                <w:rFonts w:ascii="Arial" w:eastAsia="Times New Roman" w:hAnsi="Arial" w:cs="Arial"/>
                <w:b/>
                <w:color w:val="002060"/>
                <w:sz w:val="20"/>
              </w:rPr>
              <w:t>2014</w:t>
            </w:r>
          </w:p>
        </w:tc>
        <w:tc>
          <w:tcPr>
            <w:tcW w:w="1216" w:type="dxa"/>
            <w:shd w:val="clear" w:color="auto" w:fill="auto"/>
            <w:noWrap/>
            <w:vAlign w:val="bottom"/>
            <w:hideMark/>
          </w:tcPr>
          <w:p w:rsidR="00C75DBA" w:rsidRPr="00741A8B" w:rsidRDefault="00C75DBA" w:rsidP="00634006">
            <w:pPr>
              <w:jc w:val="center"/>
              <w:rPr>
                <w:rFonts w:ascii="Arial" w:eastAsia="Times New Roman" w:hAnsi="Arial" w:cs="Arial"/>
                <w:b/>
                <w:color w:val="002060"/>
                <w:sz w:val="20"/>
              </w:rPr>
            </w:pPr>
            <w:r w:rsidRPr="00741A8B">
              <w:rPr>
                <w:rFonts w:ascii="Arial" w:eastAsia="Times New Roman" w:hAnsi="Arial" w:cs="Arial"/>
                <w:b/>
                <w:color w:val="002060"/>
                <w:sz w:val="20"/>
              </w:rPr>
              <w:t>% Change</w:t>
            </w:r>
          </w:p>
        </w:tc>
      </w:tr>
      <w:tr w:rsidR="00634006" w:rsidRPr="00C75DBA" w:rsidTr="00911A14">
        <w:trPr>
          <w:trHeight w:val="280"/>
        </w:trPr>
        <w:tc>
          <w:tcPr>
            <w:tcW w:w="2142" w:type="dxa"/>
            <w:shd w:val="clear" w:color="auto" w:fill="auto"/>
            <w:noWrap/>
            <w:vAlign w:val="bottom"/>
            <w:hideMark/>
          </w:tcPr>
          <w:p w:rsidR="00634006" w:rsidRPr="00741A8B" w:rsidRDefault="00634006" w:rsidP="00C75DBA">
            <w:pPr>
              <w:jc w:val="right"/>
              <w:rPr>
                <w:rFonts w:ascii="Arial" w:eastAsia="Times New Roman" w:hAnsi="Arial" w:cs="Arial"/>
                <w:b/>
                <w:color w:val="002060"/>
                <w:sz w:val="20"/>
              </w:rPr>
            </w:pPr>
            <w:r w:rsidRPr="00741A8B">
              <w:rPr>
                <w:rFonts w:ascii="Arial" w:eastAsia="Times New Roman" w:hAnsi="Arial" w:cs="Arial"/>
                <w:b/>
                <w:color w:val="002060"/>
                <w:sz w:val="20"/>
              </w:rPr>
              <w:t>Total</w:t>
            </w:r>
          </w:p>
        </w:tc>
        <w:tc>
          <w:tcPr>
            <w:tcW w:w="1134" w:type="dxa"/>
            <w:shd w:val="clear" w:color="auto" w:fill="auto"/>
            <w:noWrap/>
            <w:vAlign w:val="bottom"/>
            <w:hideMark/>
          </w:tcPr>
          <w:p w:rsidR="00634006" w:rsidRPr="00634006" w:rsidRDefault="00634006">
            <w:pPr>
              <w:jc w:val="right"/>
              <w:rPr>
                <w:rFonts w:ascii="Arial" w:hAnsi="Arial" w:cs="Arial"/>
                <w:b/>
                <w:color w:val="0D2255"/>
                <w:sz w:val="20"/>
              </w:rPr>
            </w:pPr>
            <w:r w:rsidRPr="00634006">
              <w:rPr>
                <w:rFonts w:ascii="Arial" w:hAnsi="Arial" w:cs="Arial"/>
                <w:b/>
                <w:color w:val="0D2255"/>
                <w:sz w:val="20"/>
              </w:rPr>
              <w:t>85,566</w:t>
            </w:r>
          </w:p>
        </w:tc>
        <w:tc>
          <w:tcPr>
            <w:tcW w:w="1134" w:type="dxa"/>
            <w:shd w:val="clear" w:color="auto" w:fill="auto"/>
            <w:noWrap/>
            <w:vAlign w:val="bottom"/>
            <w:hideMark/>
          </w:tcPr>
          <w:p w:rsidR="00634006" w:rsidRPr="00634006" w:rsidRDefault="00634006">
            <w:pPr>
              <w:jc w:val="right"/>
              <w:rPr>
                <w:rFonts w:ascii="Arial" w:hAnsi="Arial" w:cs="Arial"/>
                <w:b/>
                <w:color w:val="0D2255"/>
                <w:sz w:val="20"/>
              </w:rPr>
            </w:pPr>
            <w:r w:rsidRPr="00634006">
              <w:rPr>
                <w:rFonts w:ascii="Arial" w:hAnsi="Arial" w:cs="Arial"/>
                <w:b/>
                <w:color w:val="0D2255"/>
                <w:sz w:val="20"/>
              </w:rPr>
              <w:t>108,721</w:t>
            </w:r>
          </w:p>
        </w:tc>
        <w:tc>
          <w:tcPr>
            <w:tcW w:w="1275" w:type="dxa"/>
            <w:shd w:val="clear" w:color="auto" w:fill="auto"/>
            <w:noWrap/>
            <w:vAlign w:val="bottom"/>
            <w:hideMark/>
          </w:tcPr>
          <w:p w:rsidR="00634006" w:rsidRPr="00634006" w:rsidRDefault="00634006">
            <w:pPr>
              <w:jc w:val="right"/>
              <w:rPr>
                <w:rFonts w:ascii="Arial" w:hAnsi="Arial" w:cs="Arial"/>
                <w:b/>
                <w:color w:val="0D2255"/>
                <w:sz w:val="18"/>
                <w:szCs w:val="18"/>
              </w:rPr>
            </w:pPr>
            <w:r w:rsidRPr="00634006">
              <w:rPr>
                <w:rFonts w:ascii="Arial" w:hAnsi="Arial" w:cs="Arial"/>
                <w:b/>
                <w:color w:val="0D2255"/>
                <w:sz w:val="18"/>
                <w:szCs w:val="18"/>
              </w:rPr>
              <w:t>27.1%</w:t>
            </w:r>
          </w:p>
        </w:tc>
        <w:tc>
          <w:tcPr>
            <w:tcW w:w="1276" w:type="dxa"/>
            <w:shd w:val="clear" w:color="auto" w:fill="auto"/>
            <w:noWrap/>
            <w:vAlign w:val="bottom"/>
            <w:hideMark/>
          </w:tcPr>
          <w:p w:rsidR="00634006" w:rsidRPr="00634006" w:rsidRDefault="00634006">
            <w:pPr>
              <w:jc w:val="right"/>
              <w:rPr>
                <w:rFonts w:ascii="Arial" w:hAnsi="Arial" w:cs="Arial"/>
                <w:b/>
                <w:color w:val="0D2255"/>
                <w:sz w:val="20"/>
              </w:rPr>
            </w:pPr>
            <w:r w:rsidRPr="00634006">
              <w:rPr>
                <w:rFonts w:ascii="Arial" w:hAnsi="Arial" w:cs="Arial"/>
                <w:b/>
                <w:color w:val="0D2255"/>
                <w:sz w:val="20"/>
              </w:rPr>
              <w:t>1,509,762</w:t>
            </w:r>
          </w:p>
        </w:tc>
        <w:tc>
          <w:tcPr>
            <w:tcW w:w="1141" w:type="dxa"/>
            <w:shd w:val="clear" w:color="auto" w:fill="auto"/>
            <w:noWrap/>
            <w:vAlign w:val="bottom"/>
            <w:hideMark/>
          </w:tcPr>
          <w:p w:rsidR="00634006" w:rsidRPr="00634006" w:rsidRDefault="00634006">
            <w:pPr>
              <w:jc w:val="right"/>
              <w:rPr>
                <w:rFonts w:ascii="Arial" w:hAnsi="Arial" w:cs="Arial"/>
                <w:b/>
                <w:color w:val="0D2255"/>
                <w:sz w:val="20"/>
              </w:rPr>
            </w:pPr>
            <w:r w:rsidRPr="00634006">
              <w:rPr>
                <w:rFonts w:ascii="Arial" w:hAnsi="Arial" w:cs="Arial"/>
                <w:b/>
                <w:color w:val="0D2255"/>
                <w:sz w:val="20"/>
              </w:rPr>
              <w:t>1,528,148</w:t>
            </w:r>
          </w:p>
        </w:tc>
        <w:tc>
          <w:tcPr>
            <w:tcW w:w="1216" w:type="dxa"/>
            <w:shd w:val="clear" w:color="auto" w:fill="auto"/>
            <w:noWrap/>
            <w:vAlign w:val="bottom"/>
            <w:hideMark/>
          </w:tcPr>
          <w:p w:rsidR="00634006" w:rsidRPr="00634006" w:rsidRDefault="00634006">
            <w:pPr>
              <w:jc w:val="right"/>
              <w:rPr>
                <w:rFonts w:ascii="Arial" w:hAnsi="Arial" w:cs="Arial"/>
                <w:b/>
                <w:color w:val="0D2255"/>
                <w:sz w:val="18"/>
                <w:szCs w:val="18"/>
              </w:rPr>
            </w:pPr>
            <w:r w:rsidRPr="00634006">
              <w:rPr>
                <w:rFonts w:ascii="Arial" w:hAnsi="Arial" w:cs="Arial"/>
                <w:b/>
                <w:color w:val="0D2255"/>
                <w:sz w:val="18"/>
                <w:szCs w:val="18"/>
              </w:rPr>
              <w:t>1.2%</w:t>
            </w:r>
          </w:p>
        </w:tc>
      </w:tr>
      <w:tr w:rsidR="00634006" w:rsidRPr="00C75DBA" w:rsidTr="00911A14">
        <w:trPr>
          <w:trHeight w:val="280"/>
        </w:trPr>
        <w:tc>
          <w:tcPr>
            <w:tcW w:w="2142" w:type="dxa"/>
            <w:shd w:val="clear" w:color="auto" w:fill="auto"/>
            <w:noWrap/>
            <w:vAlign w:val="bottom"/>
            <w:hideMark/>
          </w:tcPr>
          <w:p w:rsidR="00634006" w:rsidRPr="00741A8B" w:rsidRDefault="00634006" w:rsidP="00C75DBA">
            <w:pPr>
              <w:jc w:val="right"/>
              <w:rPr>
                <w:rFonts w:ascii="Arial" w:eastAsia="Times New Roman" w:hAnsi="Arial" w:cs="Arial"/>
                <w:color w:val="002060"/>
                <w:sz w:val="20"/>
              </w:rPr>
            </w:pPr>
            <w:r w:rsidRPr="00741A8B">
              <w:rPr>
                <w:rFonts w:ascii="Arial" w:eastAsia="Times New Roman" w:hAnsi="Arial" w:cs="Arial"/>
                <w:color w:val="002060"/>
                <w:sz w:val="20"/>
              </w:rPr>
              <w:t>Home</w:t>
            </w:r>
          </w:p>
        </w:tc>
        <w:tc>
          <w:tcPr>
            <w:tcW w:w="1134" w:type="dxa"/>
            <w:shd w:val="clear" w:color="auto" w:fill="auto"/>
            <w:noWrap/>
            <w:vAlign w:val="bottom"/>
            <w:hideMark/>
          </w:tcPr>
          <w:p w:rsidR="00634006" w:rsidRPr="00634006" w:rsidRDefault="00634006">
            <w:pPr>
              <w:jc w:val="right"/>
              <w:rPr>
                <w:rFonts w:ascii="Arial" w:hAnsi="Arial" w:cs="Arial"/>
                <w:color w:val="0D2255"/>
                <w:sz w:val="20"/>
              </w:rPr>
            </w:pPr>
            <w:r w:rsidRPr="00634006">
              <w:rPr>
                <w:rFonts w:ascii="Arial" w:hAnsi="Arial" w:cs="Arial"/>
                <w:color w:val="0D2255"/>
                <w:sz w:val="20"/>
              </w:rPr>
              <w:t>15,075</w:t>
            </w:r>
          </w:p>
        </w:tc>
        <w:tc>
          <w:tcPr>
            <w:tcW w:w="1134" w:type="dxa"/>
            <w:shd w:val="clear" w:color="auto" w:fill="auto"/>
            <w:noWrap/>
            <w:vAlign w:val="bottom"/>
            <w:hideMark/>
          </w:tcPr>
          <w:p w:rsidR="00634006" w:rsidRPr="00634006" w:rsidRDefault="00634006">
            <w:pPr>
              <w:jc w:val="right"/>
              <w:rPr>
                <w:rFonts w:ascii="Arial" w:hAnsi="Arial" w:cs="Arial"/>
                <w:color w:val="0D2255"/>
                <w:sz w:val="20"/>
              </w:rPr>
            </w:pPr>
            <w:r w:rsidRPr="00634006">
              <w:rPr>
                <w:rFonts w:ascii="Arial" w:hAnsi="Arial" w:cs="Arial"/>
                <w:color w:val="0D2255"/>
                <w:sz w:val="20"/>
              </w:rPr>
              <w:t>22,535</w:t>
            </w:r>
          </w:p>
        </w:tc>
        <w:tc>
          <w:tcPr>
            <w:tcW w:w="1275" w:type="dxa"/>
            <w:shd w:val="clear" w:color="auto" w:fill="auto"/>
            <w:noWrap/>
            <w:vAlign w:val="bottom"/>
            <w:hideMark/>
          </w:tcPr>
          <w:p w:rsidR="00634006" w:rsidRPr="00634006" w:rsidRDefault="00634006">
            <w:pPr>
              <w:jc w:val="right"/>
              <w:rPr>
                <w:rFonts w:ascii="Arial" w:hAnsi="Arial" w:cs="Arial"/>
                <w:color w:val="0D2255"/>
                <w:sz w:val="18"/>
                <w:szCs w:val="18"/>
              </w:rPr>
            </w:pPr>
            <w:r w:rsidRPr="00634006">
              <w:rPr>
                <w:rFonts w:ascii="Arial" w:hAnsi="Arial" w:cs="Arial"/>
                <w:color w:val="0D2255"/>
                <w:sz w:val="18"/>
                <w:szCs w:val="18"/>
              </w:rPr>
              <w:t>49.5%</w:t>
            </w:r>
          </w:p>
        </w:tc>
        <w:tc>
          <w:tcPr>
            <w:tcW w:w="1276" w:type="dxa"/>
            <w:shd w:val="clear" w:color="auto" w:fill="auto"/>
            <w:noWrap/>
            <w:vAlign w:val="bottom"/>
            <w:hideMark/>
          </w:tcPr>
          <w:p w:rsidR="00634006" w:rsidRPr="00634006" w:rsidRDefault="00634006">
            <w:pPr>
              <w:jc w:val="right"/>
              <w:rPr>
                <w:rFonts w:ascii="Arial" w:hAnsi="Arial" w:cs="Arial"/>
                <w:color w:val="0D2255"/>
                <w:sz w:val="20"/>
              </w:rPr>
            </w:pPr>
            <w:r w:rsidRPr="00634006">
              <w:rPr>
                <w:rFonts w:ascii="Arial" w:hAnsi="Arial" w:cs="Arial"/>
                <w:color w:val="0D2255"/>
                <w:sz w:val="20"/>
              </w:rPr>
              <w:t>308,367</w:t>
            </w:r>
          </w:p>
        </w:tc>
        <w:tc>
          <w:tcPr>
            <w:tcW w:w="1141" w:type="dxa"/>
            <w:shd w:val="clear" w:color="auto" w:fill="auto"/>
            <w:noWrap/>
            <w:vAlign w:val="bottom"/>
            <w:hideMark/>
          </w:tcPr>
          <w:p w:rsidR="00634006" w:rsidRPr="00634006" w:rsidRDefault="00634006">
            <w:pPr>
              <w:jc w:val="right"/>
              <w:rPr>
                <w:rFonts w:ascii="Arial" w:hAnsi="Arial" w:cs="Arial"/>
                <w:color w:val="0D2255"/>
                <w:sz w:val="20"/>
              </w:rPr>
            </w:pPr>
            <w:r w:rsidRPr="00634006">
              <w:rPr>
                <w:rFonts w:ascii="Arial" w:hAnsi="Arial" w:cs="Arial"/>
                <w:color w:val="0D2255"/>
                <w:sz w:val="20"/>
              </w:rPr>
              <w:t>332,952</w:t>
            </w:r>
          </w:p>
        </w:tc>
        <w:tc>
          <w:tcPr>
            <w:tcW w:w="1216" w:type="dxa"/>
            <w:shd w:val="clear" w:color="auto" w:fill="auto"/>
            <w:noWrap/>
            <w:vAlign w:val="bottom"/>
            <w:hideMark/>
          </w:tcPr>
          <w:p w:rsidR="00634006" w:rsidRPr="00634006" w:rsidRDefault="00634006">
            <w:pPr>
              <w:jc w:val="right"/>
              <w:rPr>
                <w:rFonts w:ascii="Arial" w:hAnsi="Arial" w:cs="Arial"/>
                <w:color w:val="0D2255"/>
                <w:sz w:val="18"/>
                <w:szCs w:val="18"/>
              </w:rPr>
            </w:pPr>
            <w:r w:rsidRPr="00634006">
              <w:rPr>
                <w:rFonts w:ascii="Arial" w:hAnsi="Arial" w:cs="Arial"/>
                <w:color w:val="0D2255"/>
                <w:sz w:val="18"/>
                <w:szCs w:val="18"/>
              </w:rPr>
              <w:t>8.0%</w:t>
            </w:r>
          </w:p>
        </w:tc>
      </w:tr>
      <w:tr w:rsidR="00634006" w:rsidRPr="00C75DBA" w:rsidTr="00911A14">
        <w:trPr>
          <w:trHeight w:val="280"/>
        </w:trPr>
        <w:tc>
          <w:tcPr>
            <w:tcW w:w="2142" w:type="dxa"/>
            <w:shd w:val="clear" w:color="auto" w:fill="auto"/>
            <w:noWrap/>
            <w:vAlign w:val="bottom"/>
            <w:hideMark/>
          </w:tcPr>
          <w:p w:rsidR="00634006" w:rsidRPr="00741A8B" w:rsidRDefault="00634006" w:rsidP="00C75DBA">
            <w:pPr>
              <w:jc w:val="right"/>
              <w:rPr>
                <w:rFonts w:ascii="Arial" w:eastAsia="Times New Roman" w:hAnsi="Arial" w:cs="Arial"/>
                <w:color w:val="002060"/>
                <w:sz w:val="20"/>
              </w:rPr>
            </w:pPr>
            <w:r w:rsidRPr="00741A8B">
              <w:rPr>
                <w:rFonts w:ascii="Arial" w:eastAsia="Times New Roman" w:hAnsi="Arial" w:cs="Arial"/>
                <w:color w:val="002060"/>
                <w:sz w:val="20"/>
              </w:rPr>
              <w:t>Export</w:t>
            </w:r>
          </w:p>
        </w:tc>
        <w:tc>
          <w:tcPr>
            <w:tcW w:w="1134" w:type="dxa"/>
            <w:shd w:val="clear" w:color="auto" w:fill="auto"/>
            <w:noWrap/>
            <w:vAlign w:val="bottom"/>
            <w:hideMark/>
          </w:tcPr>
          <w:p w:rsidR="00634006" w:rsidRPr="00634006" w:rsidRDefault="00634006">
            <w:pPr>
              <w:jc w:val="right"/>
              <w:rPr>
                <w:rFonts w:ascii="Arial" w:hAnsi="Arial" w:cs="Arial"/>
                <w:color w:val="0D2255"/>
                <w:sz w:val="20"/>
              </w:rPr>
            </w:pPr>
            <w:r w:rsidRPr="00634006">
              <w:rPr>
                <w:rFonts w:ascii="Arial" w:hAnsi="Arial" w:cs="Arial"/>
                <w:color w:val="0D2255"/>
                <w:sz w:val="20"/>
              </w:rPr>
              <w:t>70,491</w:t>
            </w:r>
          </w:p>
        </w:tc>
        <w:tc>
          <w:tcPr>
            <w:tcW w:w="1134" w:type="dxa"/>
            <w:shd w:val="clear" w:color="auto" w:fill="auto"/>
            <w:noWrap/>
            <w:vAlign w:val="bottom"/>
            <w:hideMark/>
          </w:tcPr>
          <w:p w:rsidR="00634006" w:rsidRPr="00634006" w:rsidRDefault="00634006">
            <w:pPr>
              <w:jc w:val="right"/>
              <w:rPr>
                <w:rFonts w:ascii="Arial" w:hAnsi="Arial" w:cs="Arial"/>
                <w:color w:val="0D2255"/>
                <w:sz w:val="20"/>
              </w:rPr>
            </w:pPr>
            <w:r w:rsidRPr="00634006">
              <w:rPr>
                <w:rFonts w:ascii="Arial" w:hAnsi="Arial" w:cs="Arial"/>
                <w:color w:val="0D2255"/>
                <w:sz w:val="20"/>
              </w:rPr>
              <w:t>86,186</w:t>
            </w:r>
          </w:p>
        </w:tc>
        <w:tc>
          <w:tcPr>
            <w:tcW w:w="1275" w:type="dxa"/>
            <w:shd w:val="clear" w:color="auto" w:fill="auto"/>
            <w:noWrap/>
            <w:vAlign w:val="bottom"/>
            <w:hideMark/>
          </w:tcPr>
          <w:p w:rsidR="00634006" w:rsidRPr="00634006" w:rsidRDefault="00634006">
            <w:pPr>
              <w:jc w:val="right"/>
              <w:rPr>
                <w:rFonts w:ascii="Arial" w:hAnsi="Arial" w:cs="Arial"/>
                <w:color w:val="0D2255"/>
                <w:sz w:val="18"/>
                <w:szCs w:val="18"/>
              </w:rPr>
            </w:pPr>
            <w:r w:rsidRPr="00634006">
              <w:rPr>
                <w:rFonts w:ascii="Arial" w:hAnsi="Arial" w:cs="Arial"/>
                <w:color w:val="0D2255"/>
                <w:sz w:val="18"/>
                <w:szCs w:val="18"/>
              </w:rPr>
              <w:t>22.3%</w:t>
            </w:r>
          </w:p>
        </w:tc>
        <w:tc>
          <w:tcPr>
            <w:tcW w:w="1276" w:type="dxa"/>
            <w:shd w:val="clear" w:color="auto" w:fill="auto"/>
            <w:noWrap/>
            <w:vAlign w:val="bottom"/>
            <w:hideMark/>
          </w:tcPr>
          <w:p w:rsidR="00634006" w:rsidRPr="00634006" w:rsidRDefault="00634006">
            <w:pPr>
              <w:jc w:val="right"/>
              <w:rPr>
                <w:rFonts w:ascii="Arial" w:hAnsi="Arial" w:cs="Arial"/>
                <w:color w:val="0D2255"/>
                <w:sz w:val="20"/>
              </w:rPr>
            </w:pPr>
            <w:r w:rsidRPr="00634006">
              <w:rPr>
                <w:rFonts w:ascii="Arial" w:hAnsi="Arial" w:cs="Arial"/>
                <w:color w:val="0D2255"/>
                <w:sz w:val="20"/>
              </w:rPr>
              <w:t>1,201,395</w:t>
            </w:r>
          </w:p>
        </w:tc>
        <w:tc>
          <w:tcPr>
            <w:tcW w:w="1141" w:type="dxa"/>
            <w:shd w:val="clear" w:color="auto" w:fill="auto"/>
            <w:noWrap/>
            <w:vAlign w:val="bottom"/>
            <w:hideMark/>
          </w:tcPr>
          <w:p w:rsidR="00634006" w:rsidRPr="00634006" w:rsidRDefault="00634006">
            <w:pPr>
              <w:jc w:val="right"/>
              <w:rPr>
                <w:rFonts w:ascii="Arial" w:hAnsi="Arial" w:cs="Arial"/>
                <w:color w:val="0D2255"/>
                <w:sz w:val="20"/>
              </w:rPr>
            </w:pPr>
            <w:r w:rsidRPr="00634006">
              <w:rPr>
                <w:rFonts w:ascii="Arial" w:hAnsi="Arial" w:cs="Arial"/>
                <w:color w:val="0D2255"/>
                <w:sz w:val="20"/>
              </w:rPr>
              <w:t>1,195,196</w:t>
            </w:r>
          </w:p>
        </w:tc>
        <w:tc>
          <w:tcPr>
            <w:tcW w:w="1216" w:type="dxa"/>
            <w:shd w:val="clear" w:color="auto" w:fill="auto"/>
            <w:noWrap/>
            <w:vAlign w:val="bottom"/>
            <w:hideMark/>
          </w:tcPr>
          <w:p w:rsidR="00634006" w:rsidRPr="00634006" w:rsidRDefault="00634006">
            <w:pPr>
              <w:jc w:val="right"/>
              <w:rPr>
                <w:rFonts w:ascii="Arial" w:hAnsi="Arial" w:cs="Arial"/>
                <w:color w:val="0D2255"/>
                <w:sz w:val="18"/>
                <w:szCs w:val="18"/>
              </w:rPr>
            </w:pPr>
            <w:r w:rsidRPr="00634006">
              <w:rPr>
                <w:rFonts w:ascii="Arial" w:hAnsi="Arial" w:cs="Arial"/>
                <w:color w:val="0D2255"/>
                <w:sz w:val="18"/>
                <w:szCs w:val="18"/>
              </w:rPr>
              <w:t>-0.5%</w:t>
            </w:r>
          </w:p>
        </w:tc>
      </w:tr>
      <w:tr w:rsidR="00634006" w:rsidRPr="00C75DBA" w:rsidTr="00911A14">
        <w:trPr>
          <w:trHeight w:val="280"/>
        </w:trPr>
        <w:tc>
          <w:tcPr>
            <w:tcW w:w="2142" w:type="dxa"/>
            <w:shd w:val="clear" w:color="auto" w:fill="auto"/>
            <w:noWrap/>
            <w:vAlign w:val="bottom"/>
            <w:hideMark/>
          </w:tcPr>
          <w:p w:rsidR="00634006" w:rsidRPr="00741A8B" w:rsidRDefault="00634006" w:rsidP="00C75DBA">
            <w:pPr>
              <w:jc w:val="right"/>
              <w:rPr>
                <w:rFonts w:ascii="Arial" w:eastAsia="Times New Roman" w:hAnsi="Arial" w:cs="Arial"/>
                <w:color w:val="002060"/>
                <w:sz w:val="20"/>
              </w:rPr>
            </w:pPr>
            <w:r w:rsidRPr="00741A8B">
              <w:rPr>
                <w:rFonts w:ascii="Arial" w:eastAsia="Times New Roman" w:hAnsi="Arial" w:cs="Arial"/>
                <w:color w:val="002060"/>
                <w:sz w:val="20"/>
              </w:rPr>
              <w:t>% export</w:t>
            </w:r>
          </w:p>
        </w:tc>
        <w:tc>
          <w:tcPr>
            <w:tcW w:w="1134" w:type="dxa"/>
            <w:shd w:val="clear" w:color="auto" w:fill="auto"/>
            <w:noWrap/>
            <w:vAlign w:val="bottom"/>
            <w:hideMark/>
          </w:tcPr>
          <w:p w:rsidR="00634006" w:rsidRPr="00634006" w:rsidRDefault="00634006">
            <w:pPr>
              <w:jc w:val="right"/>
              <w:rPr>
                <w:rFonts w:ascii="Arial" w:hAnsi="Arial" w:cs="Arial"/>
                <w:color w:val="0D2255"/>
                <w:sz w:val="20"/>
              </w:rPr>
            </w:pPr>
            <w:r w:rsidRPr="00634006">
              <w:rPr>
                <w:rFonts w:ascii="Arial" w:hAnsi="Arial" w:cs="Arial"/>
                <w:color w:val="0D2255"/>
                <w:sz w:val="20"/>
              </w:rPr>
              <w:t>82.4%</w:t>
            </w:r>
          </w:p>
        </w:tc>
        <w:tc>
          <w:tcPr>
            <w:tcW w:w="1134" w:type="dxa"/>
            <w:shd w:val="clear" w:color="auto" w:fill="auto"/>
            <w:noWrap/>
            <w:vAlign w:val="bottom"/>
            <w:hideMark/>
          </w:tcPr>
          <w:p w:rsidR="00634006" w:rsidRPr="00634006" w:rsidRDefault="00634006">
            <w:pPr>
              <w:jc w:val="right"/>
              <w:rPr>
                <w:rFonts w:ascii="Arial" w:hAnsi="Arial" w:cs="Arial"/>
                <w:color w:val="0D2255"/>
                <w:sz w:val="20"/>
              </w:rPr>
            </w:pPr>
            <w:r w:rsidRPr="00634006">
              <w:rPr>
                <w:rFonts w:ascii="Arial" w:hAnsi="Arial" w:cs="Arial"/>
                <w:color w:val="0D2255"/>
                <w:sz w:val="20"/>
              </w:rPr>
              <w:t>79.3%</w:t>
            </w:r>
          </w:p>
        </w:tc>
        <w:tc>
          <w:tcPr>
            <w:tcW w:w="1275" w:type="dxa"/>
            <w:shd w:val="clear" w:color="auto" w:fill="auto"/>
            <w:noWrap/>
            <w:vAlign w:val="bottom"/>
            <w:hideMark/>
          </w:tcPr>
          <w:p w:rsidR="00634006" w:rsidRPr="00634006" w:rsidRDefault="00634006">
            <w:pPr>
              <w:jc w:val="right"/>
              <w:rPr>
                <w:rFonts w:ascii="Arial" w:hAnsi="Arial" w:cs="Arial"/>
                <w:color w:val="0D2255"/>
                <w:sz w:val="20"/>
              </w:rPr>
            </w:pPr>
            <w:r w:rsidRPr="00634006">
              <w:rPr>
                <w:rFonts w:ascii="Arial" w:hAnsi="Arial" w:cs="Arial"/>
                <w:color w:val="0D2255"/>
                <w:sz w:val="20"/>
              </w:rPr>
              <w:t> </w:t>
            </w:r>
          </w:p>
        </w:tc>
        <w:tc>
          <w:tcPr>
            <w:tcW w:w="1276" w:type="dxa"/>
            <w:shd w:val="clear" w:color="auto" w:fill="auto"/>
            <w:noWrap/>
            <w:vAlign w:val="bottom"/>
            <w:hideMark/>
          </w:tcPr>
          <w:p w:rsidR="00634006" w:rsidRPr="00634006" w:rsidRDefault="00634006">
            <w:pPr>
              <w:jc w:val="right"/>
              <w:rPr>
                <w:rFonts w:ascii="Arial" w:hAnsi="Arial" w:cs="Arial"/>
                <w:color w:val="0D2255"/>
                <w:sz w:val="20"/>
              </w:rPr>
            </w:pPr>
            <w:r w:rsidRPr="00634006">
              <w:rPr>
                <w:rFonts w:ascii="Arial" w:hAnsi="Arial" w:cs="Arial"/>
                <w:color w:val="0D2255"/>
                <w:sz w:val="20"/>
              </w:rPr>
              <w:t>79.6%</w:t>
            </w:r>
          </w:p>
        </w:tc>
        <w:tc>
          <w:tcPr>
            <w:tcW w:w="1141" w:type="dxa"/>
            <w:shd w:val="clear" w:color="auto" w:fill="auto"/>
            <w:noWrap/>
            <w:vAlign w:val="bottom"/>
            <w:hideMark/>
          </w:tcPr>
          <w:p w:rsidR="00634006" w:rsidRPr="00634006" w:rsidRDefault="00634006">
            <w:pPr>
              <w:jc w:val="right"/>
              <w:rPr>
                <w:rFonts w:ascii="Arial" w:hAnsi="Arial" w:cs="Arial"/>
                <w:color w:val="0D2255"/>
                <w:sz w:val="20"/>
              </w:rPr>
            </w:pPr>
            <w:r w:rsidRPr="00634006">
              <w:rPr>
                <w:rFonts w:ascii="Arial" w:hAnsi="Arial" w:cs="Arial"/>
                <w:color w:val="0D2255"/>
                <w:sz w:val="20"/>
              </w:rPr>
              <w:t>78.2%</w:t>
            </w:r>
          </w:p>
        </w:tc>
        <w:tc>
          <w:tcPr>
            <w:tcW w:w="1216" w:type="dxa"/>
            <w:shd w:val="clear" w:color="auto" w:fill="auto"/>
            <w:noWrap/>
            <w:vAlign w:val="bottom"/>
            <w:hideMark/>
          </w:tcPr>
          <w:p w:rsidR="00634006" w:rsidRPr="00634006" w:rsidRDefault="00634006">
            <w:pPr>
              <w:jc w:val="right"/>
              <w:rPr>
                <w:rFonts w:ascii="Arial" w:hAnsi="Arial" w:cs="Arial"/>
                <w:color w:val="0D2255"/>
                <w:sz w:val="20"/>
              </w:rPr>
            </w:pPr>
            <w:r w:rsidRPr="00634006">
              <w:rPr>
                <w:rFonts w:ascii="Arial" w:hAnsi="Arial" w:cs="Arial"/>
                <w:color w:val="0D2255"/>
                <w:sz w:val="20"/>
              </w:rPr>
              <w:t> </w:t>
            </w:r>
          </w:p>
        </w:tc>
      </w:tr>
    </w:tbl>
    <w:p w:rsidR="00585DB0" w:rsidRPr="009524D1" w:rsidRDefault="00585DB0" w:rsidP="009F47F6">
      <w:pPr>
        <w:keepNext/>
        <w:rPr>
          <w:rFonts w:ascii="Arial" w:hAnsi="Arial" w:cs="Arial"/>
          <w:b/>
          <w:color w:val="1F497D" w:themeColor="text2"/>
          <w:sz w:val="20"/>
        </w:rPr>
      </w:pPr>
      <w:r w:rsidRPr="009524D1">
        <w:rPr>
          <w:rFonts w:ascii="Arial" w:hAnsi="Arial" w:cs="Arial"/>
          <w:b/>
          <w:color w:val="1F497D" w:themeColor="text2"/>
          <w:sz w:val="20"/>
        </w:rPr>
        <w:tab/>
      </w:r>
      <w:r w:rsidR="0028787F" w:rsidRPr="009524D1">
        <w:rPr>
          <w:rFonts w:ascii="Arial" w:hAnsi="Arial" w:cs="Arial"/>
          <w:b/>
          <w:color w:val="1F497D" w:themeColor="text2"/>
          <w:sz w:val="20"/>
        </w:rPr>
        <w:t xml:space="preserve">      </w:t>
      </w:r>
    </w:p>
    <w:p w:rsidR="001C5FB2" w:rsidRPr="001C5FB2" w:rsidRDefault="006E311A" w:rsidP="001C5FB2">
      <w:pPr>
        <w:tabs>
          <w:tab w:val="right" w:pos="9332"/>
        </w:tabs>
        <w:rPr>
          <w:rFonts w:ascii="Arial" w:hAnsi="Arial" w:cs="Arial"/>
          <w:sz w:val="20"/>
        </w:rPr>
      </w:pPr>
      <w:r w:rsidRPr="001C5FB2">
        <w:rPr>
          <w:rFonts w:ascii="Arial" w:hAnsi="Arial" w:cs="Arial"/>
          <w:b/>
          <w:sz w:val="20"/>
        </w:rPr>
        <w:t>Business Secretary Vince Cable</w:t>
      </w:r>
      <w:r>
        <w:rPr>
          <w:rFonts w:ascii="Arial" w:hAnsi="Arial" w:cs="Arial"/>
          <w:sz w:val="20"/>
        </w:rPr>
        <w:t xml:space="preserve"> said, </w:t>
      </w:r>
      <w:r w:rsidR="001C5FB2">
        <w:rPr>
          <w:rFonts w:ascii="Arial" w:hAnsi="Arial" w:cs="Arial"/>
          <w:sz w:val="20"/>
        </w:rPr>
        <w:t>"</w:t>
      </w:r>
      <w:r w:rsidR="001C5FB2" w:rsidRPr="001C5FB2">
        <w:rPr>
          <w:rFonts w:ascii="Arial" w:hAnsi="Arial" w:cs="Arial"/>
          <w:sz w:val="20"/>
        </w:rPr>
        <w:t>These production figures are testament to the strength of our automotive industry, and show that ev</w:t>
      </w:r>
      <w:r w:rsidR="00190332">
        <w:rPr>
          <w:rFonts w:ascii="Arial" w:hAnsi="Arial" w:cs="Arial"/>
          <w:sz w:val="20"/>
        </w:rPr>
        <w:t>en in tough economic conditions</w:t>
      </w:r>
      <w:r w:rsidR="001C5FB2" w:rsidRPr="001C5FB2">
        <w:rPr>
          <w:rFonts w:ascii="Arial" w:hAnsi="Arial" w:cs="Arial"/>
          <w:sz w:val="20"/>
        </w:rPr>
        <w:t xml:space="preserve"> it continues to be one of the driving force</w:t>
      </w:r>
      <w:r w:rsidR="00190332">
        <w:rPr>
          <w:rFonts w:ascii="Arial" w:hAnsi="Arial" w:cs="Arial"/>
          <w:sz w:val="20"/>
        </w:rPr>
        <w:t>s behind our economic recovery.</w:t>
      </w:r>
      <w:r w:rsidR="001C5FB2" w:rsidRPr="001C5FB2">
        <w:rPr>
          <w:rFonts w:ascii="Arial" w:hAnsi="Arial" w:cs="Arial"/>
          <w:sz w:val="20"/>
        </w:rPr>
        <w:t xml:space="preserve"> From Sunderland to </w:t>
      </w:r>
      <w:proofErr w:type="spellStart"/>
      <w:r w:rsidR="001C5FB2" w:rsidRPr="001C5FB2">
        <w:rPr>
          <w:rFonts w:ascii="Arial" w:hAnsi="Arial" w:cs="Arial"/>
          <w:sz w:val="20"/>
        </w:rPr>
        <w:t>Goodwood</w:t>
      </w:r>
      <w:proofErr w:type="spellEnd"/>
      <w:r w:rsidR="001C5FB2" w:rsidRPr="001C5FB2">
        <w:rPr>
          <w:rFonts w:ascii="Arial" w:hAnsi="Arial" w:cs="Arial"/>
          <w:sz w:val="20"/>
        </w:rPr>
        <w:t>, Britain is turning out cars that are in demand all around the world.</w:t>
      </w:r>
    </w:p>
    <w:p w:rsidR="001C5FB2" w:rsidRPr="001C5FB2" w:rsidRDefault="001C5FB2" w:rsidP="001C5FB2">
      <w:pPr>
        <w:tabs>
          <w:tab w:val="right" w:pos="9332"/>
        </w:tabs>
        <w:rPr>
          <w:rFonts w:ascii="Arial" w:hAnsi="Arial" w:cs="Arial"/>
          <w:sz w:val="20"/>
        </w:rPr>
      </w:pPr>
      <w:r w:rsidRPr="001C5FB2">
        <w:rPr>
          <w:rFonts w:ascii="Arial" w:hAnsi="Arial" w:cs="Arial"/>
          <w:sz w:val="20"/>
        </w:rPr>
        <w:t> </w:t>
      </w:r>
    </w:p>
    <w:p w:rsidR="001C5FB2" w:rsidRDefault="001C5FB2" w:rsidP="001C5FB2">
      <w:pPr>
        <w:tabs>
          <w:tab w:val="right" w:pos="9332"/>
        </w:tabs>
        <w:rPr>
          <w:rFonts w:ascii="Arial" w:hAnsi="Arial" w:cs="Arial"/>
          <w:sz w:val="20"/>
        </w:rPr>
      </w:pPr>
      <w:r>
        <w:rPr>
          <w:rFonts w:ascii="Arial" w:hAnsi="Arial" w:cs="Arial"/>
          <w:sz w:val="20"/>
        </w:rPr>
        <w:t>"</w:t>
      </w:r>
      <w:r w:rsidRPr="001C5FB2">
        <w:rPr>
          <w:rFonts w:ascii="Arial" w:hAnsi="Arial" w:cs="Arial"/>
          <w:sz w:val="20"/>
        </w:rPr>
        <w:t xml:space="preserve">The UK’s automotive industry is thriving with a new car rolling off the production line every 20 seconds, </w:t>
      </w:r>
      <w:r w:rsidR="00190332">
        <w:rPr>
          <w:rFonts w:ascii="Arial" w:hAnsi="Arial" w:cs="Arial"/>
          <w:sz w:val="20"/>
        </w:rPr>
        <w:t>while i</w:t>
      </w:r>
      <w:r w:rsidRPr="001C5FB2">
        <w:rPr>
          <w:rFonts w:ascii="Arial" w:hAnsi="Arial" w:cs="Arial"/>
          <w:sz w:val="20"/>
        </w:rPr>
        <w:t xml:space="preserve">ncreasing levels of investment </w:t>
      </w:r>
      <w:r w:rsidR="00190332">
        <w:rPr>
          <w:rFonts w:ascii="Arial" w:hAnsi="Arial" w:cs="Arial"/>
          <w:sz w:val="20"/>
        </w:rPr>
        <w:t>are</w:t>
      </w:r>
      <w:r w:rsidRPr="001C5FB2">
        <w:rPr>
          <w:rFonts w:ascii="Arial" w:hAnsi="Arial" w:cs="Arial"/>
          <w:sz w:val="20"/>
        </w:rPr>
        <w:t xml:space="preserve"> helping to secure local jobs. Through the government’s industrial strategy we are backing the automotive industry as it goes from strength to strength.</w:t>
      </w:r>
      <w:r>
        <w:rPr>
          <w:rFonts w:ascii="Arial" w:hAnsi="Arial" w:cs="Arial"/>
          <w:sz w:val="20"/>
        </w:rPr>
        <w:t>"</w:t>
      </w:r>
    </w:p>
    <w:p w:rsidR="001C5FB2" w:rsidRPr="001C5FB2" w:rsidRDefault="001C5FB2" w:rsidP="001C5FB2">
      <w:pPr>
        <w:tabs>
          <w:tab w:val="right" w:pos="9332"/>
        </w:tabs>
        <w:rPr>
          <w:rFonts w:ascii="Arial" w:hAnsi="Arial" w:cs="Arial"/>
          <w:sz w:val="20"/>
        </w:rPr>
      </w:pPr>
    </w:p>
    <w:p w:rsidR="00B60D2C" w:rsidRPr="006E311A" w:rsidRDefault="00B60D2C" w:rsidP="001C5FB2">
      <w:pPr>
        <w:tabs>
          <w:tab w:val="right" w:pos="9332"/>
        </w:tabs>
        <w:rPr>
          <w:rFonts w:ascii="Arial" w:hAnsi="Arial" w:cs="Arial"/>
          <w:b/>
          <w:color w:val="1074CB"/>
          <w:sz w:val="20"/>
        </w:rPr>
      </w:pPr>
      <w:r w:rsidRPr="006E311A">
        <w:rPr>
          <w:rFonts w:ascii="Arial" w:hAnsi="Arial" w:cs="Arial"/>
          <w:b/>
          <w:color w:val="1074CB"/>
          <w:sz w:val="20"/>
        </w:rPr>
        <w:t>UK car manufacturing – 1972 (all-time record) and selected years 2007-2014</w:t>
      </w:r>
    </w:p>
    <w:p w:rsidR="00B60D2C" w:rsidRDefault="00B60D2C" w:rsidP="001A77A6">
      <w:pPr>
        <w:tabs>
          <w:tab w:val="right" w:pos="9332"/>
        </w:tabs>
        <w:rPr>
          <w:rFonts w:ascii="Arial" w:hAnsi="Arial" w:cs="Arial"/>
          <w:b/>
          <w:color w:val="0D2255"/>
          <w:sz w:val="20"/>
        </w:rPr>
      </w:pPr>
      <w:r w:rsidRPr="00B60D2C">
        <w:rPr>
          <w:rFonts w:ascii="Arial" w:hAnsi="Arial" w:cs="Arial"/>
          <w:b/>
          <w:noProof/>
          <w:color w:val="0D2255"/>
          <w:sz w:val="20"/>
        </w:rPr>
        <w:drawing>
          <wp:inline distT="0" distB="0" distL="0" distR="0">
            <wp:extent cx="5895975" cy="2571750"/>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098B" w:rsidRPr="001C5FB2" w:rsidRDefault="001072EC" w:rsidP="001C5FB2">
      <w:pPr>
        <w:tabs>
          <w:tab w:val="right" w:pos="9332"/>
        </w:tabs>
        <w:rPr>
          <w:rFonts w:ascii="Arial" w:hAnsi="Arial" w:cs="Arial"/>
          <w:b/>
          <w:noProof/>
          <w:color w:val="1074CB"/>
          <w:sz w:val="20"/>
        </w:rPr>
      </w:pPr>
      <w:r w:rsidRPr="001C5FB2">
        <w:rPr>
          <w:noProof/>
          <w:color w:val="1074CB"/>
        </w:rPr>
        <w:lastRenderedPageBreak/>
        <w:t xml:space="preserve"> </w:t>
      </w:r>
      <w:r w:rsidR="0022098B" w:rsidRPr="001C5FB2">
        <w:rPr>
          <w:rFonts w:ascii="Arial" w:hAnsi="Arial" w:cs="Arial"/>
          <w:b/>
          <w:noProof/>
          <w:color w:val="1074CB"/>
          <w:sz w:val="20"/>
        </w:rPr>
        <w:t>UK car export destinations</w:t>
      </w:r>
      <w:r w:rsidR="00DA7240" w:rsidRPr="001C5FB2">
        <w:rPr>
          <w:rFonts w:ascii="Arial" w:hAnsi="Arial" w:cs="Arial"/>
          <w:b/>
          <w:noProof/>
          <w:color w:val="1074CB"/>
          <w:sz w:val="20"/>
        </w:rPr>
        <w:t xml:space="preserve"> by volume</w:t>
      </w:r>
      <w:r w:rsidR="0022098B" w:rsidRPr="001C5FB2">
        <w:rPr>
          <w:rFonts w:ascii="Arial" w:hAnsi="Arial" w:cs="Arial"/>
          <w:b/>
          <w:noProof/>
          <w:color w:val="1074CB"/>
          <w:sz w:val="20"/>
        </w:rPr>
        <w:t xml:space="preserve"> – 2007 vs. 2014 (to Q3)</w:t>
      </w:r>
    </w:p>
    <w:p w:rsidR="006E311A" w:rsidRDefault="0022098B" w:rsidP="006E311A">
      <w:pPr>
        <w:rPr>
          <w:rFonts w:ascii="Arial" w:eastAsia="Times New Roman" w:hAnsi="Arial" w:cs="Arial"/>
          <w:b/>
          <w:color w:val="1074CB"/>
          <w:sz w:val="16"/>
          <w:szCs w:val="16"/>
        </w:rPr>
      </w:pPr>
      <w:r>
        <w:rPr>
          <w:rFonts w:ascii="Arial" w:eastAsia="Times New Roman" w:hAnsi="Arial" w:cs="Arial"/>
          <w:b/>
          <w:noProof/>
          <w:color w:val="1074CB"/>
          <w:sz w:val="16"/>
          <w:szCs w:val="16"/>
        </w:rPr>
        <w:drawing>
          <wp:inline distT="0" distB="0" distL="0" distR="0">
            <wp:extent cx="3019425" cy="2228850"/>
            <wp:effectExtent l="0" t="0" r="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22098B">
        <w:rPr>
          <w:rFonts w:ascii="Arial" w:eastAsia="Times New Roman" w:hAnsi="Arial" w:cs="Arial"/>
          <w:b/>
          <w:noProof/>
          <w:color w:val="1074CB"/>
          <w:sz w:val="16"/>
          <w:szCs w:val="16"/>
        </w:rPr>
        <w:drawing>
          <wp:inline distT="0" distB="0" distL="0" distR="0">
            <wp:extent cx="2200275" cy="2324100"/>
            <wp:effectExtent l="0" t="0" r="0" b="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E311A" w:rsidRPr="00911A14" w:rsidRDefault="00911A14" w:rsidP="006E311A">
      <w:pPr>
        <w:rPr>
          <w:rFonts w:ascii="Arial" w:eastAsia="Times New Roman" w:hAnsi="Arial" w:cs="Arial"/>
          <w:sz w:val="20"/>
          <w:szCs w:val="16"/>
        </w:rPr>
      </w:pPr>
      <w:r>
        <w:rPr>
          <w:rFonts w:ascii="Arial" w:eastAsia="Times New Roman" w:hAnsi="Arial" w:cs="Arial"/>
          <w:sz w:val="20"/>
          <w:szCs w:val="16"/>
        </w:rPr>
        <w:t xml:space="preserve">A key strength of UK car </w:t>
      </w:r>
      <w:r w:rsidR="0043010A">
        <w:rPr>
          <w:rFonts w:ascii="Arial" w:eastAsia="Times New Roman" w:hAnsi="Arial" w:cs="Arial"/>
          <w:sz w:val="20"/>
          <w:szCs w:val="16"/>
        </w:rPr>
        <w:t xml:space="preserve">manufacturing is its diversity, with </w:t>
      </w:r>
      <w:r w:rsidR="00DA7240">
        <w:rPr>
          <w:rFonts w:ascii="Arial" w:eastAsia="Times New Roman" w:hAnsi="Arial" w:cs="Arial"/>
          <w:sz w:val="20"/>
          <w:szCs w:val="16"/>
        </w:rPr>
        <w:t xml:space="preserve">a mix of volume, premium and specialist products in high demand around the world. </w:t>
      </w:r>
      <w:r w:rsidR="00836331">
        <w:rPr>
          <w:rFonts w:ascii="Arial" w:eastAsia="Times New Roman" w:hAnsi="Arial" w:cs="Arial"/>
          <w:sz w:val="20"/>
          <w:szCs w:val="16"/>
        </w:rPr>
        <w:t>The proportion of premium and specialist cars, in particula</w:t>
      </w:r>
      <w:r w:rsidR="00BC2073">
        <w:rPr>
          <w:rFonts w:ascii="Arial" w:eastAsia="Times New Roman" w:hAnsi="Arial" w:cs="Arial"/>
          <w:sz w:val="20"/>
          <w:szCs w:val="16"/>
        </w:rPr>
        <w:t>r, has grown in the past decade,</w:t>
      </w:r>
      <w:r w:rsidR="00836331">
        <w:rPr>
          <w:rFonts w:ascii="Arial" w:eastAsia="Times New Roman" w:hAnsi="Arial" w:cs="Arial"/>
          <w:sz w:val="20"/>
          <w:szCs w:val="16"/>
        </w:rPr>
        <w:t xml:space="preserve"> leading to increasing </w:t>
      </w:r>
      <w:r w:rsidR="00BC2073">
        <w:rPr>
          <w:rFonts w:ascii="Arial" w:eastAsia="Times New Roman" w:hAnsi="Arial" w:cs="Arial"/>
          <w:sz w:val="20"/>
          <w:szCs w:val="16"/>
        </w:rPr>
        <w:t>demand</w:t>
      </w:r>
      <w:r w:rsidR="00836331">
        <w:rPr>
          <w:rFonts w:ascii="Arial" w:eastAsia="Times New Roman" w:hAnsi="Arial" w:cs="Arial"/>
          <w:sz w:val="20"/>
          <w:szCs w:val="16"/>
        </w:rPr>
        <w:t xml:space="preserve"> outside the EU (above). China is now the UK’s second-largest market outside the EU, accounting for around 12% of exports in 2014 compared with just 1% in 2007.</w:t>
      </w:r>
    </w:p>
    <w:p w:rsidR="006E311A" w:rsidRDefault="006E311A" w:rsidP="006E311A">
      <w:pPr>
        <w:rPr>
          <w:rFonts w:ascii="Arial" w:eastAsia="Times New Roman" w:hAnsi="Arial" w:cs="Arial"/>
          <w:b/>
          <w:color w:val="1074CB"/>
          <w:sz w:val="16"/>
          <w:szCs w:val="16"/>
        </w:rPr>
      </w:pPr>
    </w:p>
    <w:p w:rsidR="006E311A" w:rsidRDefault="006E311A" w:rsidP="006E311A">
      <w:pPr>
        <w:rPr>
          <w:rFonts w:ascii="Arial" w:eastAsia="Times New Roman" w:hAnsi="Arial" w:cs="Arial"/>
          <w:b/>
          <w:color w:val="1074CB"/>
          <w:sz w:val="16"/>
          <w:szCs w:val="16"/>
        </w:rPr>
      </w:pPr>
    </w:p>
    <w:p w:rsidR="006E311A" w:rsidRPr="001C5FB2" w:rsidRDefault="00836331" w:rsidP="006E311A">
      <w:pPr>
        <w:rPr>
          <w:rFonts w:ascii="Arial" w:eastAsia="Times New Roman" w:hAnsi="Arial" w:cs="Arial"/>
          <w:b/>
          <w:color w:val="1074CB"/>
          <w:sz w:val="20"/>
          <w:szCs w:val="16"/>
        </w:rPr>
      </w:pPr>
      <w:r w:rsidRPr="001C5FB2">
        <w:rPr>
          <w:rFonts w:ascii="Arial" w:eastAsia="Times New Roman" w:hAnsi="Arial" w:cs="Arial"/>
          <w:b/>
          <w:color w:val="1074CB"/>
          <w:sz w:val="20"/>
          <w:szCs w:val="16"/>
        </w:rPr>
        <w:t>UK car export values, 2004-2014</w:t>
      </w:r>
      <w:r w:rsidR="00677059" w:rsidRPr="001C5FB2">
        <w:rPr>
          <w:rFonts w:ascii="Arial" w:eastAsia="Times New Roman" w:hAnsi="Arial" w:cs="Arial"/>
          <w:b/>
          <w:color w:val="1074CB"/>
          <w:sz w:val="20"/>
          <w:szCs w:val="16"/>
        </w:rPr>
        <w:t xml:space="preserve"> (Source: ONS)</w:t>
      </w:r>
    </w:p>
    <w:p w:rsidR="0022098B" w:rsidRPr="0022098B" w:rsidRDefault="0022098B" w:rsidP="006E311A">
      <w:pPr>
        <w:rPr>
          <w:rFonts w:ascii="Arial" w:eastAsia="Times New Roman" w:hAnsi="Arial" w:cs="Arial"/>
          <w:b/>
          <w:color w:val="1074CB"/>
          <w:sz w:val="22"/>
          <w:szCs w:val="16"/>
        </w:rPr>
      </w:pPr>
      <w:r w:rsidRPr="0022098B">
        <w:rPr>
          <w:rFonts w:ascii="Arial" w:eastAsia="Times New Roman" w:hAnsi="Arial" w:cs="Arial"/>
          <w:b/>
          <w:noProof/>
          <w:color w:val="1074CB"/>
          <w:sz w:val="22"/>
          <w:szCs w:val="16"/>
        </w:rPr>
        <w:drawing>
          <wp:inline distT="0" distB="0" distL="0" distR="0">
            <wp:extent cx="5943600" cy="2419350"/>
            <wp:effectExtent l="0" t="0" r="0" b="0"/>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2098B" w:rsidRDefault="0022098B" w:rsidP="006E311A">
      <w:pPr>
        <w:rPr>
          <w:rFonts w:ascii="Arial" w:eastAsia="Times New Roman" w:hAnsi="Arial" w:cs="Arial"/>
          <w:b/>
          <w:color w:val="1074CB"/>
          <w:sz w:val="16"/>
          <w:szCs w:val="16"/>
        </w:rPr>
      </w:pPr>
    </w:p>
    <w:p w:rsidR="006E311A" w:rsidRPr="00F15094" w:rsidRDefault="002A246E" w:rsidP="006E311A">
      <w:pPr>
        <w:rPr>
          <w:rFonts w:ascii="Arial" w:eastAsia="Times New Roman" w:hAnsi="Arial" w:cs="Arial"/>
          <w:sz w:val="20"/>
          <w:szCs w:val="16"/>
        </w:rPr>
      </w:pPr>
      <w:r>
        <w:rPr>
          <w:rFonts w:ascii="Arial" w:eastAsia="Times New Roman" w:hAnsi="Arial" w:cs="Arial"/>
          <w:sz w:val="20"/>
          <w:szCs w:val="16"/>
        </w:rPr>
        <w:t xml:space="preserve">Another result of an increasingly diverse product mix is </w:t>
      </w:r>
      <w:r w:rsidR="00677059">
        <w:rPr>
          <w:rFonts w:ascii="Arial" w:eastAsia="Times New Roman" w:hAnsi="Arial" w:cs="Arial"/>
          <w:sz w:val="20"/>
          <w:szCs w:val="16"/>
        </w:rPr>
        <w:t>a rapid rise in value. In 2004, the wholesale value of UK car exports was around £12 billion; this has doubled to more than £26 billion in 2014</w:t>
      </w:r>
      <w:r w:rsidR="00BC2073">
        <w:rPr>
          <w:rFonts w:ascii="Arial" w:eastAsia="Times New Roman" w:hAnsi="Arial" w:cs="Arial"/>
          <w:sz w:val="20"/>
          <w:szCs w:val="16"/>
        </w:rPr>
        <w:t>,</w:t>
      </w:r>
      <w:r w:rsidR="00677059">
        <w:rPr>
          <w:rFonts w:ascii="Arial" w:eastAsia="Times New Roman" w:hAnsi="Arial" w:cs="Arial"/>
          <w:sz w:val="20"/>
          <w:szCs w:val="16"/>
        </w:rPr>
        <w:t xml:space="preserve"> despite a similar number of cars exported.</w:t>
      </w:r>
      <w:r w:rsidR="00BC2073">
        <w:rPr>
          <w:rFonts w:ascii="Arial" w:eastAsia="Times New Roman" w:hAnsi="Arial" w:cs="Arial"/>
          <w:sz w:val="20"/>
          <w:szCs w:val="16"/>
        </w:rPr>
        <w:t xml:space="preserve"> The average car </w:t>
      </w:r>
      <w:r w:rsidR="00962067">
        <w:rPr>
          <w:rFonts w:ascii="Arial" w:eastAsia="Times New Roman" w:hAnsi="Arial" w:cs="Arial"/>
          <w:sz w:val="20"/>
          <w:szCs w:val="16"/>
        </w:rPr>
        <w:t>exported in 2004 was worth £10,2</w:t>
      </w:r>
      <w:r w:rsidR="00BC2073">
        <w:rPr>
          <w:rFonts w:ascii="Arial" w:eastAsia="Times New Roman" w:hAnsi="Arial" w:cs="Arial"/>
          <w:sz w:val="20"/>
          <w:szCs w:val="16"/>
        </w:rPr>
        <w:t>00, compared to £21,800 in 2014.</w:t>
      </w:r>
    </w:p>
    <w:p w:rsidR="00BC2073" w:rsidRDefault="00BC2073" w:rsidP="006E311A">
      <w:pPr>
        <w:rPr>
          <w:rFonts w:ascii="Arial" w:eastAsia="Times New Roman" w:hAnsi="Arial" w:cs="Arial"/>
          <w:b/>
          <w:color w:val="1074CB"/>
          <w:sz w:val="16"/>
          <w:szCs w:val="16"/>
        </w:rPr>
      </w:pPr>
    </w:p>
    <w:p w:rsidR="00BC2073" w:rsidRDefault="00F01A98" w:rsidP="00BC2073">
      <w:pPr>
        <w:pStyle w:val="Heading1"/>
        <w:ind w:left="0" w:firstLine="0"/>
        <w:rPr>
          <w:rFonts w:ascii="Arial" w:hAnsi="Arial" w:cs="Arial"/>
          <w:color w:val="1074CB"/>
          <w:sz w:val="16"/>
          <w:szCs w:val="16"/>
        </w:rPr>
      </w:pPr>
      <w:r w:rsidRPr="00F01A98">
        <w:rPr>
          <w:rFonts w:ascii="Arial" w:hAnsi="Arial" w:cs="Arial"/>
          <w:b w:val="0"/>
          <w:i/>
          <w:iCs/>
          <w:noProof/>
          <w:sz w:val="20"/>
        </w:rPr>
        <w:pict>
          <v:line id="_x0000_s1027"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1.7pt" to="438.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0t/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" strokecolor="#1074cb"/>
        </w:pict>
      </w:r>
      <w:r w:rsidR="00BC2073" w:rsidRPr="004C335A">
        <w:rPr>
          <w:rFonts w:ascii="Arial" w:hAnsi="Arial" w:cs="Arial"/>
          <w:color w:val="1074CB"/>
          <w:sz w:val="16"/>
          <w:szCs w:val="16"/>
        </w:rPr>
        <w:t xml:space="preserve"> </w:t>
      </w:r>
    </w:p>
    <w:p w:rsidR="00BC2073" w:rsidRDefault="00BC2073" w:rsidP="00BC2073">
      <w:pPr>
        <w:rPr>
          <w:rFonts w:ascii="Arial" w:hAnsi="Arial" w:cs="Arial"/>
          <w:sz w:val="16"/>
          <w:szCs w:val="16"/>
        </w:rPr>
      </w:pPr>
      <w:r>
        <w:rPr>
          <w:rFonts w:ascii="Arial" w:hAnsi="Arial" w:cs="Arial"/>
          <w:b/>
          <w:bCs/>
          <w:color w:val="1074CB"/>
          <w:sz w:val="16"/>
          <w:szCs w:val="16"/>
        </w:rPr>
        <w:t>About SMMT and UK the automotive industry</w:t>
      </w:r>
    </w:p>
    <w:p w:rsidR="00BC2073" w:rsidRDefault="00BC2073" w:rsidP="00BC2073">
      <w:pPr>
        <w:pStyle w:val="NormalWeb"/>
        <w:spacing w:before="0" w:beforeAutospacing="0"/>
        <w:contextualSpacing/>
        <w:rPr>
          <w:rFonts w:ascii="Arial" w:hAnsi="Arial" w:cs="Arial"/>
          <w:color w:val="1074CB"/>
          <w:sz w:val="16"/>
          <w:szCs w:val="16"/>
        </w:rPr>
      </w:pPr>
      <w:r>
        <w:rPr>
          <w:rFonts w:ascii="Arial"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w:t>
      </w:r>
    </w:p>
    <w:p w:rsidR="00BC2073" w:rsidRDefault="00BC2073" w:rsidP="00BC2073">
      <w:pPr>
        <w:pStyle w:val="NormalWeb"/>
        <w:spacing w:before="0" w:beforeAutospacing="0"/>
        <w:contextualSpacing/>
        <w:rPr>
          <w:rFonts w:ascii="Arial" w:hAnsi="Arial" w:cs="Arial"/>
          <w:color w:val="1074CB"/>
          <w:sz w:val="16"/>
          <w:szCs w:val="16"/>
        </w:rPr>
      </w:pPr>
    </w:p>
    <w:p w:rsidR="006E311A" w:rsidRPr="00853E71" w:rsidRDefault="006E311A" w:rsidP="00BC2073">
      <w:pPr>
        <w:pStyle w:val="NormalWeb"/>
        <w:spacing w:before="0" w:beforeAutospacing="0"/>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 xml:space="preserve">The automotive industry is a vital part of the UK economy accounting for more than </w:t>
      </w:r>
      <w:r w:rsidRPr="00853E71">
        <w:rPr>
          <w:rFonts w:ascii="Arial" w:eastAsia="Calibri" w:hAnsi="Arial" w:cs="Arial"/>
          <w:b/>
          <w:bCs/>
          <w:color w:val="1074CB"/>
          <w:sz w:val="16"/>
        </w:rPr>
        <w:t>£64 billion turnover</w:t>
      </w:r>
      <w:r w:rsidRPr="00853E71">
        <w:rPr>
          <w:rFonts w:ascii="Arial" w:eastAsia="Times New Roman" w:hAnsi="Arial" w:cs="Arial"/>
          <w:color w:val="1074CB"/>
          <w:sz w:val="16"/>
          <w:szCs w:val="16"/>
        </w:rPr>
        <w:t xml:space="preserve"> and </w:t>
      </w:r>
      <w:r w:rsidRPr="00853E71">
        <w:rPr>
          <w:rFonts w:ascii="Arial" w:eastAsia="Calibri" w:hAnsi="Arial" w:cs="Arial"/>
          <w:b/>
          <w:bCs/>
          <w:color w:val="1074CB"/>
          <w:sz w:val="16"/>
        </w:rPr>
        <w:t>£12 billion value added</w:t>
      </w:r>
      <w:r w:rsidRPr="00853E71">
        <w:rPr>
          <w:rFonts w:ascii="Arial" w:eastAsia="Times New Roman" w:hAnsi="Arial" w:cs="Arial"/>
          <w:color w:val="1074CB"/>
          <w:sz w:val="16"/>
          <w:szCs w:val="16"/>
        </w:rPr>
        <w:t xml:space="preserve">. With more than </w:t>
      </w:r>
      <w:r w:rsidRPr="00853E71">
        <w:rPr>
          <w:rFonts w:ascii="Arial" w:eastAsia="Times New Roman" w:hAnsi="Arial" w:cs="Arial"/>
          <w:b/>
          <w:bCs/>
          <w:color w:val="1074CB"/>
          <w:sz w:val="16"/>
          <w:szCs w:val="16"/>
        </w:rPr>
        <w:t>160,000</w:t>
      </w:r>
      <w:r w:rsidRPr="00853E71">
        <w:rPr>
          <w:rFonts w:ascii="Arial" w:eastAsia="Times New Roman" w:hAnsi="Arial" w:cs="Arial"/>
          <w:color w:val="1074CB"/>
          <w:sz w:val="16"/>
          <w:szCs w:val="16"/>
        </w:rPr>
        <w:t xml:space="preserve"> people employed directly in manufacturing and in excess of </w:t>
      </w:r>
      <w:r w:rsidRPr="00853E71">
        <w:rPr>
          <w:rFonts w:ascii="Arial" w:eastAsia="Calibri" w:hAnsi="Arial" w:cs="Arial"/>
          <w:b/>
          <w:bCs/>
          <w:color w:val="1074CB"/>
          <w:sz w:val="16"/>
        </w:rPr>
        <w:t xml:space="preserve">770,000 across </w:t>
      </w:r>
      <w:r w:rsidRPr="00853E71">
        <w:rPr>
          <w:rFonts w:ascii="Arial" w:eastAsia="Times New Roman" w:hAnsi="Arial" w:cs="Arial"/>
          <w:color w:val="1074CB"/>
          <w:sz w:val="16"/>
          <w:szCs w:val="16"/>
        </w:rPr>
        <w:t xml:space="preserve">the wider automotive industry, it accounts for </w:t>
      </w:r>
      <w:r w:rsidRPr="00853E71">
        <w:rPr>
          <w:rFonts w:ascii="Arial" w:eastAsia="Calibri" w:hAnsi="Arial" w:cs="Arial"/>
          <w:b/>
          <w:bCs/>
          <w:color w:val="1074CB"/>
          <w:sz w:val="16"/>
        </w:rPr>
        <w:t>10% of total UK export</w:t>
      </w:r>
      <w:r w:rsidRPr="00853E71">
        <w:rPr>
          <w:rFonts w:ascii="Arial" w:eastAsia="Times New Roman" w:hAnsi="Arial" w:cs="Arial"/>
          <w:b/>
          <w:bCs/>
          <w:color w:val="1074CB"/>
          <w:sz w:val="16"/>
          <w:szCs w:val="16"/>
        </w:rPr>
        <w:t xml:space="preserve"> of goods</w:t>
      </w:r>
      <w:r w:rsidRPr="00853E71">
        <w:rPr>
          <w:rFonts w:ascii="Arial" w:eastAsia="Times New Roman" w:hAnsi="Arial" w:cs="Arial"/>
          <w:color w:val="1074CB"/>
          <w:sz w:val="16"/>
          <w:szCs w:val="16"/>
        </w:rPr>
        <w:t xml:space="preserve"> and invests </w:t>
      </w:r>
      <w:r w:rsidRPr="00853E71">
        <w:rPr>
          <w:rFonts w:ascii="Arial" w:eastAsia="Calibri" w:hAnsi="Arial" w:cs="Arial"/>
          <w:b/>
          <w:bCs/>
          <w:color w:val="1074CB"/>
          <w:sz w:val="16"/>
        </w:rPr>
        <w:t>£1.9 billion</w:t>
      </w:r>
      <w:r w:rsidRPr="00853E71">
        <w:rPr>
          <w:rFonts w:ascii="Arial" w:eastAsia="Times New Roman" w:hAnsi="Arial" w:cs="Arial"/>
          <w:color w:val="1074CB"/>
          <w:sz w:val="16"/>
          <w:szCs w:val="16"/>
        </w:rPr>
        <w:t xml:space="preserve"> each year in automotive R&amp;D. More than </w:t>
      </w:r>
      <w:r w:rsidRPr="00853E71">
        <w:rPr>
          <w:rFonts w:ascii="Arial" w:eastAsia="Calibri" w:hAnsi="Arial" w:cs="Arial"/>
          <w:b/>
          <w:bCs/>
          <w:color w:val="1074CB"/>
          <w:sz w:val="16"/>
        </w:rPr>
        <w:t>30 manufacturers</w:t>
      </w:r>
      <w:r w:rsidRPr="00853E71">
        <w:rPr>
          <w:rFonts w:ascii="Arial" w:eastAsia="Times New Roman" w:hAnsi="Arial" w:cs="Arial"/>
          <w:color w:val="1074CB"/>
          <w:sz w:val="16"/>
          <w:szCs w:val="16"/>
        </w:rPr>
        <w:t xml:space="preserve"> build in excess of </w:t>
      </w:r>
      <w:r w:rsidRPr="00853E71">
        <w:rPr>
          <w:rFonts w:ascii="Arial" w:eastAsia="Calibri" w:hAnsi="Arial" w:cs="Arial"/>
          <w:b/>
          <w:bCs/>
          <w:color w:val="1074CB"/>
          <w:sz w:val="16"/>
        </w:rPr>
        <w:t>70 models</w:t>
      </w:r>
      <w:r w:rsidRPr="00853E71">
        <w:rPr>
          <w:rFonts w:ascii="Arial" w:eastAsia="Times New Roman" w:hAnsi="Arial" w:cs="Arial"/>
          <w:color w:val="1074CB"/>
          <w:sz w:val="16"/>
          <w:szCs w:val="16"/>
        </w:rPr>
        <w:t xml:space="preserve"> of vehicle in the UK supported by around </w:t>
      </w:r>
      <w:r w:rsidRPr="00853E71">
        <w:rPr>
          <w:rFonts w:ascii="Arial" w:eastAsia="Calibri" w:hAnsi="Arial" w:cs="Arial"/>
          <w:b/>
          <w:bCs/>
          <w:color w:val="1074CB"/>
          <w:sz w:val="16"/>
        </w:rPr>
        <w:t>2,500 component providers</w:t>
      </w:r>
      <w:r w:rsidRPr="00853E71">
        <w:rPr>
          <w:rFonts w:ascii="Arial" w:eastAsia="Times New Roman" w:hAnsi="Arial" w:cs="Arial"/>
          <w:color w:val="1074CB"/>
          <w:sz w:val="16"/>
          <w:szCs w:val="16"/>
        </w:rPr>
        <w:t xml:space="preserve"> and some of the world's most </w:t>
      </w:r>
      <w:r w:rsidRPr="00853E71">
        <w:rPr>
          <w:rFonts w:ascii="Arial" w:eastAsia="Calibri" w:hAnsi="Arial" w:cs="Arial"/>
          <w:b/>
          <w:bCs/>
          <w:color w:val="1074CB"/>
          <w:sz w:val="16"/>
        </w:rPr>
        <w:t>skilled engineers</w:t>
      </w:r>
      <w:r w:rsidRPr="00853E71">
        <w:rPr>
          <w:rFonts w:ascii="Arial" w:eastAsia="Times New Roman" w:hAnsi="Arial" w:cs="Arial"/>
          <w:color w:val="1074CB"/>
          <w:sz w:val="16"/>
          <w:szCs w:val="16"/>
        </w:rPr>
        <w:t>.</w:t>
      </w:r>
    </w:p>
    <w:p w:rsidR="006E311A" w:rsidRPr="00853E71" w:rsidRDefault="006E311A" w:rsidP="006E311A">
      <w:pPr>
        <w:spacing w:afterAutospacing="1"/>
        <w:contextualSpacing/>
        <w:rPr>
          <w:rFonts w:ascii="Arial" w:eastAsia="Times New Roman" w:hAnsi="Arial" w:cs="Arial"/>
          <w:sz w:val="16"/>
          <w:szCs w:val="16"/>
        </w:rPr>
      </w:pPr>
      <w:r w:rsidRPr="00853E71">
        <w:rPr>
          <w:rFonts w:ascii="Arial" w:eastAsia="Times New Roman" w:hAnsi="Arial" w:cs="Arial"/>
          <w:color w:val="1074CB"/>
          <w:sz w:val="16"/>
          <w:szCs w:val="16"/>
        </w:rPr>
        <w:t xml:space="preserve">More detail on UK automotive available in SMMT's Motor Industry Facts 2014 publication at </w:t>
      </w:r>
      <w:hyperlink r:id="rId12" w:history="1">
        <w:r w:rsidRPr="00853E71">
          <w:rPr>
            <w:rFonts w:ascii="Arial" w:eastAsia="Times New Roman" w:hAnsi="Arial" w:cs="Arial"/>
            <w:color w:val="0000FF"/>
            <w:sz w:val="16"/>
            <w:u w:val="single"/>
          </w:rPr>
          <w:t>www.smmt.co.uk/facts14</w:t>
        </w:r>
      </w:hyperlink>
      <w:r w:rsidRPr="00853E71">
        <w:rPr>
          <w:rFonts w:ascii="Arial" w:eastAsia="Times New Roman" w:hAnsi="Arial" w:cs="Arial"/>
          <w:color w:val="1074CB"/>
          <w:sz w:val="16"/>
          <w:szCs w:val="16"/>
        </w:rPr>
        <w:t>.</w:t>
      </w:r>
    </w:p>
    <w:p w:rsidR="006E311A" w:rsidRPr="00853E71" w:rsidRDefault="006E311A" w:rsidP="006E311A">
      <w:pPr>
        <w:spacing w:afterAutospacing="1"/>
        <w:contextualSpacing/>
        <w:rPr>
          <w:rFonts w:ascii="Arial" w:eastAsia="Times New Roman" w:hAnsi="Arial" w:cs="Arial"/>
          <w:color w:val="1074CB"/>
          <w:sz w:val="16"/>
          <w:szCs w:val="16"/>
        </w:rPr>
      </w:pPr>
    </w:p>
    <w:p w:rsidR="006E311A" w:rsidRPr="00853E71" w:rsidRDefault="006E311A" w:rsidP="006E311A">
      <w:pPr>
        <w:spacing w:afterAutospacing="1"/>
        <w:rPr>
          <w:rFonts w:ascii="Arial" w:eastAsia="Calibri" w:hAnsi="Arial" w:cs="Arial"/>
          <w:bCs/>
          <w:color w:val="1074CB"/>
          <w:sz w:val="16"/>
        </w:rPr>
      </w:pPr>
      <w:r w:rsidRPr="00853E71">
        <w:rPr>
          <w:rFonts w:ascii="Arial" w:eastAsia="Calibri" w:hAnsi="Arial" w:cs="Arial"/>
          <w:b/>
          <w:bCs/>
          <w:color w:val="1074CB"/>
          <w:sz w:val="16"/>
          <w:u w:val="single"/>
        </w:rPr>
        <w:t>Broadcasters</w:t>
      </w:r>
      <w:r w:rsidRPr="00853E71">
        <w:rPr>
          <w:rFonts w:ascii="Arial" w:eastAsia="Calibri" w:hAnsi="Arial" w:cs="Arial"/>
          <w:b/>
          <w:bCs/>
          <w:color w:val="1074CB"/>
          <w:sz w:val="16"/>
        </w:rPr>
        <w:t>: SMMT has an ISDN studio and access to expert spokespeople, case studies and regional representatives.</w:t>
      </w:r>
    </w:p>
    <w:p w:rsidR="006E311A" w:rsidRPr="00853E71" w:rsidRDefault="006E311A" w:rsidP="006E311A">
      <w:pPr>
        <w:rPr>
          <w:rFonts w:ascii="Arial" w:eastAsia="Times New Roman" w:hAnsi="Arial" w:cs="Arial"/>
          <w:color w:val="1074CB"/>
          <w:sz w:val="16"/>
          <w:szCs w:val="16"/>
        </w:rPr>
      </w:pPr>
      <w:r w:rsidRPr="00853E71">
        <w:rPr>
          <w:rFonts w:ascii="Arial" w:eastAsia="Times New Roman" w:hAnsi="Arial" w:cs="Arial"/>
          <w:b/>
          <w:color w:val="1074CB"/>
          <w:sz w:val="16"/>
          <w:szCs w:val="16"/>
        </w:rPr>
        <w:t>Media contacts</w:t>
      </w:r>
    </w:p>
    <w:p w:rsidR="006E311A" w:rsidRDefault="006E311A" w:rsidP="006E311A">
      <w:pPr>
        <w:rPr>
          <w:rFonts w:ascii="Arial" w:eastAsia="Times New Roman" w:hAnsi="Arial" w:cs="Arial"/>
          <w:color w:val="1074CB"/>
          <w:sz w:val="16"/>
          <w:szCs w:val="16"/>
        </w:rPr>
      </w:pPr>
      <w:r>
        <w:rPr>
          <w:rFonts w:ascii="Arial" w:eastAsia="Times New Roman" w:hAnsi="Arial" w:cs="Arial"/>
          <w:color w:val="1074CB"/>
          <w:sz w:val="16"/>
          <w:szCs w:val="16"/>
        </w:rPr>
        <w:t>Ben Foulds</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020 7344 9222</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13" w:history="1">
        <w:r w:rsidRPr="00C6769D">
          <w:rPr>
            <w:rStyle w:val="Hyperlink"/>
            <w:rFonts w:ascii="Arial" w:eastAsia="Times New Roman" w:hAnsi="Arial" w:cs="Arial"/>
            <w:sz w:val="16"/>
            <w:szCs w:val="16"/>
          </w:rPr>
          <w:t>bfoulds@smmt.co.uk</w:t>
        </w:r>
      </w:hyperlink>
    </w:p>
    <w:p w:rsidR="006E311A" w:rsidRDefault="006E311A" w:rsidP="006E311A">
      <w:r>
        <w:rPr>
          <w:rFonts w:ascii="Arial" w:eastAsia="Times New Roman" w:hAnsi="Arial" w:cs="Arial"/>
          <w:color w:val="1074CB"/>
          <w:sz w:val="16"/>
          <w:szCs w:val="16"/>
        </w:rPr>
        <w:t>Alex Michaelides</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020 7344 1667</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14" w:history="1">
        <w:r w:rsidRPr="00120B6E">
          <w:rPr>
            <w:rStyle w:val="Hyperlink"/>
            <w:rFonts w:ascii="Arial" w:eastAsia="Times New Roman" w:hAnsi="Arial" w:cs="Arial"/>
            <w:sz w:val="16"/>
            <w:szCs w:val="16"/>
          </w:rPr>
          <w:t>amichaelides@smmt.co.uk</w:t>
        </w:r>
      </w:hyperlink>
    </w:p>
    <w:p w:rsidR="006E311A" w:rsidRDefault="006E311A" w:rsidP="00F15094">
      <w:pPr>
        <w:rPr>
          <w:rFonts w:ascii="Arial" w:hAnsi="Arial" w:cs="Arial"/>
          <w:sz w:val="16"/>
          <w:szCs w:val="16"/>
        </w:rPr>
      </w:pPr>
      <w:r>
        <w:rPr>
          <w:rFonts w:ascii="Arial" w:eastAsia="Times New Roman" w:hAnsi="Arial" w:cs="Arial"/>
          <w:color w:val="1074CB"/>
          <w:sz w:val="16"/>
          <w:szCs w:val="16"/>
        </w:rPr>
        <w:t>Emma Butcher</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020 7344 9263</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15" w:history="1">
        <w:r w:rsidRPr="001606DB">
          <w:rPr>
            <w:rStyle w:val="Hyperlink"/>
            <w:rFonts w:ascii="Arial" w:eastAsia="Times New Roman" w:hAnsi="Arial" w:cs="Arial"/>
            <w:sz w:val="16"/>
            <w:szCs w:val="16"/>
          </w:rPr>
          <w:t>ebutcher@smmt.co.uk</w:t>
        </w:r>
      </w:hyperlink>
    </w:p>
    <w:sectPr w:rsidR="006E311A" w:rsidSect="00911A14">
      <w:headerReference w:type="default" r:id="rId16"/>
      <w:pgSz w:w="11906" w:h="16838"/>
      <w:pgMar w:top="1440" w:right="1134" w:bottom="567"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073" w:rsidRDefault="00BC2073" w:rsidP="00C80E70">
      <w:r>
        <w:separator/>
      </w:r>
    </w:p>
  </w:endnote>
  <w:endnote w:type="continuationSeparator" w:id="0">
    <w:p w:rsidR="00BC2073" w:rsidRDefault="00BC2073"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073" w:rsidRDefault="00BC2073" w:rsidP="00C80E70">
      <w:r>
        <w:separator/>
      </w:r>
    </w:p>
  </w:footnote>
  <w:footnote w:type="continuationSeparator" w:id="0">
    <w:p w:rsidR="00BC2073" w:rsidRDefault="00BC2073"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073" w:rsidRDefault="00BC2073"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FBD"/>
    <w:multiLevelType w:val="hybridMultilevel"/>
    <w:tmpl w:val="A05EB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B86563"/>
    <w:multiLevelType w:val="hybridMultilevel"/>
    <w:tmpl w:val="ACA85D38"/>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 w:numId="4">
    <w:abstractNumId w:val="0"/>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rsids>
    <w:rsidRoot w:val="00C80E70"/>
    <w:rsid w:val="00000EA7"/>
    <w:rsid w:val="00002F84"/>
    <w:rsid w:val="0000491C"/>
    <w:rsid w:val="00006B7F"/>
    <w:rsid w:val="000109D8"/>
    <w:rsid w:val="00031DB4"/>
    <w:rsid w:val="00046A50"/>
    <w:rsid w:val="00066F55"/>
    <w:rsid w:val="000A4DE9"/>
    <w:rsid w:val="000A5DC2"/>
    <w:rsid w:val="000B47D6"/>
    <w:rsid w:val="000C0CE4"/>
    <w:rsid w:val="000D1505"/>
    <w:rsid w:val="000D245D"/>
    <w:rsid w:val="00100F35"/>
    <w:rsid w:val="00102817"/>
    <w:rsid w:val="00104853"/>
    <w:rsid w:val="001072EC"/>
    <w:rsid w:val="00107861"/>
    <w:rsid w:val="00111C19"/>
    <w:rsid w:val="00116498"/>
    <w:rsid w:val="00116666"/>
    <w:rsid w:val="00133B87"/>
    <w:rsid w:val="00143CC9"/>
    <w:rsid w:val="00153740"/>
    <w:rsid w:val="00156CB8"/>
    <w:rsid w:val="00157C8D"/>
    <w:rsid w:val="00161C0A"/>
    <w:rsid w:val="00166121"/>
    <w:rsid w:val="00170111"/>
    <w:rsid w:val="00170EFD"/>
    <w:rsid w:val="001737CD"/>
    <w:rsid w:val="001815A7"/>
    <w:rsid w:val="001854E1"/>
    <w:rsid w:val="00190332"/>
    <w:rsid w:val="00192CE4"/>
    <w:rsid w:val="00192FBC"/>
    <w:rsid w:val="001A67B5"/>
    <w:rsid w:val="001A77A6"/>
    <w:rsid w:val="001B1AA6"/>
    <w:rsid w:val="001C171F"/>
    <w:rsid w:val="001C389E"/>
    <w:rsid w:val="001C5FB2"/>
    <w:rsid w:val="001D6CB9"/>
    <w:rsid w:val="001D7212"/>
    <w:rsid w:val="001E33CE"/>
    <w:rsid w:val="001E7E3E"/>
    <w:rsid w:val="001F7740"/>
    <w:rsid w:val="00200F65"/>
    <w:rsid w:val="0020649D"/>
    <w:rsid w:val="002161F4"/>
    <w:rsid w:val="0022098B"/>
    <w:rsid w:val="00224DDD"/>
    <w:rsid w:val="00226D70"/>
    <w:rsid w:val="0025075E"/>
    <w:rsid w:val="00252DCB"/>
    <w:rsid w:val="00264687"/>
    <w:rsid w:val="00266A9A"/>
    <w:rsid w:val="00286B24"/>
    <w:rsid w:val="0028787F"/>
    <w:rsid w:val="002933CF"/>
    <w:rsid w:val="002A246E"/>
    <w:rsid w:val="002A5934"/>
    <w:rsid w:val="002B3FAF"/>
    <w:rsid w:val="002B4F7D"/>
    <w:rsid w:val="002C7321"/>
    <w:rsid w:val="002D0197"/>
    <w:rsid w:val="002E4A51"/>
    <w:rsid w:val="002E5457"/>
    <w:rsid w:val="002E6A7B"/>
    <w:rsid w:val="002F673C"/>
    <w:rsid w:val="003050BA"/>
    <w:rsid w:val="00312C44"/>
    <w:rsid w:val="00320C83"/>
    <w:rsid w:val="00345B59"/>
    <w:rsid w:val="003552CF"/>
    <w:rsid w:val="00356443"/>
    <w:rsid w:val="00371917"/>
    <w:rsid w:val="00375DF8"/>
    <w:rsid w:val="00377406"/>
    <w:rsid w:val="003A01D6"/>
    <w:rsid w:val="003A2548"/>
    <w:rsid w:val="003A645F"/>
    <w:rsid w:val="003B1C39"/>
    <w:rsid w:val="003C684D"/>
    <w:rsid w:val="003D08D1"/>
    <w:rsid w:val="003D5FBD"/>
    <w:rsid w:val="003D6FB9"/>
    <w:rsid w:val="003E23BE"/>
    <w:rsid w:val="003E423F"/>
    <w:rsid w:val="003E53DB"/>
    <w:rsid w:val="003E69D3"/>
    <w:rsid w:val="003E784C"/>
    <w:rsid w:val="004002C5"/>
    <w:rsid w:val="00410539"/>
    <w:rsid w:val="0043010A"/>
    <w:rsid w:val="004319DB"/>
    <w:rsid w:val="00443FDD"/>
    <w:rsid w:val="00447CDA"/>
    <w:rsid w:val="00456EBB"/>
    <w:rsid w:val="00465C9D"/>
    <w:rsid w:val="00467D20"/>
    <w:rsid w:val="00477E03"/>
    <w:rsid w:val="00482D22"/>
    <w:rsid w:val="00483A6D"/>
    <w:rsid w:val="0048607B"/>
    <w:rsid w:val="00486897"/>
    <w:rsid w:val="004919AF"/>
    <w:rsid w:val="00493B48"/>
    <w:rsid w:val="00494E5E"/>
    <w:rsid w:val="00495611"/>
    <w:rsid w:val="004B0132"/>
    <w:rsid w:val="004B727E"/>
    <w:rsid w:val="004C0CA5"/>
    <w:rsid w:val="004C6507"/>
    <w:rsid w:val="004D6A8A"/>
    <w:rsid w:val="004E239F"/>
    <w:rsid w:val="004E48D4"/>
    <w:rsid w:val="004F195D"/>
    <w:rsid w:val="00505C8C"/>
    <w:rsid w:val="005218AC"/>
    <w:rsid w:val="00525D1A"/>
    <w:rsid w:val="00534F79"/>
    <w:rsid w:val="005407A6"/>
    <w:rsid w:val="00542422"/>
    <w:rsid w:val="0055683E"/>
    <w:rsid w:val="005709F5"/>
    <w:rsid w:val="005733CD"/>
    <w:rsid w:val="00577A32"/>
    <w:rsid w:val="005830EF"/>
    <w:rsid w:val="00583B9B"/>
    <w:rsid w:val="00583E20"/>
    <w:rsid w:val="00585DB0"/>
    <w:rsid w:val="005A0ACF"/>
    <w:rsid w:val="005A69CE"/>
    <w:rsid w:val="005B33EF"/>
    <w:rsid w:val="005B536B"/>
    <w:rsid w:val="005C023B"/>
    <w:rsid w:val="005C4BC2"/>
    <w:rsid w:val="005C668F"/>
    <w:rsid w:val="005C7E78"/>
    <w:rsid w:val="005D34F5"/>
    <w:rsid w:val="005E0768"/>
    <w:rsid w:val="005E2C9D"/>
    <w:rsid w:val="005F44DC"/>
    <w:rsid w:val="005F7C94"/>
    <w:rsid w:val="0060762E"/>
    <w:rsid w:val="00616CD2"/>
    <w:rsid w:val="006315A6"/>
    <w:rsid w:val="00634006"/>
    <w:rsid w:val="006374F4"/>
    <w:rsid w:val="006523B5"/>
    <w:rsid w:val="006623D6"/>
    <w:rsid w:val="00662FB8"/>
    <w:rsid w:val="006639EF"/>
    <w:rsid w:val="0066425C"/>
    <w:rsid w:val="00672A24"/>
    <w:rsid w:val="00677059"/>
    <w:rsid w:val="00681ACD"/>
    <w:rsid w:val="00686576"/>
    <w:rsid w:val="006A0B4F"/>
    <w:rsid w:val="006B47DA"/>
    <w:rsid w:val="006B4C72"/>
    <w:rsid w:val="006B5968"/>
    <w:rsid w:val="006B5D2C"/>
    <w:rsid w:val="006B65B6"/>
    <w:rsid w:val="006B7F8A"/>
    <w:rsid w:val="006D458E"/>
    <w:rsid w:val="006D538E"/>
    <w:rsid w:val="006E2AC9"/>
    <w:rsid w:val="006E311A"/>
    <w:rsid w:val="006E4BD9"/>
    <w:rsid w:val="006E534D"/>
    <w:rsid w:val="006E5BF9"/>
    <w:rsid w:val="00707D9A"/>
    <w:rsid w:val="0071028F"/>
    <w:rsid w:val="00714EF7"/>
    <w:rsid w:val="0073709A"/>
    <w:rsid w:val="00741A8B"/>
    <w:rsid w:val="00742FA5"/>
    <w:rsid w:val="007433FE"/>
    <w:rsid w:val="00761183"/>
    <w:rsid w:val="007679BE"/>
    <w:rsid w:val="0077274C"/>
    <w:rsid w:val="007736AF"/>
    <w:rsid w:val="00777E82"/>
    <w:rsid w:val="00780569"/>
    <w:rsid w:val="00783D6D"/>
    <w:rsid w:val="007851A1"/>
    <w:rsid w:val="00787B6E"/>
    <w:rsid w:val="00791C3D"/>
    <w:rsid w:val="007951F0"/>
    <w:rsid w:val="0079765E"/>
    <w:rsid w:val="007A0020"/>
    <w:rsid w:val="007A3F55"/>
    <w:rsid w:val="007A7B05"/>
    <w:rsid w:val="007B20DF"/>
    <w:rsid w:val="007B7669"/>
    <w:rsid w:val="007D2D63"/>
    <w:rsid w:val="007D31B3"/>
    <w:rsid w:val="007D4EAB"/>
    <w:rsid w:val="007E3B55"/>
    <w:rsid w:val="007F10B4"/>
    <w:rsid w:val="007F73B4"/>
    <w:rsid w:val="008030A3"/>
    <w:rsid w:val="00804C47"/>
    <w:rsid w:val="00806662"/>
    <w:rsid w:val="00806C8E"/>
    <w:rsid w:val="008152E4"/>
    <w:rsid w:val="00835F96"/>
    <w:rsid w:val="00836331"/>
    <w:rsid w:val="008372BE"/>
    <w:rsid w:val="00853B7F"/>
    <w:rsid w:val="00853E71"/>
    <w:rsid w:val="00854403"/>
    <w:rsid w:val="00856BDA"/>
    <w:rsid w:val="008605FE"/>
    <w:rsid w:val="00861E9C"/>
    <w:rsid w:val="0086619E"/>
    <w:rsid w:val="00866A2F"/>
    <w:rsid w:val="008716AA"/>
    <w:rsid w:val="00871FF2"/>
    <w:rsid w:val="00875A4A"/>
    <w:rsid w:val="008A166C"/>
    <w:rsid w:val="008B04AD"/>
    <w:rsid w:val="008B287D"/>
    <w:rsid w:val="008B39A0"/>
    <w:rsid w:val="008B46EA"/>
    <w:rsid w:val="008B50CB"/>
    <w:rsid w:val="008B5B80"/>
    <w:rsid w:val="008C49F7"/>
    <w:rsid w:val="008D4D5C"/>
    <w:rsid w:val="008E4462"/>
    <w:rsid w:val="008E7A24"/>
    <w:rsid w:val="008F126A"/>
    <w:rsid w:val="008F17E6"/>
    <w:rsid w:val="008F40B8"/>
    <w:rsid w:val="008F4D92"/>
    <w:rsid w:val="008F55A4"/>
    <w:rsid w:val="0091033F"/>
    <w:rsid w:val="00911A14"/>
    <w:rsid w:val="00924274"/>
    <w:rsid w:val="00931C26"/>
    <w:rsid w:val="009524D1"/>
    <w:rsid w:val="009529B3"/>
    <w:rsid w:val="00957143"/>
    <w:rsid w:val="00962067"/>
    <w:rsid w:val="00963663"/>
    <w:rsid w:val="00964455"/>
    <w:rsid w:val="0097483C"/>
    <w:rsid w:val="00981DD8"/>
    <w:rsid w:val="00983575"/>
    <w:rsid w:val="009A00FC"/>
    <w:rsid w:val="009B01D2"/>
    <w:rsid w:val="009C2F5C"/>
    <w:rsid w:val="009C6875"/>
    <w:rsid w:val="009C74E7"/>
    <w:rsid w:val="009D58F5"/>
    <w:rsid w:val="009D6484"/>
    <w:rsid w:val="009E6768"/>
    <w:rsid w:val="009E79A4"/>
    <w:rsid w:val="009F1E13"/>
    <w:rsid w:val="009F47F6"/>
    <w:rsid w:val="009F480D"/>
    <w:rsid w:val="009F5D30"/>
    <w:rsid w:val="00A11D46"/>
    <w:rsid w:val="00A2060E"/>
    <w:rsid w:val="00A24874"/>
    <w:rsid w:val="00A25078"/>
    <w:rsid w:val="00A32987"/>
    <w:rsid w:val="00A34428"/>
    <w:rsid w:val="00A46B80"/>
    <w:rsid w:val="00A46C94"/>
    <w:rsid w:val="00A65EDE"/>
    <w:rsid w:val="00A67F90"/>
    <w:rsid w:val="00A77124"/>
    <w:rsid w:val="00A773DB"/>
    <w:rsid w:val="00A85A7A"/>
    <w:rsid w:val="00A86E0E"/>
    <w:rsid w:val="00A92CB7"/>
    <w:rsid w:val="00A93DE9"/>
    <w:rsid w:val="00A94474"/>
    <w:rsid w:val="00A94C58"/>
    <w:rsid w:val="00A97A7E"/>
    <w:rsid w:val="00AA048C"/>
    <w:rsid w:val="00AA1402"/>
    <w:rsid w:val="00AA2084"/>
    <w:rsid w:val="00AA432C"/>
    <w:rsid w:val="00AB33BB"/>
    <w:rsid w:val="00AC363D"/>
    <w:rsid w:val="00AC476D"/>
    <w:rsid w:val="00AC641E"/>
    <w:rsid w:val="00AE21CA"/>
    <w:rsid w:val="00AE3831"/>
    <w:rsid w:val="00AF5209"/>
    <w:rsid w:val="00AF7D70"/>
    <w:rsid w:val="00B02E7D"/>
    <w:rsid w:val="00B062C8"/>
    <w:rsid w:val="00B228C1"/>
    <w:rsid w:val="00B36DF8"/>
    <w:rsid w:val="00B40BAA"/>
    <w:rsid w:val="00B52EB2"/>
    <w:rsid w:val="00B60D2C"/>
    <w:rsid w:val="00B67EBD"/>
    <w:rsid w:val="00B8295C"/>
    <w:rsid w:val="00BA570F"/>
    <w:rsid w:val="00BA64BD"/>
    <w:rsid w:val="00BB2704"/>
    <w:rsid w:val="00BC2073"/>
    <w:rsid w:val="00BC48CA"/>
    <w:rsid w:val="00BC5083"/>
    <w:rsid w:val="00BC7B6B"/>
    <w:rsid w:val="00BD12B0"/>
    <w:rsid w:val="00BE5BD9"/>
    <w:rsid w:val="00BF0D4C"/>
    <w:rsid w:val="00BF0E2C"/>
    <w:rsid w:val="00BF4C94"/>
    <w:rsid w:val="00C07099"/>
    <w:rsid w:val="00C13462"/>
    <w:rsid w:val="00C23320"/>
    <w:rsid w:val="00C51D6F"/>
    <w:rsid w:val="00C657AB"/>
    <w:rsid w:val="00C73F08"/>
    <w:rsid w:val="00C75DBA"/>
    <w:rsid w:val="00C802D4"/>
    <w:rsid w:val="00C80E70"/>
    <w:rsid w:val="00C81B6C"/>
    <w:rsid w:val="00C84572"/>
    <w:rsid w:val="00CA3369"/>
    <w:rsid w:val="00CD1B9E"/>
    <w:rsid w:val="00CD2B5F"/>
    <w:rsid w:val="00CE21EA"/>
    <w:rsid w:val="00CE230C"/>
    <w:rsid w:val="00CE3518"/>
    <w:rsid w:val="00CF0876"/>
    <w:rsid w:val="00D10336"/>
    <w:rsid w:val="00D16FB8"/>
    <w:rsid w:val="00D215AE"/>
    <w:rsid w:val="00D27995"/>
    <w:rsid w:val="00D446D8"/>
    <w:rsid w:val="00D55AD9"/>
    <w:rsid w:val="00D561FB"/>
    <w:rsid w:val="00D6067E"/>
    <w:rsid w:val="00D6336B"/>
    <w:rsid w:val="00D750C6"/>
    <w:rsid w:val="00D80BA0"/>
    <w:rsid w:val="00D86627"/>
    <w:rsid w:val="00D911A4"/>
    <w:rsid w:val="00D92B21"/>
    <w:rsid w:val="00D9331D"/>
    <w:rsid w:val="00DA01A2"/>
    <w:rsid w:val="00DA7240"/>
    <w:rsid w:val="00DA726D"/>
    <w:rsid w:val="00DB3768"/>
    <w:rsid w:val="00DB4704"/>
    <w:rsid w:val="00DC45C1"/>
    <w:rsid w:val="00DD0C07"/>
    <w:rsid w:val="00DD26FB"/>
    <w:rsid w:val="00DD3689"/>
    <w:rsid w:val="00DD5AF0"/>
    <w:rsid w:val="00DE5D6C"/>
    <w:rsid w:val="00DF19D9"/>
    <w:rsid w:val="00DF5C28"/>
    <w:rsid w:val="00DF7D29"/>
    <w:rsid w:val="00E03CCD"/>
    <w:rsid w:val="00E07249"/>
    <w:rsid w:val="00E166AD"/>
    <w:rsid w:val="00E270BD"/>
    <w:rsid w:val="00E3007C"/>
    <w:rsid w:val="00E343D2"/>
    <w:rsid w:val="00E45A7A"/>
    <w:rsid w:val="00E60BCB"/>
    <w:rsid w:val="00E61191"/>
    <w:rsid w:val="00E63248"/>
    <w:rsid w:val="00E634A1"/>
    <w:rsid w:val="00E67C34"/>
    <w:rsid w:val="00E93BC7"/>
    <w:rsid w:val="00EA2295"/>
    <w:rsid w:val="00EA5064"/>
    <w:rsid w:val="00EB2457"/>
    <w:rsid w:val="00EB2FB8"/>
    <w:rsid w:val="00EB5924"/>
    <w:rsid w:val="00EB5EA2"/>
    <w:rsid w:val="00EC65AF"/>
    <w:rsid w:val="00ED05CB"/>
    <w:rsid w:val="00EE3781"/>
    <w:rsid w:val="00EF35D8"/>
    <w:rsid w:val="00EF5953"/>
    <w:rsid w:val="00F01A98"/>
    <w:rsid w:val="00F15094"/>
    <w:rsid w:val="00F205F0"/>
    <w:rsid w:val="00F24827"/>
    <w:rsid w:val="00F43472"/>
    <w:rsid w:val="00F50743"/>
    <w:rsid w:val="00F72297"/>
    <w:rsid w:val="00F73D70"/>
    <w:rsid w:val="00F83C9A"/>
    <w:rsid w:val="00F850C5"/>
    <w:rsid w:val="00F85A76"/>
    <w:rsid w:val="00F93D34"/>
    <w:rsid w:val="00FC14BC"/>
    <w:rsid w:val="00FE5416"/>
    <w:rsid w:val="00FF63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s>
</file>

<file path=word/webSettings.xml><?xml version="1.0" encoding="utf-8"?>
<w:webSettings xmlns:r="http://schemas.openxmlformats.org/officeDocument/2006/relationships" xmlns:w="http://schemas.openxmlformats.org/wordprocessingml/2006/main">
  <w:divs>
    <w:div w:id="12461639">
      <w:bodyDiv w:val="1"/>
      <w:marLeft w:val="0"/>
      <w:marRight w:val="0"/>
      <w:marTop w:val="0"/>
      <w:marBottom w:val="0"/>
      <w:divBdr>
        <w:top w:val="none" w:sz="0" w:space="0" w:color="auto"/>
        <w:left w:val="none" w:sz="0" w:space="0" w:color="auto"/>
        <w:bottom w:val="none" w:sz="0" w:space="0" w:color="auto"/>
        <w:right w:val="none" w:sz="0" w:space="0" w:color="auto"/>
      </w:divBdr>
    </w:div>
    <w:div w:id="209607903">
      <w:bodyDiv w:val="1"/>
      <w:marLeft w:val="0"/>
      <w:marRight w:val="0"/>
      <w:marTop w:val="0"/>
      <w:marBottom w:val="0"/>
      <w:divBdr>
        <w:top w:val="none" w:sz="0" w:space="0" w:color="auto"/>
        <w:left w:val="none" w:sz="0" w:space="0" w:color="auto"/>
        <w:bottom w:val="none" w:sz="0" w:space="0" w:color="auto"/>
        <w:right w:val="none" w:sz="0" w:space="0" w:color="auto"/>
      </w:divBdr>
    </w:div>
    <w:div w:id="225383920">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574782068">
      <w:bodyDiv w:val="1"/>
      <w:marLeft w:val="0"/>
      <w:marRight w:val="0"/>
      <w:marTop w:val="0"/>
      <w:marBottom w:val="0"/>
      <w:divBdr>
        <w:top w:val="none" w:sz="0" w:space="0" w:color="auto"/>
        <w:left w:val="none" w:sz="0" w:space="0" w:color="auto"/>
        <w:bottom w:val="none" w:sz="0" w:space="0" w:color="auto"/>
        <w:right w:val="none" w:sz="0" w:space="0" w:color="auto"/>
      </w:divBdr>
    </w:div>
    <w:div w:id="597326607">
      <w:bodyDiv w:val="1"/>
      <w:marLeft w:val="0"/>
      <w:marRight w:val="0"/>
      <w:marTop w:val="0"/>
      <w:marBottom w:val="0"/>
      <w:divBdr>
        <w:top w:val="none" w:sz="0" w:space="0" w:color="auto"/>
        <w:left w:val="none" w:sz="0" w:space="0" w:color="auto"/>
        <w:bottom w:val="none" w:sz="0" w:space="0" w:color="auto"/>
        <w:right w:val="none" w:sz="0" w:space="0" w:color="auto"/>
      </w:divBdr>
    </w:div>
    <w:div w:id="600720820">
      <w:bodyDiv w:val="1"/>
      <w:marLeft w:val="0"/>
      <w:marRight w:val="0"/>
      <w:marTop w:val="0"/>
      <w:marBottom w:val="0"/>
      <w:divBdr>
        <w:top w:val="none" w:sz="0" w:space="0" w:color="auto"/>
        <w:left w:val="none" w:sz="0" w:space="0" w:color="auto"/>
        <w:bottom w:val="none" w:sz="0" w:space="0" w:color="auto"/>
        <w:right w:val="none" w:sz="0" w:space="0" w:color="auto"/>
      </w:divBdr>
    </w:div>
    <w:div w:id="661200121">
      <w:bodyDiv w:val="1"/>
      <w:marLeft w:val="0"/>
      <w:marRight w:val="0"/>
      <w:marTop w:val="0"/>
      <w:marBottom w:val="0"/>
      <w:divBdr>
        <w:top w:val="none" w:sz="0" w:space="0" w:color="auto"/>
        <w:left w:val="none" w:sz="0" w:space="0" w:color="auto"/>
        <w:bottom w:val="none" w:sz="0" w:space="0" w:color="auto"/>
        <w:right w:val="none" w:sz="0" w:space="0" w:color="auto"/>
      </w:divBdr>
    </w:div>
    <w:div w:id="699282821">
      <w:bodyDiv w:val="1"/>
      <w:marLeft w:val="0"/>
      <w:marRight w:val="0"/>
      <w:marTop w:val="0"/>
      <w:marBottom w:val="0"/>
      <w:divBdr>
        <w:top w:val="none" w:sz="0" w:space="0" w:color="auto"/>
        <w:left w:val="none" w:sz="0" w:space="0" w:color="auto"/>
        <w:bottom w:val="none" w:sz="0" w:space="0" w:color="auto"/>
        <w:right w:val="none" w:sz="0" w:space="0" w:color="auto"/>
      </w:divBdr>
    </w:div>
    <w:div w:id="720903926">
      <w:bodyDiv w:val="1"/>
      <w:marLeft w:val="0"/>
      <w:marRight w:val="0"/>
      <w:marTop w:val="0"/>
      <w:marBottom w:val="0"/>
      <w:divBdr>
        <w:top w:val="none" w:sz="0" w:space="0" w:color="auto"/>
        <w:left w:val="none" w:sz="0" w:space="0" w:color="auto"/>
        <w:bottom w:val="none" w:sz="0" w:space="0" w:color="auto"/>
        <w:right w:val="none" w:sz="0" w:space="0" w:color="auto"/>
      </w:divBdr>
    </w:div>
    <w:div w:id="928734953">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86937993">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18945384">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825396259">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1916696119">
      <w:bodyDiv w:val="1"/>
      <w:marLeft w:val="0"/>
      <w:marRight w:val="0"/>
      <w:marTop w:val="0"/>
      <w:marBottom w:val="0"/>
      <w:divBdr>
        <w:top w:val="none" w:sz="0" w:space="0" w:color="auto"/>
        <w:left w:val="none" w:sz="0" w:space="0" w:color="auto"/>
        <w:bottom w:val="none" w:sz="0" w:space="0" w:color="auto"/>
        <w:right w:val="none" w:sz="0" w:space="0" w:color="auto"/>
      </w:divBdr>
    </w:div>
    <w:div w:id="1999965223">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mailto:bfoulds@smmt.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mmt.co.uk/facts1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mailto:ebutcher@smmt.co.uk" TargetMode="External"/><Relationship Id="rId10" Type="http://schemas.openxmlformats.org/officeDocument/2006/relationships/chart" Target="charts/chart3.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mailto:amichaelides@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fouldb\AppData\Local\Microsoft\Windows\Temporary%20Internet%20Files\Content.Outlook\B1SPV85H\Dec%2014%20Pr%20Charts%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fouldb\AppData\Local\Microsoft\Windows\Temporary%20Internet%20Files\Content.Outlook\B1SPV85H\Dec%2014%20Pr%20Charts%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fouldb\AppData\Local\Microsoft\Windows\Temporary%20Internet%20Files\Content.Outlook\B1SPV85H\Dec%2014%20Pr%20Charts%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fouldb\AppData\Local\Microsoft\Windows\Temporary%20Internet%20Files\Content.Outlook\B1SPV85H\Dec%2014%20Pr%20Charts%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8.6512917710811182E-2"/>
          <c:y val="6.3815340839404419E-2"/>
          <c:w val="0.86360508652088985"/>
          <c:h val="0.8175759805725219"/>
        </c:manualLayout>
      </c:layout>
      <c:barChart>
        <c:barDir val="col"/>
        <c:grouping val="clustered"/>
        <c:ser>
          <c:idx val="0"/>
          <c:order val="0"/>
          <c:tx>
            <c:strRef>
              <c:f>CARS!$C$3</c:f>
              <c:strCache>
                <c:ptCount val="1"/>
                <c:pt idx="0">
                  <c:v>Volume</c:v>
                </c:pt>
              </c:strCache>
            </c:strRef>
          </c:tx>
          <c:spPr>
            <a:solidFill>
              <a:srgbClr val="1074CB"/>
            </a:solidFill>
            <a:ln>
              <a:noFill/>
            </a:ln>
          </c:spPr>
          <c:dPt>
            <c:idx val="0"/>
            <c:spPr>
              <a:solidFill>
                <a:srgbClr val="FF9518"/>
              </a:solidFill>
              <a:ln>
                <a:noFill/>
              </a:ln>
            </c:spPr>
          </c:dPt>
          <c:dPt>
            <c:idx val="1"/>
            <c:spPr>
              <a:solidFill>
                <a:srgbClr val="0D2255"/>
              </a:solidFill>
              <a:ln>
                <a:noFill/>
              </a:ln>
            </c:spPr>
          </c:dPt>
          <c:dPt>
            <c:idx val="2"/>
            <c:spPr>
              <a:solidFill>
                <a:srgbClr val="0D2255"/>
              </a:solidFill>
              <a:ln>
                <a:noFill/>
              </a:ln>
            </c:spPr>
          </c:dPt>
          <c:dPt>
            <c:idx val="3"/>
            <c:spPr>
              <a:solidFill>
                <a:srgbClr val="0D2255"/>
              </a:solidFill>
              <a:ln>
                <a:noFill/>
              </a:ln>
            </c:spPr>
          </c:dPt>
          <c:dPt>
            <c:idx val="4"/>
            <c:spPr>
              <a:solidFill>
                <a:srgbClr val="0D2255"/>
              </a:solidFill>
              <a:ln>
                <a:noFill/>
              </a:ln>
            </c:spPr>
          </c:dPt>
          <c:cat>
            <c:numRef>
              <c:f>CARS!$B$4:$B$9</c:f>
              <c:numCache>
                <c:formatCode>General</c:formatCode>
                <c:ptCount val="6"/>
                <c:pt idx="0">
                  <c:v>1972</c:v>
                </c:pt>
                <c:pt idx="1">
                  <c:v>2007</c:v>
                </c:pt>
                <c:pt idx="2">
                  <c:v>2009</c:v>
                </c:pt>
                <c:pt idx="3">
                  <c:v>2012</c:v>
                </c:pt>
                <c:pt idx="4">
                  <c:v>2013</c:v>
                </c:pt>
                <c:pt idx="5">
                  <c:v>2014</c:v>
                </c:pt>
              </c:numCache>
            </c:numRef>
          </c:cat>
          <c:val>
            <c:numRef>
              <c:f>CARS!$C$4:$C$9</c:f>
              <c:numCache>
                <c:formatCode>General</c:formatCode>
                <c:ptCount val="6"/>
                <c:pt idx="0">
                  <c:v>1921311</c:v>
                </c:pt>
                <c:pt idx="1">
                  <c:v>1534567</c:v>
                </c:pt>
                <c:pt idx="2">
                  <c:v>999460</c:v>
                </c:pt>
                <c:pt idx="3">
                  <c:v>1464906</c:v>
                </c:pt>
                <c:pt idx="4">
                  <c:v>1509762</c:v>
                </c:pt>
                <c:pt idx="5">
                  <c:v>1528148</c:v>
                </c:pt>
              </c:numCache>
            </c:numRef>
          </c:val>
        </c:ser>
        <c:axId val="55819264"/>
        <c:axId val="56299904"/>
      </c:barChart>
      <c:catAx>
        <c:axId val="55819264"/>
        <c:scaling>
          <c:orientation val="minMax"/>
        </c:scaling>
        <c:axPos val="b"/>
        <c:numFmt formatCode="General" sourceLinked="1"/>
        <c:tickLblPos val="nextTo"/>
        <c:txPr>
          <a:bodyPr/>
          <a:lstStyle/>
          <a:p>
            <a:pPr>
              <a:defRPr>
                <a:solidFill>
                  <a:srgbClr val="0D2255"/>
                </a:solidFill>
              </a:defRPr>
            </a:pPr>
            <a:endParaRPr lang="en-US"/>
          </a:p>
        </c:txPr>
        <c:crossAx val="56299904"/>
        <c:crosses val="autoZero"/>
        <c:auto val="1"/>
        <c:lblAlgn val="ctr"/>
        <c:lblOffset val="100"/>
      </c:catAx>
      <c:valAx>
        <c:axId val="56299904"/>
        <c:scaling>
          <c:orientation val="minMax"/>
          <c:max val="2000000"/>
        </c:scaling>
        <c:axPos val="l"/>
        <c:majorGridlines/>
        <c:numFmt formatCode="General" sourceLinked="1"/>
        <c:tickLblPos val="nextTo"/>
        <c:txPr>
          <a:bodyPr/>
          <a:lstStyle/>
          <a:p>
            <a:pPr>
              <a:defRPr>
                <a:solidFill>
                  <a:srgbClr val="0D2255"/>
                </a:solidFill>
              </a:defRPr>
            </a:pPr>
            <a:endParaRPr lang="en-US"/>
          </a:p>
        </c:txPr>
        <c:crossAx val="55819264"/>
        <c:crosses val="autoZero"/>
        <c:crossBetween val="between"/>
        <c:majorUnit val="500000"/>
        <c:dispUnits>
          <c:builtInUnit val="millions"/>
          <c:dispUnitsLbl>
            <c:layout>
              <c:manualLayout>
                <c:xMode val="edge"/>
                <c:yMode val="edge"/>
                <c:x val="1.1733333333333335E-2"/>
                <c:y val="0.35500519982172041"/>
              </c:manualLayout>
            </c:layout>
            <c:tx>
              <c:rich>
                <a:bodyPr/>
                <a:lstStyle/>
                <a:p>
                  <a:pPr>
                    <a:defRPr i="1"/>
                  </a:pPr>
                  <a:r>
                    <a:rPr lang="en-GB" i="1">
                      <a:solidFill>
                        <a:srgbClr val="0D2255"/>
                      </a:solidFill>
                    </a:rPr>
                    <a:t>Millions</a:t>
                  </a:r>
                </a:p>
              </c:rich>
            </c:tx>
          </c:dispUnitsLbl>
        </c:dispUnits>
      </c:valAx>
    </c:plotArea>
    <c:plotVisOnly val="1"/>
  </c:chart>
  <c:spPr>
    <a:ln>
      <a:noFill/>
    </a:ln>
  </c:spPr>
  <c:txPr>
    <a:bodyPr/>
    <a:lstStyle/>
    <a:p>
      <a:pPr>
        <a:defRPr>
          <a:latin typeface="Arial" pitchFamily="34" charset="0"/>
          <a:cs typeface="Arial" pitchFamily="34"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200">
                <a:solidFill>
                  <a:srgbClr val="1074CB"/>
                </a:solidFill>
              </a:defRPr>
            </a:pPr>
            <a:r>
              <a:rPr lang="en-US">
                <a:solidFill>
                  <a:srgbClr val="0D2255"/>
                </a:solidFill>
              </a:rPr>
              <a:t>2007</a:t>
            </a:r>
          </a:p>
        </c:rich>
      </c:tx>
      <c:layout>
        <c:manualLayout>
          <c:xMode val="edge"/>
          <c:yMode val="edge"/>
          <c:x val="0.31938895650661986"/>
          <c:y val="2.2435785270430952E-2"/>
        </c:manualLayout>
      </c:layout>
    </c:title>
    <c:plotArea>
      <c:layout>
        <c:manualLayout>
          <c:layoutTarget val="inner"/>
          <c:xMode val="edge"/>
          <c:yMode val="edge"/>
          <c:x val="6.3532670661065313E-2"/>
          <c:y val="0.15134966260705301"/>
          <c:w val="0.66839634841563167"/>
          <c:h val="0.79328701559363901"/>
        </c:manualLayout>
      </c:layout>
      <c:pieChart>
        <c:varyColors val="1"/>
        <c:ser>
          <c:idx val="0"/>
          <c:order val="0"/>
          <c:tx>
            <c:strRef>
              <c:f>CARS!$G$28</c:f>
              <c:strCache>
                <c:ptCount val="1"/>
                <c:pt idx="0">
                  <c:v>2007</c:v>
                </c:pt>
              </c:strCache>
            </c:strRef>
          </c:tx>
          <c:spPr>
            <a:ln>
              <a:solidFill>
                <a:sysClr val="windowText" lastClr="000000"/>
              </a:solidFill>
            </a:ln>
          </c:spPr>
          <c:dPt>
            <c:idx val="0"/>
            <c:spPr>
              <a:solidFill>
                <a:srgbClr val="0D2255"/>
              </a:solidFill>
              <a:ln>
                <a:solidFill>
                  <a:sysClr val="windowText" lastClr="000000"/>
                </a:solidFill>
              </a:ln>
            </c:spPr>
          </c:dPt>
          <c:dPt>
            <c:idx val="1"/>
            <c:spPr>
              <a:solidFill>
                <a:srgbClr val="00BECF"/>
              </a:solidFill>
              <a:ln>
                <a:solidFill>
                  <a:sysClr val="windowText" lastClr="000000"/>
                </a:solidFill>
              </a:ln>
            </c:spPr>
          </c:dPt>
          <c:dPt>
            <c:idx val="2"/>
            <c:spPr>
              <a:solidFill>
                <a:srgbClr val="E4124A"/>
              </a:solidFill>
              <a:ln>
                <a:solidFill>
                  <a:sysClr val="windowText" lastClr="000000"/>
                </a:solidFill>
              </a:ln>
            </c:spPr>
          </c:dPt>
          <c:dPt>
            <c:idx val="3"/>
            <c:spPr>
              <a:solidFill>
                <a:srgbClr val="B5CD1E"/>
              </a:solidFill>
              <a:ln>
                <a:solidFill>
                  <a:sysClr val="windowText" lastClr="000000"/>
                </a:solidFill>
              </a:ln>
            </c:spPr>
          </c:dPt>
          <c:dPt>
            <c:idx val="4"/>
            <c:spPr>
              <a:solidFill>
                <a:srgbClr val="9A9B9D"/>
              </a:solidFill>
              <a:ln>
                <a:solidFill>
                  <a:sysClr val="windowText" lastClr="000000"/>
                </a:solidFill>
              </a:ln>
            </c:spPr>
          </c:dPt>
          <c:cat>
            <c:strRef>
              <c:f>CARS!$F$29:$F$33</c:f>
              <c:strCache>
                <c:ptCount val="5"/>
                <c:pt idx="0">
                  <c:v>EU</c:v>
                </c:pt>
                <c:pt idx="1">
                  <c:v>Russia</c:v>
                </c:pt>
                <c:pt idx="2">
                  <c:v>China</c:v>
                </c:pt>
                <c:pt idx="3">
                  <c:v>US</c:v>
                </c:pt>
                <c:pt idx="4">
                  <c:v>Others</c:v>
                </c:pt>
              </c:strCache>
            </c:strRef>
          </c:cat>
          <c:val>
            <c:numRef>
              <c:f>CARS!$G$29:$G$33</c:f>
              <c:numCache>
                <c:formatCode>General</c:formatCode>
                <c:ptCount val="5"/>
                <c:pt idx="0">
                  <c:v>223.41233279680296</c:v>
                </c:pt>
                <c:pt idx="1">
                  <c:v>34.024835130457603</c:v>
                </c:pt>
                <c:pt idx="2">
                  <c:v>4.1330662455155975</c:v>
                </c:pt>
                <c:pt idx="3">
                  <c:v>33.938250238411207</c:v>
                </c:pt>
                <c:pt idx="4">
                  <c:v>64.491515588812661</c:v>
                </c:pt>
              </c:numCache>
            </c:numRef>
          </c:val>
        </c:ser>
        <c:firstSliceAng val="0"/>
      </c:pieChart>
      <c:spPr>
        <a:noFill/>
        <a:ln w="25400">
          <a:noFill/>
        </a:ln>
      </c:spPr>
    </c:plotArea>
    <c:legend>
      <c:legendPos val="r"/>
      <c:layout>
        <c:manualLayout>
          <c:xMode val="edge"/>
          <c:yMode val="edge"/>
          <c:x val="0.76215996331886016"/>
          <c:y val="0.34811060075823858"/>
          <c:w val="0.2172364744729493"/>
          <c:h val="0.39498213764946166"/>
        </c:manualLayout>
      </c:layout>
      <c:txPr>
        <a:bodyPr/>
        <a:lstStyle/>
        <a:p>
          <a:pPr>
            <a:defRPr>
              <a:solidFill>
                <a:srgbClr val="0D2255"/>
              </a:solidFill>
            </a:defRPr>
          </a:pPr>
          <a:endParaRPr lang="en-US"/>
        </a:p>
      </c:txPr>
    </c:legend>
    <c:plotVisOnly val="1"/>
  </c:chart>
  <c:spPr>
    <a:ln>
      <a:noFill/>
    </a:ln>
  </c:spPr>
  <c:txPr>
    <a:bodyPr/>
    <a:lstStyle/>
    <a:p>
      <a:pPr>
        <a:defRPr>
          <a:latin typeface="Arial" pitchFamily="34" charset="0"/>
          <a:cs typeface="Arial" pitchFamily="34"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1100">
                <a:solidFill>
                  <a:srgbClr val="1074CB"/>
                </a:solidFill>
              </a:defRPr>
            </a:pPr>
            <a:r>
              <a:rPr lang="en-US">
                <a:solidFill>
                  <a:srgbClr val="0D2255"/>
                </a:solidFill>
              </a:rPr>
              <a:t>2014 (to Q3)</a:t>
            </a:r>
          </a:p>
        </c:rich>
      </c:tx>
      <c:layout>
        <c:manualLayout>
          <c:xMode val="edge"/>
          <c:yMode val="edge"/>
          <c:x val="0.22906646346626069"/>
          <c:y val="5.0925925925925923E-2"/>
        </c:manualLayout>
      </c:layout>
    </c:title>
    <c:plotArea>
      <c:layout/>
      <c:pieChart>
        <c:varyColors val="1"/>
        <c:ser>
          <c:idx val="0"/>
          <c:order val="0"/>
          <c:tx>
            <c:strRef>
              <c:f>CARS!$H$28</c:f>
              <c:strCache>
                <c:ptCount val="1"/>
                <c:pt idx="0">
                  <c:v>2014 (up to Q3)</c:v>
                </c:pt>
              </c:strCache>
            </c:strRef>
          </c:tx>
          <c:spPr>
            <a:ln>
              <a:solidFill>
                <a:sysClr val="windowText" lastClr="000000"/>
              </a:solidFill>
            </a:ln>
          </c:spPr>
          <c:dPt>
            <c:idx val="0"/>
            <c:spPr>
              <a:solidFill>
                <a:srgbClr val="0D2255"/>
              </a:solidFill>
              <a:ln>
                <a:solidFill>
                  <a:sysClr val="windowText" lastClr="000000"/>
                </a:solidFill>
              </a:ln>
            </c:spPr>
          </c:dPt>
          <c:dPt>
            <c:idx val="1"/>
            <c:spPr>
              <a:solidFill>
                <a:srgbClr val="00BECF"/>
              </a:solidFill>
              <a:ln>
                <a:solidFill>
                  <a:sysClr val="windowText" lastClr="000000"/>
                </a:solidFill>
              </a:ln>
            </c:spPr>
          </c:dPt>
          <c:dPt>
            <c:idx val="2"/>
            <c:spPr>
              <a:solidFill>
                <a:srgbClr val="E4124A"/>
              </a:solidFill>
              <a:ln>
                <a:solidFill>
                  <a:sysClr val="windowText" lastClr="000000"/>
                </a:solidFill>
              </a:ln>
            </c:spPr>
          </c:dPt>
          <c:dPt>
            <c:idx val="3"/>
            <c:spPr>
              <a:solidFill>
                <a:srgbClr val="B5CD1E"/>
              </a:solidFill>
              <a:ln>
                <a:solidFill>
                  <a:sysClr val="windowText" lastClr="000000"/>
                </a:solidFill>
              </a:ln>
            </c:spPr>
          </c:dPt>
          <c:dPt>
            <c:idx val="4"/>
            <c:spPr>
              <a:solidFill>
                <a:srgbClr val="9A9B9D"/>
              </a:solidFill>
              <a:ln>
                <a:solidFill>
                  <a:sysClr val="windowText" lastClr="000000"/>
                </a:solidFill>
              </a:ln>
            </c:spPr>
          </c:dPt>
          <c:cat>
            <c:strRef>
              <c:f>CARS!$F$29:$F$33</c:f>
              <c:strCache>
                <c:ptCount val="5"/>
                <c:pt idx="0">
                  <c:v>EU</c:v>
                </c:pt>
                <c:pt idx="1">
                  <c:v>Russia</c:v>
                </c:pt>
                <c:pt idx="2">
                  <c:v>China</c:v>
                </c:pt>
                <c:pt idx="3">
                  <c:v>US</c:v>
                </c:pt>
                <c:pt idx="4">
                  <c:v>Others</c:v>
                </c:pt>
              </c:strCache>
            </c:strRef>
          </c:cat>
          <c:val>
            <c:numRef>
              <c:f>CARS!$H$29:$H$33</c:f>
              <c:numCache>
                <c:formatCode>General</c:formatCode>
                <c:ptCount val="5"/>
                <c:pt idx="0">
                  <c:v>190.60956522034348</c:v>
                </c:pt>
                <c:pt idx="1">
                  <c:v>26.853825895742069</c:v>
                </c:pt>
                <c:pt idx="2">
                  <c:v>43.581496994670644</c:v>
                </c:pt>
                <c:pt idx="3">
                  <c:v>29.903813616388465</c:v>
                </c:pt>
                <c:pt idx="4">
                  <c:v>69.051298272855149</c:v>
                </c:pt>
              </c:numCache>
            </c:numRef>
          </c:val>
        </c:ser>
        <c:firstSliceAng val="0"/>
      </c:pieChart>
      <c:spPr>
        <a:noFill/>
        <a:ln w="25400">
          <a:noFill/>
        </a:ln>
      </c:spPr>
    </c:plotArea>
    <c:plotVisOnly val="1"/>
  </c:chart>
  <c:spPr>
    <a:ln>
      <a:noFill/>
    </a:ln>
  </c:spPr>
  <c:txPr>
    <a:bodyPr/>
    <a:lstStyle/>
    <a:p>
      <a:pPr>
        <a:defRPr>
          <a:latin typeface="Arial" pitchFamily="34" charset="0"/>
          <a:cs typeface="Arial" pitchFamily="34"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autoTitleDeleted val="1"/>
    <c:plotArea>
      <c:layout>
        <c:manualLayout>
          <c:layoutTarget val="inner"/>
          <c:xMode val="edge"/>
          <c:yMode val="edge"/>
          <c:x val="0.10901389626910139"/>
          <c:y val="6.9487427760625123E-2"/>
          <c:w val="0.85597587878202364"/>
          <c:h val="0.84237986492987749"/>
        </c:manualLayout>
      </c:layout>
      <c:lineChart>
        <c:grouping val="standard"/>
        <c:ser>
          <c:idx val="2"/>
          <c:order val="0"/>
          <c:tx>
            <c:strRef>
              <c:f>CARS!$E$52</c:f>
              <c:strCache>
                <c:ptCount val="1"/>
                <c:pt idx="0">
                  <c:v>Cars</c:v>
                </c:pt>
              </c:strCache>
            </c:strRef>
          </c:tx>
          <c:spPr>
            <a:ln>
              <a:solidFill>
                <a:srgbClr val="7B2092"/>
              </a:solidFill>
            </a:ln>
          </c:spPr>
          <c:marker>
            <c:symbol val="none"/>
          </c:marker>
          <c:cat>
            <c:numRef>
              <c:f>CARS!$C$53:$C$63</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CARS!$E$53:$E$63</c:f>
              <c:numCache>
                <c:formatCode>General</c:formatCode>
                <c:ptCount val="11"/>
                <c:pt idx="0">
                  <c:v>12018000000</c:v>
                </c:pt>
                <c:pt idx="1">
                  <c:v>13013000000</c:v>
                </c:pt>
                <c:pt idx="2">
                  <c:v>12574000000</c:v>
                </c:pt>
                <c:pt idx="3">
                  <c:v>14245000000</c:v>
                </c:pt>
                <c:pt idx="4">
                  <c:v>15420000000</c:v>
                </c:pt>
                <c:pt idx="5">
                  <c:v>11878000000</c:v>
                </c:pt>
                <c:pt idx="6">
                  <c:v>17210000000</c:v>
                </c:pt>
                <c:pt idx="7">
                  <c:v>20237000000</c:v>
                </c:pt>
                <c:pt idx="8">
                  <c:v>21633000000</c:v>
                </c:pt>
                <c:pt idx="9">
                  <c:v>24654000000</c:v>
                </c:pt>
                <c:pt idx="10">
                  <c:v>26095000000</c:v>
                </c:pt>
              </c:numCache>
            </c:numRef>
          </c:val>
        </c:ser>
        <c:marker val="1"/>
        <c:axId val="89140224"/>
        <c:axId val="70177920"/>
      </c:lineChart>
      <c:catAx>
        <c:axId val="89140224"/>
        <c:scaling>
          <c:orientation val="minMax"/>
        </c:scaling>
        <c:axPos val="b"/>
        <c:numFmt formatCode="General" sourceLinked="1"/>
        <c:tickLblPos val="nextTo"/>
        <c:txPr>
          <a:bodyPr/>
          <a:lstStyle/>
          <a:p>
            <a:pPr>
              <a:defRPr>
                <a:solidFill>
                  <a:srgbClr val="0D2255"/>
                </a:solidFill>
              </a:defRPr>
            </a:pPr>
            <a:endParaRPr lang="en-US"/>
          </a:p>
        </c:txPr>
        <c:crossAx val="70177920"/>
        <c:crosses val="autoZero"/>
        <c:auto val="1"/>
        <c:lblAlgn val="ctr"/>
        <c:lblOffset val="100"/>
      </c:catAx>
      <c:valAx>
        <c:axId val="70177920"/>
        <c:scaling>
          <c:orientation val="minMax"/>
          <c:min val="10000000000"/>
        </c:scaling>
        <c:axPos val="l"/>
        <c:majorGridlines/>
        <c:numFmt formatCode="#,##0" sourceLinked="0"/>
        <c:tickLblPos val="nextTo"/>
        <c:txPr>
          <a:bodyPr/>
          <a:lstStyle/>
          <a:p>
            <a:pPr>
              <a:defRPr>
                <a:solidFill>
                  <a:srgbClr val="0D2255"/>
                </a:solidFill>
              </a:defRPr>
            </a:pPr>
            <a:endParaRPr lang="en-US"/>
          </a:p>
        </c:txPr>
        <c:crossAx val="89140224"/>
        <c:crosses val="autoZero"/>
        <c:crossBetween val="midCat"/>
        <c:majorUnit val="5000000000"/>
        <c:minorUnit val="1000000000"/>
        <c:dispUnits>
          <c:builtInUnit val="billions"/>
          <c:dispUnitsLbl>
            <c:layout>
              <c:manualLayout>
                <c:xMode val="edge"/>
                <c:yMode val="edge"/>
                <c:x val="1.7458274446463425E-2"/>
                <c:y val="0.1866666666666667"/>
              </c:manualLayout>
            </c:layout>
            <c:tx>
              <c:rich>
                <a:bodyPr/>
                <a:lstStyle/>
                <a:p>
                  <a:pPr>
                    <a:defRPr i="1">
                      <a:solidFill>
                        <a:srgbClr val="0D2255"/>
                      </a:solidFill>
                    </a:defRPr>
                  </a:pPr>
                  <a:r>
                    <a:rPr lang="en-GB" i="1">
                      <a:solidFill>
                        <a:srgbClr val="0D2255"/>
                      </a:solidFill>
                    </a:rPr>
                    <a:t>Export value (£), billions</a:t>
                  </a:r>
                </a:p>
              </c:rich>
            </c:tx>
          </c:dispUnitsLbl>
        </c:dispUnits>
      </c:valAx>
    </c:plotArea>
    <c:plotVisOnly val="1"/>
  </c:chart>
  <c:spPr>
    <a:ln>
      <a:noFill/>
    </a:ln>
  </c:spPr>
  <c:txPr>
    <a:bodyPr/>
    <a:lstStyle/>
    <a:p>
      <a:pPr>
        <a:defRPr>
          <a:latin typeface="Arial" pitchFamily="34" charset="0"/>
          <a:cs typeface="Arial" pitchFamily="34"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14AA53-7F2D-4433-B4F8-560762A3E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SMMT</dc:creator>
  <cp:lastModifiedBy>fouldb</cp:lastModifiedBy>
  <cp:revision>19</cp:revision>
  <cp:lastPrinted>2014-12-17T09:01:00Z</cp:lastPrinted>
  <dcterms:created xsi:type="dcterms:W3CDTF">2014-12-17T08:56:00Z</dcterms:created>
  <dcterms:modified xsi:type="dcterms:W3CDTF">2015-01-22T08:57:00Z</dcterms:modified>
</cp:coreProperties>
</file>