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1B4CAA">
        <w:rPr>
          <w:rFonts w:ascii="Arial" w:eastAsiaTheme="minorEastAsia" w:hAnsi="Arial" w:cs="Arial"/>
          <w:b w:val="0"/>
          <w:bCs/>
          <w:color w:val="1074CB"/>
          <w:sz w:val="28"/>
          <w:szCs w:val="28"/>
        </w:rPr>
        <w:t>February</w:t>
      </w:r>
      <w:r w:rsidR="00217384">
        <w:rPr>
          <w:rFonts w:ascii="Arial" w:eastAsiaTheme="minorEastAsia" w:hAnsi="Arial" w:cs="Arial"/>
          <w:b w:val="0"/>
          <w:bCs/>
          <w:color w:val="1074CB"/>
          <w:sz w:val="28"/>
          <w:szCs w:val="28"/>
        </w:rPr>
        <w:t xml:space="preserve"> 2015</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217384">
        <w:rPr>
          <w:rFonts w:ascii="Arial" w:eastAsiaTheme="minorEastAsia" w:hAnsi="Arial" w:cs="Arial"/>
          <w:b w:val="0"/>
          <w:bCs/>
          <w:color w:val="FF0000"/>
          <w:sz w:val="44"/>
          <w:szCs w:val="44"/>
        </w:rPr>
        <w:t xml:space="preserve">19 </w:t>
      </w:r>
      <w:r w:rsidR="001B4CAA">
        <w:rPr>
          <w:rFonts w:ascii="Arial" w:eastAsiaTheme="minorEastAsia" w:hAnsi="Arial" w:cs="Arial"/>
          <w:b w:val="0"/>
          <w:bCs/>
          <w:color w:val="FF0000"/>
          <w:sz w:val="44"/>
          <w:szCs w:val="44"/>
        </w:rPr>
        <w:t>March</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BC4EBA">
        <w:rPr>
          <w:rFonts w:ascii="Arial" w:eastAsiaTheme="minorEastAsia" w:hAnsi="Arial" w:cs="Arial"/>
          <w:b w:val="0"/>
          <w:bCs/>
          <w:color w:val="FF0000"/>
          <w:sz w:val="44"/>
          <w:szCs w:val="44"/>
        </w:rPr>
        <w:t>5</w:t>
      </w:r>
      <w:r w:rsidRPr="00A72CAD">
        <w:rPr>
          <w:rFonts w:ascii="Arial" w:eastAsiaTheme="minorEastAsia" w:hAnsi="Arial" w:cs="Arial"/>
          <w:b w:val="0"/>
          <w:bCs/>
          <w:color w:val="FF0000"/>
          <w:szCs w:val="24"/>
        </w:rPr>
        <w:t xml:space="preserve"> </w:t>
      </w:r>
    </w:p>
    <w:p w:rsidR="00C23320" w:rsidRPr="002933CF" w:rsidRDefault="00B56116" w:rsidP="005E0768">
      <w:pPr>
        <w:tabs>
          <w:tab w:val="left" w:pos="889"/>
        </w:tabs>
        <w:rPr>
          <w:rFonts w:ascii="Arial" w:eastAsiaTheme="minorEastAsia" w:hAnsi="Arial" w:cs="Arial"/>
          <w:bCs/>
          <w:color w:val="1074CB"/>
          <w:sz w:val="20"/>
        </w:rPr>
      </w:pPr>
      <w:r>
        <w:rPr>
          <w:rFonts w:ascii="Arial" w:eastAsiaTheme="minorEastAsia" w:hAnsi="Arial" w:cs="Arial"/>
          <w:b/>
          <w:bCs/>
          <w:noProof/>
          <w:color w:val="1074CB"/>
          <w:sz w:val="20"/>
        </w:rPr>
        <mc:AlternateContent>
          <mc:Choice Requires="wps">
            <w:drawing>
              <wp:anchor distT="4294967291" distB="4294967291" distL="114300" distR="114300" simplePos="0" relativeHeight="251664384" behindDoc="0" locked="0" layoutInCell="1" allowOverlap="1" wp14:anchorId="0EED48A6" wp14:editId="4008C1C6">
                <wp:simplePos x="0" y="0"/>
                <wp:positionH relativeFrom="column">
                  <wp:posOffset>6985</wp:posOffset>
                </wp:positionH>
                <wp:positionV relativeFrom="paragraph">
                  <wp:posOffset>7619</wp:posOffset>
                </wp:positionV>
                <wp:extent cx="5861050" cy="0"/>
                <wp:effectExtent l="0" t="0" r="25400"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mc:Fallback>
        </mc:AlternateContent>
      </w:r>
      <w:r w:rsidR="00C80E70">
        <w:rPr>
          <w:rFonts w:ascii="Arial" w:eastAsiaTheme="minorEastAsia" w:hAnsi="Arial" w:cs="Arial"/>
          <w:bCs/>
          <w:color w:val="1074CB"/>
          <w:sz w:val="36"/>
          <w:szCs w:val="36"/>
        </w:rPr>
        <w:t xml:space="preserve"> </w:t>
      </w:r>
    </w:p>
    <w:p w:rsidR="005C4BC2" w:rsidRDefault="002E7D7D" w:rsidP="005C4BC2">
      <w:pPr>
        <w:pStyle w:val="Heading1"/>
        <w:ind w:left="0" w:right="425" w:firstLine="0"/>
      </w:pPr>
      <w:r>
        <w:rPr>
          <w:rFonts w:ascii="Arial" w:hAnsi="Arial" w:cs="Arial"/>
          <w:color w:val="1074CB"/>
          <w:sz w:val="36"/>
          <w:szCs w:val="36"/>
        </w:rPr>
        <w:t>Rise in domestic demand</w:t>
      </w:r>
      <w:r w:rsidR="00DC5007">
        <w:rPr>
          <w:rFonts w:ascii="Arial" w:hAnsi="Arial" w:cs="Arial"/>
          <w:color w:val="1074CB"/>
          <w:sz w:val="36"/>
          <w:szCs w:val="36"/>
        </w:rPr>
        <w:t xml:space="preserve"> sees more than a quarter of a million UK cars built</w:t>
      </w:r>
      <w:r>
        <w:rPr>
          <w:rFonts w:ascii="Arial" w:hAnsi="Arial" w:cs="Arial"/>
          <w:color w:val="1074CB"/>
          <w:sz w:val="36"/>
          <w:szCs w:val="36"/>
        </w:rPr>
        <w:t xml:space="preserve"> in 2015</w:t>
      </w:r>
    </w:p>
    <w:p w:rsidR="00DF5C28" w:rsidRPr="00DF5C28" w:rsidRDefault="008D4D5C" w:rsidP="008D4D5C">
      <w:pPr>
        <w:rPr>
          <w:rFonts w:ascii="Arial" w:hAnsi="Arial" w:cs="Arial"/>
          <w:sz w:val="20"/>
        </w:rPr>
      </w:pPr>
      <w:r>
        <w:rPr>
          <w:rFonts w:ascii="Arial" w:hAnsi="Arial" w:cs="Arial"/>
          <w:sz w:val="20"/>
        </w:rPr>
        <w:t> </w:t>
      </w:r>
    </w:p>
    <w:p w:rsidR="005C4BC2" w:rsidRDefault="00DC5007" w:rsidP="005C4BC2">
      <w:pPr>
        <w:pStyle w:val="ListParagraph"/>
        <w:numPr>
          <w:ilvl w:val="0"/>
          <w:numId w:val="7"/>
        </w:numPr>
        <w:spacing w:after="120"/>
        <w:contextualSpacing w:val="0"/>
        <w:rPr>
          <w:rFonts w:ascii="Arial" w:hAnsi="Arial" w:cs="Arial"/>
          <w:sz w:val="20"/>
        </w:rPr>
      </w:pPr>
      <w:r>
        <w:rPr>
          <w:rFonts w:ascii="Arial" w:hAnsi="Arial" w:cs="Arial"/>
          <w:sz w:val="20"/>
        </w:rPr>
        <w:t>M</w:t>
      </w:r>
      <w:r w:rsidR="001B4CAA">
        <w:rPr>
          <w:rFonts w:ascii="Arial" w:hAnsi="Arial" w:cs="Arial"/>
          <w:sz w:val="20"/>
        </w:rPr>
        <w:t>ore than 250,000</w:t>
      </w:r>
      <w:r>
        <w:rPr>
          <w:rFonts w:ascii="Arial" w:hAnsi="Arial" w:cs="Arial"/>
          <w:sz w:val="20"/>
        </w:rPr>
        <w:t xml:space="preserve"> UK cars built</w:t>
      </w:r>
      <w:r w:rsidR="002E7D7D">
        <w:rPr>
          <w:rFonts w:ascii="Arial" w:hAnsi="Arial" w:cs="Arial"/>
          <w:sz w:val="20"/>
        </w:rPr>
        <w:t xml:space="preserve"> in</w:t>
      </w:r>
      <w:r w:rsidR="001B4CAA">
        <w:rPr>
          <w:rFonts w:ascii="Arial" w:hAnsi="Arial" w:cs="Arial"/>
          <w:sz w:val="20"/>
        </w:rPr>
        <w:t xml:space="preserve"> first two months of 2015</w:t>
      </w:r>
      <w:r>
        <w:rPr>
          <w:rFonts w:ascii="Arial" w:hAnsi="Arial" w:cs="Arial"/>
          <w:sz w:val="20"/>
        </w:rPr>
        <w:t xml:space="preserve">, nearly 130,000 </w:t>
      </w:r>
      <w:r w:rsidR="002E7D7D">
        <w:rPr>
          <w:rFonts w:ascii="Arial" w:hAnsi="Arial" w:cs="Arial"/>
          <w:sz w:val="20"/>
        </w:rPr>
        <w:t xml:space="preserve">in </w:t>
      </w:r>
      <w:r>
        <w:rPr>
          <w:rFonts w:ascii="Arial" w:hAnsi="Arial" w:cs="Arial"/>
          <w:sz w:val="20"/>
        </w:rPr>
        <w:t>February.</w:t>
      </w:r>
    </w:p>
    <w:p w:rsidR="00336064" w:rsidRDefault="00DC5007" w:rsidP="005C4BC2">
      <w:pPr>
        <w:pStyle w:val="ListParagraph"/>
        <w:numPr>
          <w:ilvl w:val="0"/>
          <w:numId w:val="7"/>
        </w:numPr>
        <w:spacing w:after="120"/>
        <w:contextualSpacing w:val="0"/>
        <w:rPr>
          <w:rFonts w:ascii="Arial" w:hAnsi="Arial" w:cs="Arial"/>
          <w:sz w:val="20"/>
        </w:rPr>
      </w:pPr>
      <w:r>
        <w:rPr>
          <w:rFonts w:ascii="Arial" w:hAnsi="Arial" w:cs="Arial"/>
          <w:sz w:val="20"/>
        </w:rPr>
        <w:t>Number of c</w:t>
      </w:r>
      <w:r w:rsidR="00336064">
        <w:rPr>
          <w:rFonts w:ascii="Arial" w:hAnsi="Arial" w:cs="Arial"/>
          <w:sz w:val="20"/>
        </w:rPr>
        <w:t>ars produced for the domestic market up 21.1% to 33,813 units.</w:t>
      </w:r>
    </w:p>
    <w:p w:rsidR="008C2E17" w:rsidRDefault="002E7D7D" w:rsidP="005C4BC2">
      <w:pPr>
        <w:pStyle w:val="ListParagraph"/>
        <w:numPr>
          <w:ilvl w:val="0"/>
          <w:numId w:val="7"/>
        </w:numPr>
        <w:spacing w:after="120"/>
        <w:contextualSpacing w:val="0"/>
        <w:rPr>
          <w:rFonts w:ascii="Arial" w:hAnsi="Arial" w:cs="Arial"/>
          <w:sz w:val="20"/>
        </w:rPr>
      </w:pPr>
      <w:r>
        <w:rPr>
          <w:rFonts w:ascii="Arial" w:hAnsi="Arial" w:cs="Arial"/>
          <w:sz w:val="20"/>
        </w:rPr>
        <w:t>Market positive with</w:t>
      </w:r>
      <w:r w:rsidR="001B4CAA">
        <w:rPr>
          <w:rFonts w:ascii="Arial" w:hAnsi="Arial" w:cs="Arial"/>
          <w:sz w:val="20"/>
        </w:rPr>
        <w:t xml:space="preserve"> UK manufacturers </w:t>
      </w:r>
      <w:r w:rsidR="00C468CD">
        <w:rPr>
          <w:rFonts w:ascii="Arial" w:hAnsi="Arial" w:cs="Arial"/>
          <w:sz w:val="20"/>
        </w:rPr>
        <w:t>poised</w:t>
      </w:r>
      <w:r w:rsidR="001B4CAA">
        <w:rPr>
          <w:rFonts w:ascii="Arial" w:hAnsi="Arial" w:cs="Arial"/>
          <w:sz w:val="20"/>
        </w:rPr>
        <w:t xml:space="preserve"> to </w:t>
      </w:r>
      <w:r w:rsidR="00C468CD">
        <w:rPr>
          <w:rFonts w:ascii="Arial" w:hAnsi="Arial" w:cs="Arial"/>
          <w:sz w:val="20"/>
        </w:rPr>
        <w:t>see return on</w:t>
      </w:r>
      <w:r w:rsidR="001B4CAA">
        <w:rPr>
          <w:rFonts w:ascii="Arial" w:hAnsi="Arial" w:cs="Arial"/>
          <w:sz w:val="20"/>
        </w:rPr>
        <w:t xml:space="preserve"> billio</w:t>
      </w:r>
      <w:r w:rsidR="00336064">
        <w:rPr>
          <w:rFonts w:ascii="Arial" w:hAnsi="Arial" w:cs="Arial"/>
          <w:sz w:val="20"/>
        </w:rPr>
        <w:t>ns of pounds worth of investment.</w:t>
      </w:r>
    </w:p>
    <w:p w:rsidR="0080410F" w:rsidRPr="002E7D7D" w:rsidRDefault="008D4D5C" w:rsidP="002E7D7D">
      <w:r w:rsidRPr="005C4BC2">
        <w:rPr>
          <w:rFonts w:ascii="Arial" w:hAnsi="Arial" w:cs="Arial"/>
          <w:sz w:val="16"/>
          <w:szCs w:val="16"/>
        </w:rPr>
        <w:t> </w:t>
      </w:r>
    </w:p>
    <w:p w:rsidR="0080410F" w:rsidRDefault="005C4BC2" w:rsidP="005C4BC2">
      <w:pPr>
        <w:spacing w:line="276" w:lineRule="auto"/>
        <w:rPr>
          <w:rFonts w:ascii="Arial" w:hAnsi="Arial" w:cs="Arial"/>
          <w:sz w:val="20"/>
        </w:rPr>
      </w:pPr>
      <w:r>
        <w:rPr>
          <w:rFonts w:ascii="Arial" w:hAnsi="Arial" w:cs="Arial"/>
          <w:sz w:val="20"/>
        </w:rPr>
        <w:t>"</w:t>
      </w:r>
      <w:r w:rsidR="00336064">
        <w:rPr>
          <w:rFonts w:ascii="Arial" w:hAnsi="Arial" w:cs="Arial"/>
          <w:sz w:val="20"/>
        </w:rPr>
        <w:t xml:space="preserve">The outlook for the car manufacturing sector </w:t>
      </w:r>
      <w:r w:rsidR="00DC5007">
        <w:rPr>
          <w:rFonts w:ascii="Arial" w:hAnsi="Arial" w:cs="Arial"/>
          <w:sz w:val="20"/>
        </w:rPr>
        <w:t>continues to be upbeat</w:t>
      </w:r>
      <w:r w:rsidR="00336064">
        <w:rPr>
          <w:rFonts w:ascii="Arial" w:hAnsi="Arial" w:cs="Arial"/>
          <w:sz w:val="20"/>
        </w:rPr>
        <w:t xml:space="preserve">. More than a quarter of a million cars have been </w:t>
      </w:r>
      <w:r w:rsidR="00A1415B">
        <w:rPr>
          <w:rFonts w:ascii="Arial" w:hAnsi="Arial" w:cs="Arial"/>
          <w:sz w:val="20"/>
        </w:rPr>
        <w:t>made</w:t>
      </w:r>
      <w:r w:rsidR="00336064">
        <w:rPr>
          <w:rFonts w:ascii="Arial" w:hAnsi="Arial" w:cs="Arial"/>
          <w:sz w:val="20"/>
        </w:rPr>
        <w:t xml:space="preserve"> in </w:t>
      </w:r>
      <w:r w:rsidR="00C468CD">
        <w:rPr>
          <w:rFonts w:ascii="Arial" w:hAnsi="Arial" w:cs="Arial"/>
          <w:sz w:val="20"/>
        </w:rPr>
        <w:t>Britain</w:t>
      </w:r>
      <w:r w:rsidR="00336064">
        <w:rPr>
          <w:rFonts w:ascii="Arial" w:hAnsi="Arial" w:cs="Arial"/>
          <w:sz w:val="20"/>
        </w:rPr>
        <w:t xml:space="preserve"> so far this year</w:t>
      </w:r>
      <w:r w:rsidR="00F47600">
        <w:rPr>
          <w:rFonts w:ascii="Arial" w:hAnsi="Arial" w:cs="Arial"/>
          <w:sz w:val="20"/>
        </w:rPr>
        <w:t xml:space="preserve"> – a steady performance, which has been led by a strong domestic market</w:t>
      </w:r>
      <w:r w:rsidR="00DC5007">
        <w:rPr>
          <w:rFonts w:ascii="Arial" w:hAnsi="Arial" w:cs="Arial"/>
          <w:sz w:val="20"/>
        </w:rPr>
        <w:t>,</w:t>
      </w:r>
      <w:r>
        <w:rPr>
          <w:rFonts w:ascii="Arial" w:hAnsi="Arial" w:cs="Arial"/>
          <w:sz w:val="20"/>
        </w:rPr>
        <w:t xml:space="preserve">" said </w:t>
      </w:r>
      <w:r w:rsidRPr="0080410F">
        <w:rPr>
          <w:rFonts w:ascii="Arial" w:hAnsi="Arial" w:cs="Arial"/>
          <w:b/>
          <w:sz w:val="20"/>
        </w:rPr>
        <w:t>Mike Hawes, SMMT Chief Executive</w:t>
      </w:r>
      <w:r>
        <w:rPr>
          <w:rFonts w:ascii="Arial" w:hAnsi="Arial" w:cs="Arial"/>
          <w:sz w:val="20"/>
        </w:rPr>
        <w:t xml:space="preserve">. </w:t>
      </w:r>
    </w:p>
    <w:p w:rsidR="0080410F" w:rsidRDefault="0080410F" w:rsidP="005C4BC2">
      <w:pPr>
        <w:spacing w:line="276" w:lineRule="auto"/>
        <w:rPr>
          <w:rFonts w:ascii="Arial" w:hAnsi="Arial" w:cs="Arial"/>
          <w:sz w:val="20"/>
        </w:rPr>
      </w:pPr>
    </w:p>
    <w:p w:rsidR="00C468CD" w:rsidRDefault="005C4BC2" w:rsidP="005C4BC2">
      <w:pPr>
        <w:spacing w:line="276" w:lineRule="auto"/>
        <w:rPr>
          <w:rFonts w:ascii="Arial" w:hAnsi="Arial" w:cs="Arial"/>
          <w:sz w:val="20"/>
        </w:rPr>
      </w:pPr>
      <w:r>
        <w:rPr>
          <w:rFonts w:ascii="Arial" w:hAnsi="Arial" w:cs="Arial"/>
          <w:sz w:val="20"/>
        </w:rPr>
        <w:t>"</w:t>
      </w:r>
      <w:r w:rsidR="00C468CD">
        <w:rPr>
          <w:rFonts w:ascii="Arial" w:hAnsi="Arial" w:cs="Arial"/>
          <w:sz w:val="20"/>
        </w:rPr>
        <w:t xml:space="preserve">The </w:t>
      </w:r>
      <w:r w:rsidR="00A1415B">
        <w:rPr>
          <w:rFonts w:ascii="Arial" w:hAnsi="Arial" w:cs="Arial"/>
          <w:sz w:val="20"/>
        </w:rPr>
        <w:t xml:space="preserve">UK’s </w:t>
      </w:r>
      <w:r w:rsidR="00C468CD">
        <w:rPr>
          <w:rFonts w:ascii="Arial" w:hAnsi="Arial" w:cs="Arial"/>
          <w:sz w:val="20"/>
        </w:rPr>
        <w:t>appetite for British-built cars has consistently grown</w:t>
      </w:r>
      <w:r w:rsidR="00A1415B">
        <w:rPr>
          <w:rFonts w:ascii="Arial" w:hAnsi="Arial" w:cs="Arial"/>
          <w:sz w:val="20"/>
        </w:rPr>
        <w:t xml:space="preserve">, with the number of cars produced for the home market increasing </w:t>
      </w:r>
      <w:r w:rsidR="0020535D">
        <w:rPr>
          <w:rFonts w:ascii="Arial" w:hAnsi="Arial" w:cs="Arial"/>
          <w:sz w:val="20"/>
        </w:rPr>
        <w:t>51.9%</w:t>
      </w:r>
      <w:r w:rsidR="00A1415B">
        <w:rPr>
          <w:rFonts w:ascii="Arial" w:hAnsi="Arial" w:cs="Arial"/>
          <w:sz w:val="20"/>
        </w:rPr>
        <w:t xml:space="preserve"> since 2011. </w:t>
      </w:r>
      <w:r w:rsidR="00C468CD">
        <w:rPr>
          <w:rFonts w:ascii="Arial" w:hAnsi="Arial" w:cs="Arial"/>
          <w:sz w:val="20"/>
        </w:rPr>
        <w:t xml:space="preserve"> </w:t>
      </w:r>
      <w:r w:rsidR="00A1415B">
        <w:rPr>
          <w:rFonts w:ascii="Arial" w:hAnsi="Arial" w:cs="Arial"/>
          <w:sz w:val="20"/>
        </w:rPr>
        <w:t>However, political instability abroad has hit cert</w:t>
      </w:r>
      <w:r w:rsidR="0080410F">
        <w:rPr>
          <w:rFonts w:ascii="Arial" w:hAnsi="Arial" w:cs="Arial"/>
          <w:sz w:val="20"/>
        </w:rPr>
        <w:t>a</w:t>
      </w:r>
      <w:r w:rsidR="00A1415B">
        <w:rPr>
          <w:rFonts w:ascii="Arial" w:hAnsi="Arial" w:cs="Arial"/>
          <w:sz w:val="20"/>
        </w:rPr>
        <w:t xml:space="preserve">in export areas which will invariably have a small impact on </w:t>
      </w:r>
      <w:r w:rsidR="0080410F">
        <w:rPr>
          <w:rFonts w:ascii="Arial" w:hAnsi="Arial" w:cs="Arial"/>
          <w:sz w:val="20"/>
        </w:rPr>
        <w:t>total output.”</w:t>
      </w:r>
    </w:p>
    <w:p w:rsidR="00C468CD" w:rsidRDefault="00C468CD" w:rsidP="005C4BC2">
      <w:pPr>
        <w:spacing w:line="276" w:lineRule="auto"/>
        <w:rPr>
          <w:rFonts w:ascii="Arial" w:hAnsi="Arial" w:cs="Arial"/>
          <w:sz w:val="20"/>
        </w:rPr>
      </w:pPr>
    </w:p>
    <w:p w:rsidR="0080410F" w:rsidRDefault="002E7D7D" w:rsidP="005C4BC2">
      <w:pPr>
        <w:spacing w:line="276" w:lineRule="auto"/>
        <w:rPr>
          <w:rFonts w:ascii="Arial" w:hAnsi="Arial" w:cs="Arial"/>
          <w:sz w:val="20"/>
        </w:rPr>
      </w:pPr>
      <w:r>
        <w:rPr>
          <w:rFonts w:ascii="Arial" w:hAnsi="Arial" w:cs="Arial"/>
          <w:sz w:val="20"/>
        </w:rPr>
        <w:t>Car makers</w:t>
      </w:r>
      <w:r w:rsidR="00F47600">
        <w:rPr>
          <w:rFonts w:ascii="Arial" w:hAnsi="Arial" w:cs="Arial"/>
          <w:sz w:val="20"/>
        </w:rPr>
        <w:t xml:space="preserve"> have invested heavily </w:t>
      </w:r>
      <w:r>
        <w:rPr>
          <w:rFonts w:ascii="Arial" w:hAnsi="Arial" w:cs="Arial"/>
          <w:sz w:val="20"/>
        </w:rPr>
        <w:t>in UK production facilities, and</w:t>
      </w:r>
      <w:r w:rsidR="00F47600">
        <w:rPr>
          <w:rFonts w:ascii="Arial" w:hAnsi="Arial" w:cs="Arial"/>
          <w:sz w:val="20"/>
        </w:rPr>
        <w:t xml:space="preserve"> this</w:t>
      </w:r>
      <w:r>
        <w:rPr>
          <w:rFonts w:ascii="Arial" w:hAnsi="Arial" w:cs="Arial"/>
          <w:sz w:val="20"/>
        </w:rPr>
        <w:t xml:space="preserve"> is expected</w:t>
      </w:r>
      <w:r w:rsidR="00DC5007">
        <w:rPr>
          <w:rFonts w:ascii="Arial" w:hAnsi="Arial" w:cs="Arial"/>
          <w:sz w:val="20"/>
        </w:rPr>
        <w:t xml:space="preserve"> </w:t>
      </w:r>
      <w:r w:rsidR="00F47600">
        <w:rPr>
          <w:rFonts w:ascii="Arial" w:hAnsi="Arial" w:cs="Arial"/>
          <w:sz w:val="20"/>
        </w:rPr>
        <w:t>to com</w:t>
      </w:r>
      <w:r>
        <w:rPr>
          <w:rFonts w:ascii="Arial" w:hAnsi="Arial" w:cs="Arial"/>
          <w:sz w:val="20"/>
        </w:rPr>
        <w:t>e to fruition in the coming year</w:t>
      </w:r>
      <w:r w:rsidR="00F564EF">
        <w:rPr>
          <w:rFonts w:ascii="Arial" w:hAnsi="Arial" w:cs="Arial"/>
          <w:sz w:val="20"/>
        </w:rPr>
        <w:t>.</w:t>
      </w:r>
      <w:r w:rsidR="00F47600">
        <w:rPr>
          <w:rFonts w:ascii="Arial" w:hAnsi="Arial" w:cs="Arial"/>
          <w:sz w:val="20"/>
        </w:rPr>
        <w:t xml:space="preserve"> Furthermore, the number of UK-produced components in British cars </w:t>
      </w:r>
      <w:r w:rsidR="00DC5007">
        <w:rPr>
          <w:rFonts w:ascii="Arial" w:hAnsi="Arial" w:cs="Arial"/>
          <w:sz w:val="20"/>
        </w:rPr>
        <w:t>has risen</w:t>
      </w:r>
      <w:r>
        <w:rPr>
          <w:rFonts w:ascii="Arial" w:hAnsi="Arial" w:cs="Arial"/>
          <w:sz w:val="20"/>
        </w:rPr>
        <w:t xml:space="preserve"> steeply</w:t>
      </w:r>
      <w:r w:rsidR="00F47600">
        <w:rPr>
          <w:rFonts w:ascii="Arial" w:hAnsi="Arial" w:cs="Arial"/>
          <w:sz w:val="20"/>
        </w:rPr>
        <w:t xml:space="preserve">, meaning </w:t>
      </w:r>
      <w:r w:rsidR="00DC5007">
        <w:rPr>
          <w:rFonts w:ascii="Arial" w:hAnsi="Arial" w:cs="Arial"/>
          <w:sz w:val="20"/>
        </w:rPr>
        <w:t xml:space="preserve">resilient </w:t>
      </w:r>
      <w:r w:rsidR="00F47600">
        <w:rPr>
          <w:rFonts w:ascii="Arial" w:hAnsi="Arial" w:cs="Arial"/>
          <w:sz w:val="20"/>
        </w:rPr>
        <w:t>car output will benefit the whole sector.</w:t>
      </w:r>
    </w:p>
    <w:p w:rsidR="0080410F" w:rsidRDefault="0080410F" w:rsidP="005C4BC2">
      <w:pPr>
        <w:spacing w:line="276" w:lineRule="auto"/>
      </w:pPr>
    </w:p>
    <w:tbl>
      <w:tblPr>
        <w:tblW w:w="9318"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42"/>
        <w:gridCol w:w="1134"/>
        <w:gridCol w:w="1134"/>
        <w:gridCol w:w="1275"/>
        <w:gridCol w:w="1311"/>
        <w:gridCol w:w="1106"/>
        <w:gridCol w:w="1216"/>
      </w:tblGrid>
      <w:tr w:rsidR="001B4CAA" w:rsidRPr="003824EE" w:rsidTr="001B4CAA">
        <w:trPr>
          <w:trHeight w:val="280"/>
        </w:trPr>
        <w:tc>
          <w:tcPr>
            <w:tcW w:w="2142" w:type="dxa"/>
            <w:shd w:val="clear" w:color="auto" w:fill="auto"/>
            <w:noWrap/>
            <w:vAlign w:val="center"/>
            <w:hideMark/>
          </w:tcPr>
          <w:p w:rsidR="001B4CAA" w:rsidRPr="001B4CAA" w:rsidRDefault="001B4CAA" w:rsidP="001B4CAA">
            <w:pPr>
              <w:jc w:val="center"/>
              <w:rPr>
                <w:rFonts w:ascii="Arial" w:hAnsi="Arial" w:cs="Arial"/>
                <w:b/>
                <w:color w:val="002060"/>
                <w:sz w:val="10"/>
                <w:szCs w:val="10"/>
              </w:rPr>
            </w:pPr>
            <w:r w:rsidRPr="001B4CAA">
              <w:rPr>
                <w:rFonts w:ascii="Arial" w:hAnsi="Arial" w:cs="Arial"/>
                <w:b/>
                <w:color w:val="002060"/>
                <w:sz w:val="20"/>
              </w:rPr>
              <w:t>Car manufacturing</w:t>
            </w:r>
          </w:p>
        </w:tc>
        <w:tc>
          <w:tcPr>
            <w:tcW w:w="1134"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Feb-14</w:t>
            </w:r>
          </w:p>
        </w:tc>
        <w:tc>
          <w:tcPr>
            <w:tcW w:w="1134"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Feb-15</w:t>
            </w:r>
          </w:p>
        </w:tc>
        <w:tc>
          <w:tcPr>
            <w:tcW w:w="1275"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 Change</w:t>
            </w:r>
          </w:p>
        </w:tc>
        <w:tc>
          <w:tcPr>
            <w:tcW w:w="1311"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YTD-14</w:t>
            </w:r>
          </w:p>
        </w:tc>
        <w:tc>
          <w:tcPr>
            <w:tcW w:w="1106"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YTD-15</w:t>
            </w:r>
          </w:p>
        </w:tc>
        <w:tc>
          <w:tcPr>
            <w:tcW w:w="1216"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 Change</w:t>
            </w:r>
          </w:p>
        </w:tc>
      </w:tr>
      <w:tr w:rsidR="001B4CAA" w:rsidRPr="00C75DBA" w:rsidTr="00C13883">
        <w:trPr>
          <w:trHeight w:val="280"/>
        </w:trPr>
        <w:tc>
          <w:tcPr>
            <w:tcW w:w="2142" w:type="dxa"/>
            <w:shd w:val="clear" w:color="auto" w:fill="auto"/>
            <w:noWrap/>
            <w:vAlign w:val="bottom"/>
            <w:hideMark/>
          </w:tcPr>
          <w:p w:rsidR="001B4CAA" w:rsidRPr="001B4CAA" w:rsidRDefault="001B4CAA">
            <w:pPr>
              <w:jc w:val="right"/>
              <w:rPr>
                <w:rFonts w:ascii="Arial" w:hAnsi="Arial" w:cs="Arial"/>
                <w:b/>
                <w:color w:val="002060"/>
                <w:sz w:val="20"/>
              </w:rPr>
            </w:pPr>
            <w:r w:rsidRPr="001B4CAA">
              <w:rPr>
                <w:rFonts w:ascii="Arial" w:hAnsi="Arial" w:cs="Arial"/>
                <w:b/>
                <w:color w:val="002060"/>
                <w:sz w:val="20"/>
              </w:rPr>
              <w:t>Total</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133,730</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129,915</w:t>
            </w:r>
          </w:p>
        </w:tc>
        <w:tc>
          <w:tcPr>
            <w:tcW w:w="1275"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-2.9%</w:t>
            </w:r>
          </w:p>
        </w:tc>
        <w:tc>
          <w:tcPr>
            <w:tcW w:w="1311"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262,645</w:t>
            </w:r>
          </w:p>
        </w:tc>
        <w:tc>
          <w:tcPr>
            <w:tcW w:w="1106"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257,300</w:t>
            </w:r>
          </w:p>
        </w:tc>
        <w:tc>
          <w:tcPr>
            <w:tcW w:w="1216"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-2.0%</w:t>
            </w:r>
          </w:p>
        </w:tc>
      </w:tr>
      <w:tr w:rsidR="001B4CAA" w:rsidRPr="00C75DBA" w:rsidTr="00C13883">
        <w:trPr>
          <w:trHeight w:val="280"/>
        </w:trPr>
        <w:tc>
          <w:tcPr>
            <w:tcW w:w="2142" w:type="dxa"/>
            <w:shd w:val="clear" w:color="auto" w:fill="auto"/>
            <w:noWrap/>
            <w:vAlign w:val="bottom"/>
            <w:hideMark/>
          </w:tcPr>
          <w:p w:rsidR="001B4CAA" w:rsidRPr="001B4CAA" w:rsidRDefault="001B4CAA">
            <w:pPr>
              <w:jc w:val="right"/>
              <w:rPr>
                <w:rFonts w:ascii="Arial" w:hAnsi="Arial" w:cs="Arial"/>
                <w:b/>
                <w:color w:val="002060"/>
                <w:sz w:val="20"/>
              </w:rPr>
            </w:pPr>
            <w:r w:rsidRPr="001B4CAA">
              <w:rPr>
                <w:rFonts w:ascii="Arial" w:hAnsi="Arial" w:cs="Arial"/>
                <w:b/>
                <w:color w:val="002060"/>
                <w:sz w:val="20"/>
              </w:rPr>
              <w:t>Home</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27,913</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33,813</w:t>
            </w:r>
          </w:p>
        </w:tc>
        <w:tc>
          <w:tcPr>
            <w:tcW w:w="1275"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21.1%</w:t>
            </w:r>
          </w:p>
        </w:tc>
        <w:tc>
          <w:tcPr>
            <w:tcW w:w="1311"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53,294</w:t>
            </w:r>
          </w:p>
        </w:tc>
        <w:tc>
          <w:tcPr>
            <w:tcW w:w="1106"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64,176</w:t>
            </w:r>
          </w:p>
        </w:tc>
        <w:tc>
          <w:tcPr>
            <w:tcW w:w="1216"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20.4%</w:t>
            </w:r>
          </w:p>
        </w:tc>
      </w:tr>
      <w:tr w:rsidR="001B4CAA" w:rsidRPr="00C75DBA" w:rsidTr="00C13883">
        <w:trPr>
          <w:trHeight w:val="280"/>
        </w:trPr>
        <w:tc>
          <w:tcPr>
            <w:tcW w:w="2142" w:type="dxa"/>
            <w:shd w:val="clear" w:color="auto" w:fill="auto"/>
            <w:noWrap/>
            <w:vAlign w:val="bottom"/>
            <w:hideMark/>
          </w:tcPr>
          <w:p w:rsidR="001B4CAA" w:rsidRPr="001B4CAA" w:rsidRDefault="001B4CAA">
            <w:pPr>
              <w:jc w:val="right"/>
              <w:rPr>
                <w:rFonts w:ascii="Arial" w:hAnsi="Arial" w:cs="Arial"/>
                <w:b/>
                <w:color w:val="002060"/>
                <w:sz w:val="20"/>
              </w:rPr>
            </w:pPr>
            <w:r w:rsidRPr="001B4CAA">
              <w:rPr>
                <w:rFonts w:ascii="Arial" w:hAnsi="Arial" w:cs="Arial"/>
                <w:b/>
                <w:color w:val="002060"/>
                <w:sz w:val="20"/>
              </w:rPr>
              <w:t>Export</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105,817</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96,102</w:t>
            </w:r>
          </w:p>
        </w:tc>
        <w:tc>
          <w:tcPr>
            <w:tcW w:w="1275"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-9.2%</w:t>
            </w:r>
          </w:p>
        </w:tc>
        <w:tc>
          <w:tcPr>
            <w:tcW w:w="1311"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209,351</w:t>
            </w:r>
          </w:p>
        </w:tc>
        <w:tc>
          <w:tcPr>
            <w:tcW w:w="1106"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193,124</w:t>
            </w:r>
          </w:p>
        </w:tc>
        <w:tc>
          <w:tcPr>
            <w:tcW w:w="1216" w:type="dxa"/>
            <w:shd w:val="clear" w:color="auto" w:fill="auto"/>
            <w:noWrap/>
            <w:vAlign w:val="bottom"/>
            <w:hideMark/>
          </w:tcPr>
          <w:p w:rsidR="001B4CAA" w:rsidRPr="001B4CAA" w:rsidRDefault="001B4CAA">
            <w:pPr>
              <w:jc w:val="right"/>
              <w:rPr>
                <w:rFonts w:ascii="Arial" w:hAnsi="Arial" w:cs="Arial"/>
                <w:color w:val="002060"/>
                <w:sz w:val="18"/>
                <w:szCs w:val="18"/>
              </w:rPr>
            </w:pPr>
            <w:r w:rsidRPr="001B4CAA">
              <w:rPr>
                <w:rFonts w:ascii="Arial" w:hAnsi="Arial" w:cs="Arial"/>
                <w:color w:val="002060"/>
                <w:sz w:val="18"/>
                <w:szCs w:val="18"/>
              </w:rPr>
              <w:t>-7.8%</w:t>
            </w:r>
          </w:p>
        </w:tc>
      </w:tr>
      <w:tr w:rsidR="001B4CAA" w:rsidRPr="00C75DBA" w:rsidTr="00C13883">
        <w:trPr>
          <w:trHeight w:val="280"/>
        </w:trPr>
        <w:tc>
          <w:tcPr>
            <w:tcW w:w="2142" w:type="dxa"/>
            <w:shd w:val="clear" w:color="auto" w:fill="auto"/>
            <w:noWrap/>
            <w:vAlign w:val="bottom"/>
            <w:hideMark/>
          </w:tcPr>
          <w:p w:rsidR="001B4CAA" w:rsidRPr="001B4CAA" w:rsidRDefault="001B4CAA">
            <w:pPr>
              <w:jc w:val="right"/>
              <w:rPr>
                <w:rFonts w:ascii="Arial" w:hAnsi="Arial" w:cs="Arial"/>
                <w:b/>
                <w:color w:val="002060"/>
                <w:sz w:val="20"/>
              </w:rPr>
            </w:pPr>
            <w:r w:rsidRPr="001B4CAA">
              <w:rPr>
                <w:rFonts w:ascii="Arial" w:hAnsi="Arial" w:cs="Arial"/>
                <w:b/>
                <w:color w:val="002060"/>
                <w:sz w:val="20"/>
              </w:rPr>
              <w:t>% export</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79.1%</w:t>
            </w:r>
          </w:p>
        </w:tc>
        <w:tc>
          <w:tcPr>
            <w:tcW w:w="1134"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74.0%</w:t>
            </w:r>
          </w:p>
        </w:tc>
        <w:tc>
          <w:tcPr>
            <w:tcW w:w="1275"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 </w:t>
            </w:r>
          </w:p>
        </w:tc>
        <w:tc>
          <w:tcPr>
            <w:tcW w:w="1311"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79.7%</w:t>
            </w:r>
          </w:p>
        </w:tc>
        <w:tc>
          <w:tcPr>
            <w:tcW w:w="1106"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75.1%</w:t>
            </w:r>
          </w:p>
        </w:tc>
        <w:tc>
          <w:tcPr>
            <w:tcW w:w="1216" w:type="dxa"/>
            <w:shd w:val="clear" w:color="auto" w:fill="auto"/>
            <w:noWrap/>
            <w:vAlign w:val="bottom"/>
            <w:hideMark/>
          </w:tcPr>
          <w:p w:rsidR="001B4CAA" w:rsidRPr="001B4CAA" w:rsidRDefault="001B4CAA">
            <w:pPr>
              <w:jc w:val="right"/>
              <w:rPr>
                <w:rFonts w:ascii="Arial" w:hAnsi="Arial" w:cs="Arial"/>
                <w:color w:val="002060"/>
                <w:sz w:val="20"/>
              </w:rPr>
            </w:pPr>
            <w:r w:rsidRPr="001B4CAA">
              <w:rPr>
                <w:rFonts w:ascii="Arial" w:hAnsi="Arial" w:cs="Arial"/>
                <w:color w:val="002060"/>
                <w:sz w:val="20"/>
              </w:rPr>
              <w:t> </w:t>
            </w:r>
          </w:p>
        </w:tc>
      </w:tr>
    </w:tbl>
    <w:p w:rsidR="00585DB0" w:rsidRPr="009524D1" w:rsidRDefault="0028787F" w:rsidP="009F47F6">
      <w:pPr>
        <w:keepNext/>
        <w:rPr>
          <w:rFonts w:ascii="Arial" w:hAnsi="Arial" w:cs="Arial"/>
          <w:b/>
          <w:color w:val="1F497D" w:themeColor="text2"/>
          <w:sz w:val="20"/>
        </w:rPr>
      </w:pPr>
      <w:r w:rsidRPr="009524D1">
        <w:rPr>
          <w:rFonts w:ascii="Arial" w:hAnsi="Arial" w:cs="Arial"/>
          <w:b/>
          <w:color w:val="1F497D" w:themeColor="text2"/>
          <w:sz w:val="20"/>
        </w:rPr>
        <w:t xml:space="preserve">    </w:t>
      </w:r>
    </w:p>
    <w:p w:rsidR="0080410F" w:rsidRDefault="0080410F" w:rsidP="001A77A6">
      <w:pPr>
        <w:tabs>
          <w:tab w:val="right" w:pos="9332"/>
        </w:tabs>
        <w:rPr>
          <w:rFonts w:ascii="Arial" w:hAnsi="Arial" w:cs="Arial"/>
          <w:b/>
          <w:color w:val="0D2255"/>
          <w:sz w:val="20"/>
        </w:rPr>
      </w:pPr>
      <w:r>
        <w:rPr>
          <w:rFonts w:ascii="Arial" w:hAnsi="Arial" w:cs="Arial"/>
          <w:b/>
          <w:color w:val="0D2255"/>
          <w:sz w:val="20"/>
        </w:rPr>
        <w:t xml:space="preserve">    </w:t>
      </w:r>
    </w:p>
    <w:p w:rsidR="0080410F" w:rsidRDefault="009F47F6" w:rsidP="001A77A6">
      <w:pPr>
        <w:tabs>
          <w:tab w:val="right" w:pos="9332"/>
        </w:tabs>
        <w:rPr>
          <w:rFonts w:ascii="Arial" w:hAnsi="Arial" w:cs="Arial"/>
          <w:b/>
          <w:color w:val="0D2255"/>
          <w:sz w:val="20"/>
        </w:rPr>
      </w:pPr>
      <w:r>
        <w:rPr>
          <w:rFonts w:ascii="Arial" w:hAnsi="Arial" w:cs="Arial"/>
          <w:b/>
          <w:color w:val="0D2255"/>
          <w:sz w:val="20"/>
        </w:rPr>
        <w:t xml:space="preserve"> </w:t>
      </w:r>
      <w:r w:rsidR="0080410F">
        <w:rPr>
          <w:rFonts w:ascii="Arial" w:hAnsi="Arial" w:cs="Arial"/>
          <w:b/>
          <w:color w:val="0D2255"/>
          <w:sz w:val="20"/>
        </w:rPr>
        <w:t>UK c</w:t>
      </w:r>
      <w:r>
        <w:rPr>
          <w:rFonts w:ascii="Arial" w:hAnsi="Arial" w:cs="Arial"/>
          <w:b/>
          <w:color w:val="0D2255"/>
          <w:sz w:val="20"/>
        </w:rPr>
        <w:t>ar output</w:t>
      </w:r>
      <w:r w:rsidR="0080410F">
        <w:rPr>
          <w:rFonts w:ascii="Arial" w:hAnsi="Arial" w:cs="Arial"/>
          <w:b/>
          <w:color w:val="0D2255"/>
          <w:sz w:val="20"/>
        </w:rPr>
        <w:t xml:space="preserve"> year-to-date 2009, 2011, 2013 and 2015</w:t>
      </w:r>
    </w:p>
    <w:p w:rsidR="007E4A49" w:rsidRDefault="007E4A49" w:rsidP="001A77A6">
      <w:pPr>
        <w:tabs>
          <w:tab w:val="right" w:pos="9332"/>
        </w:tabs>
        <w:rPr>
          <w:rFonts w:ascii="Arial" w:hAnsi="Arial" w:cs="Arial"/>
          <w:b/>
          <w:color w:val="0D2255"/>
          <w:sz w:val="20"/>
        </w:rPr>
      </w:pPr>
    </w:p>
    <w:p w:rsidR="0080410F" w:rsidRDefault="0080410F" w:rsidP="001A77A6">
      <w:pPr>
        <w:tabs>
          <w:tab w:val="right" w:pos="9332"/>
        </w:tabs>
        <w:rPr>
          <w:rFonts w:ascii="Arial" w:hAnsi="Arial" w:cs="Arial"/>
          <w:sz w:val="16"/>
          <w:szCs w:val="16"/>
        </w:rPr>
      </w:pPr>
      <w:r>
        <w:rPr>
          <w:noProof/>
        </w:rPr>
        <w:drawing>
          <wp:inline distT="0" distB="0" distL="0" distR="0" wp14:anchorId="72AB730F" wp14:editId="366A023B">
            <wp:extent cx="2886075" cy="2876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10F" w:rsidRDefault="0080410F" w:rsidP="001A77A6">
      <w:pPr>
        <w:tabs>
          <w:tab w:val="right" w:pos="9332"/>
        </w:tabs>
        <w:rPr>
          <w:rFonts w:ascii="Arial" w:hAnsi="Arial" w:cs="Arial"/>
          <w:sz w:val="16"/>
          <w:szCs w:val="16"/>
        </w:rPr>
      </w:pPr>
    </w:p>
    <w:p w:rsidR="0080410F" w:rsidRDefault="0080410F" w:rsidP="001A77A6">
      <w:pPr>
        <w:tabs>
          <w:tab w:val="right" w:pos="9332"/>
        </w:tabs>
        <w:rPr>
          <w:rFonts w:ascii="Arial" w:hAnsi="Arial" w:cs="Arial"/>
          <w:sz w:val="16"/>
          <w:szCs w:val="16"/>
        </w:rPr>
      </w:pPr>
    </w:p>
    <w:p w:rsidR="0080410F" w:rsidRDefault="0080410F" w:rsidP="0080410F">
      <w:pPr>
        <w:tabs>
          <w:tab w:val="right" w:pos="9332"/>
        </w:tabs>
        <w:rPr>
          <w:rFonts w:ascii="Arial" w:hAnsi="Arial" w:cs="Arial"/>
          <w:b/>
          <w:color w:val="0D2255"/>
          <w:sz w:val="20"/>
        </w:rPr>
      </w:pPr>
      <w:bookmarkStart w:id="0" w:name="_GoBack"/>
      <w:r>
        <w:rPr>
          <w:rFonts w:ascii="Arial" w:hAnsi="Arial" w:cs="Arial"/>
          <w:b/>
          <w:color w:val="0D2255"/>
          <w:sz w:val="20"/>
        </w:rPr>
        <w:t xml:space="preserve">Car output – rolling year totals total vs </w:t>
      </w:r>
      <w:r w:rsidR="0093005D">
        <w:rPr>
          <w:rFonts w:ascii="Arial" w:hAnsi="Arial" w:cs="Arial"/>
          <w:b/>
          <w:color w:val="0D2255"/>
          <w:sz w:val="20"/>
        </w:rPr>
        <w:t>home</w:t>
      </w:r>
    </w:p>
    <w:bookmarkEnd w:id="0"/>
    <w:p w:rsidR="0080410F" w:rsidRDefault="0080410F" w:rsidP="0080410F">
      <w:pPr>
        <w:tabs>
          <w:tab w:val="right" w:pos="9332"/>
        </w:tabs>
        <w:rPr>
          <w:rFonts w:ascii="Arial" w:hAnsi="Arial" w:cs="Arial"/>
          <w:b/>
          <w:color w:val="0D2255"/>
          <w:sz w:val="20"/>
        </w:rPr>
      </w:pPr>
    </w:p>
    <w:p w:rsidR="0080410F" w:rsidRDefault="0080410F" w:rsidP="0080410F">
      <w:pPr>
        <w:tabs>
          <w:tab w:val="right" w:pos="9332"/>
        </w:tabs>
        <w:rPr>
          <w:rFonts w:ascii="Arial" w:hAnsi="Arial" w:cs="Arial"/>
          <w:b/>
          <w:color w:val="0D2255"/>
          <w:sz w:val="20"/>
        </w:rPr>
      </w:pPr>
    </w:p>
    <w:p w:rsidR="0080410F" w:rsidRDefault="0080410F" w:rsidP="0080410F">
      <w:pPr>
        <w:tabs>
          <w:tab w:val="right" w:pos="9332"/>
        </w:tabs>
        <w:rPr>
          <w:rFonts w:ascii="Arial" w:hAnsi="Arial" w:cs="Arial"/>
          <w:b/>
          <w:color w:val="0D2255"/>
          <w:sz w:val="20"/>
        </w:rPr>
      </w:pPr>
      <w:r>
        <w:rPr>
          <w:noProof/>
        </w:rPr>
        <w:drawing>
          <wp:inline distT="0" distB="0" distL="0" distR="0" wp14:anchorId="0C3BDB38" wp14:editId="4235CBBF">
            <wp:extent cx="5810250" cy="27527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410F" w:rsidRDefault="0080410F" w:rsidP="001A77A6">
      <w:pPr>
        <w:tabs>
          <w:tab w:val="right" w:pos="9332"/>
        </w:tabs>
        <w:rPr>
          <w:rFonts w:ascii="Arial" w:hAnsi="Arial" w:cs="Arial"/>
          <w:sz w:val="16"/>
          <w:szCs w:val="16"/>
        </w:rPr>
      </w:pPr>
    </w:p>
    <w:p w:rsidR="0080410F" w:rsidRDefault="0080410F" w:rsidP="001A77A6">
      <w:pPr>
        <w:tabs>
          <w:tab w:val="right" w:pos="9332"/>
        </w:tabs>
        <w:rPr>
          <w:rFonts w:ascii="Arial" w:hAnsi="Arial" w:cs="Arial"/>
          <w:sz w:val="16"/>
          <w:szCs w:val="16"/>
        </w:rPr>
      </w:pPr>
    </w:p>
    <w:sectPr w:rsidR="0080410F" w:rsidSect="007E4A49">
      <w:headerReference w:type="default" r:id="rId11"/>
      <w:footerReference w:type="default" r:id="rId12"/>
      <w:headerReference w:type="first" r:id="rId13"/>
      <w:pgSz w:w="11906" w:h="16838"/>
      <w:pgMar w:top="1440" w:right="1134" w:bottom="144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F5" w:rsidRDefault="004341F5" w:rsidP="00C80E70">
      <w:r>
        <w:separator/>
      </w:r>
    </w:p>
  </w:endnote>
  <w:endnote w:type="continuationSeparator" w:id="0">
    <w:p w:rsidR="004341F5" w:rsidRDefault="004341F5"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D" w:rsidRPr="00853E71" w:rsidRDefault="002E7D7D"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2E7D7D" w:rsidRPr="00853E71" w:rsidRDefault="002E7D7D"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E7D7D" w:rsidRPr="00853E71" w:rsidRDefault="002E7D7D" w:rsidP="00853E71">
    <w:pPr>
      <w:spacing w:afterAutospacing="1"/>
      <w:contextualSpacing/>
      <w:rPr>
        <w:rFonts w:ascii="Arial" w:eastAsia="Times New Roman" w:hAnsi="Arial" w:cs="Arial"/>
        <w:color w:val="1074CB"/>
        <w:sz w:val="16"/>
        <w:szCs w:val="16"/>
      </w:rPr>
    </w:pPr>
  </w:p>
  <w:p w:rsidR="002E7D7D" w:rsidRPr="00853E71" w:rsidRDefault="002E7D7D"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2E7D7D" w:rsidRPr="00853E71" w:rsidRDefault="002E7D7D" w:rsidP="00853E71">
    <w:pPr>
      <w:spacing w:afterAutospacing="1"/>
      <w:contextualSpacing/>
      <w:rPr>
        <w:rFonts w:ascii="Arial" w:eastAsia="Times New Roman" w:hAnsi="Arial" w:cs="Arial"/>
        <w:color w:val="1074CB"/>
        <w:sz w:val="16"/>
        <w:szCs w:val="16"/>
      </w:rPr>
    </w:pPr>
  </w:p>
  <w:p w:rsidR="002E7D7D" w:rsidRPr="00853E71" w:rsidRDefault="002E7D7D"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2E7D7D" w:rsidRPr="00853E71" w:rsidRDefault="002E7D7D" w:rsidP="00853E71">
    <w:pPr>
      <w:spacing w:afterAutospacing="1"/>
      <w:contextualSpacing/>
      <w:rPr>
        <w:rFonts w:ascii="Arial" w:eastAsia="Times New Roman" w:hAnsi="Arial" w:cs="Arial"/>
        <w:color w:val="1074CB"/>
        <w:sz w:val="16"/>
        <w:szCs w:val="16"/>
      </w:rPr>
    </w:pPr>
  </w:p>
  <w:p w:rsidR="002E7D7D" w:rsidRPr="00853E71" w:rsidRDefault="002E7D7D"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2E7D7D" w:rsidRPr="00853E71" w:rsidRDefault="002E7D7D"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2E7D7D" w:rsidRDefault="002E7D7D" w:rsidP="009524D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C6769D">
        <w:rPr>
          <w:rStyle w:val="Hyperlink"/>
          <w:rFonts w:ascii="Arial" w:eastAsia="Times New Roman" w:hAnsi="Arial" w:cs="Arial"/>
          <w:sz w:val="16"/>
          <w:szCs w:val="16"/>
        </w:rPr>
        <w:t>bfoulds@smmt.co.uk</w:t>
      </w:r>
    </w:hyperlink>
  </w:p>
  <w:p w:rsidR="002E7D7D" w:rsidRPr="00D16FB8" w:rsidRDefault="002E7D7D" w:rsidP="009524D1">
    <w:pPr>
      <w:rPr>
        <w:rFonts w:ascii="Arial" w:eastAsia="Times New Roman" w:hAnsi="Arial" w:cs="Arial"/>
        <w:color w:val="0000FF"/>
        <w:sz w:val="16"/>
        <w:szCs w:val="16"/>
        <w:u w:val="single"/>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F5" w:rsidRDefault="004341F5" w:rsidP="00C80E70">
      <w:r>
        <w:separator/>
      </w:r>
    </w:p>
  </w:footnote>
  <w:footnote w:type="continuationSeparator" w:id="0">
    <w:p w:rsidR="004341F5" w:rsidRDefault="004341F5"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D" w:rsidRDefault="002E7D7D"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14:anchorId="328B73D6" wp14:editId="2AE7B55B">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49" w:rsidRDefault="007E4A49">
    <w:pPr>
      <w:pStyle w:val="Header"/>
    </w:pPr>
    <w:r>
      <w:rPr>
        <w:rFonts w:ascii="Arial" w:hAnsi="Arial" w:cs="Arial"/>
        <w:b/>
        <w:bCs/>
        <w:noProof/>
        <w:color w:val="1074CB"/>
        <w:sz w:val="20"/>
      </w:rPr>
      <w:drawing>
        <wp:anchor distT="0" distB="0" distL="114300" distR="114300" simplePos="0" relativeHeight="251661312" behindDoc="0" locked="0" layoutInCell="1" allowOverlap="1" wp14:anchorId="16252B05" wp14:editId="2AF012D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0EA7"/>
    <w:rsid w:val="00002F84"/>
    <w:rsid w:val="0000491C"/>
    <w:rsid w:val="00006B7F"/>
    <w:rsid w:val="000109D8"/>
    <w:rsid w:val="00031DB4"/>
    <w:rsid w:val="00046A50"/>
    <w:rsid w:val="00065C4C"/>
    <w:rsid w:val="00066F55"/>
    <w:rsid w:val="000A4DE9"/>
    <w:rsid w:val="000A5DC2"/>
    <w:rsid w:val="000B47D6"/>
    <w:rsid w:val="000C0CE4"/>
    <w:rsid w:val="000D1505"/>
    <w:rsid w:val="000D245D"/>
    <w:rsid w:val="00100F35"/>
    <w:rsid w:val="00102817"/>
    <w:rsid w:val="00104853"/>
    <w:rsid w:val="001072EC"/>
    <w:rsid w:val="00107861"/>
    <w:rsid w:val="00111C19"/>
    <w:rsid w:val="00116498"/>
    <w:rsid w:val="00116666"/>
    <w:rsid w:val="00133B87"/>
    <w:rsid w:val="00143CC9"/>
    <w:rsid w:val="00153740"/>
    <w:rsid w:val="00156CB8"/>
    <w:rsid w:val="00157C8D"/>
    <w:rsid w:val="00161C0A"/>
    <w:rsid w:val="00166121"/>
    <w:rsid w:val="00170111"/>
    <w:rsid w:val="00170EFD"/>
    <w:rsid w:val="001737CD"/>
    <w:rsid w:val="001854E1"/>
    <w:rsid w:val="00192CE4"/>
    <w:rsid w:val="00192FBC"/>
    <w:rsid w:val="001A67B5"/>
    <w:rsid w:val="001A77A6"/>
    <w:rsid w:val="001B1AA6"/>
    <w:rsid w:val="001B4CAA"/>
    <w:rsid w:val="001C171F"/>
    <w:rsid w:val="001C389E"/>
    <w:rsid w:val="001D046A"/>
    <w:rsid w:val="001D6CB9"/>
    <w:rsid w:val="001D7212"/>
    <w:rsid w:val="001E33CE"/>
    <w:rsid w:val="001E35E1"/>
    <w:rsid w:val="001E7E3E"/>
    <w:rsid w:val="001F1128"/>
    <w:rsid w:val="001F7740"/>
    <w:rsid w:val="00200F65"/>
    <w:rsid w:val="0020535D"/>
    <w:rsid w:val="0020649D"/>
    <w:rsid w:val="002161F4"/>
    <w:rsid w:val="0021738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D5E78"/>
    <w:rsid w:val="002E4A51"/>
    <w:rsid w:val="002E5457"/>
    <w:rsid w:val="002E7D7D"/>
    <w:rsid w:val="002F673C"/>
    <w:rsid w:val="003050BA"/>
    <w:rsid w:val="00320C83"/>
    <w:rsid w:val="00336064"/>
    <w:rsid w:val="00345B59"/>
    <w:rsid w:val="003552CF"/>
    <w:rsid w:val="00356443"/>
    <w:rsid w:val="00371917"/>
    <w:rsid w:val="00375DF8"/>
    <w:rsid w:val="00377406"/>
    <w:rsid w:val="003824EE"/>
    <w:rsid w:val="003A01D6"/>
    <w:rsid w:val="003A2548"/>
    <w:rsid w:val="003A645F"/>
    <w:rsid w:val="003B1C39"/>
    <w:rsid w:val="003C684D"/>
    <w:rsid w:val="003D08D1"/>
    <w:rsid w:val="003D4A50"/>
    <w:rsid w:val="003D5FBD"/>
    <w:rsid w:val="003D6FB9"/>
    <w:rsid w:val="003E423F"/>
    <w:rsid w:val="003E53DB"/>
    <w:rsid w:val="003E69D3"/>
    <w:rsid w:val="003E784C"/>
    <w:rsid w:val="004002C5"/>
    <w:rsid w:val="00410539"/>
    <w:rsid w:val="004319DB"/>
    <w:rsid w:val="004341F5"/>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E48D4"/>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A69CE"/>
    <w:rsid w:val="005B33EF"/>
    <w:rsid w:val="005B536B"/>
    <w:rsid w:val="005C4BC2"/>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D458E"/>
    <w:rsid w:val="006D538E"/>
    <w:rsid w:val="006E2AC9"/>
    <w:rsid w:val="006E4BD9"/>
    <w:rsid w:val="006E534D"/>
    <w:rsid w:val="006E5BF9"/>
    <w:rsid w:val="00707D9A"/>
    <w:rsid w:val="0071028F"/>
    <w:rsid w:val="0071413A"/>
    <w:rsid w:val="00714EF7"/>
    <w:rsid w:val="0073709A"/>
    <w:rsid w:val="00741778"/>
    <w:rsid w:val="00741A8B"/>
    <w:rsid w:val="00742FA5"/>
    <w:rsid w:val="007433FE"/>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7669"/>
    <w:rsid w:val="007D2D63"/>
    <w:rsid w:val="007D31B3"/>
    <w:rsid w:val="007D4EAB"/>
    <w:rsid w:val="007E3B55"/>
    <w:rsid w:val="007E4A49"/>
    <w:rsid w:val="007F10B4"/>
    <w:rsid w:val="007F73B4"/>
    <w:rsid w:val="008030A3"/>
    <w:rsid w:val="0080410F"/>
    <w:rsid w:val="00804C47"/>
    <w:rsid w:val="00806662"/>
    <w:rsid w:val="00806C8E"/>
    <w:rsid w:val="008152E4"/>
    <w:rsid w:val="00835F96"/>
    <w:rsid w:val="008372BE"/>
    <w:rsid w:val="00853B7F"/>
    <w:rsid w:val="00853E71"/>
    <w:rsid w:val="00854403"/>
    <w:rsid w:val="00856BDA"/>
    <w:rsid w:val="00861E9C"/>
    <w:rsid w:val="0086619E"/>
    <w:rsid w:val="00866A2F"/>
    <w:rsid w:val="008716AA"/>
    <w:rsid w:val="00871FF2"/>
    <w:rsid w:val="00875A4A"/>
    <w:rsid w:val="00875B47"/>
    <w:rsid w:val="008A13E6"/>
    <w:rsid w:val="008B04AD"/>
    <w:rsid w:val="008B287D"/>
    <w:rsid w:val="008B39A0"/>
    <w:rsid w:val="008B46EA"/>
    <w:rsid w:val="008B50CB"/>
    <w:rsid w:val="008B5B80"/>
    <w:rsid w:val="008C2E17"/>
    <w:rsid w:val="008C49F7"/>
    <w:rsid w:val="008D4D5C"/>
    <w:rsid w:val="008E4462"/>
    <w:rsid w:val="008E7A24"/>
    <w:rsid w:val="008F126A"/>
    <w:rsid w:val="008F17E6"/>
    <w:rsid w:val="008F40B8"/>
    <w:rsid w:val="008F4D92"/>
    <w:rsid w:val="008F55A4"/>
    <w:rsid w:val="0091033F"/>
    <w:rsid w:val="00924274"/>
    <w:rsid w:val="0093005D"/>
    <w:rsid w:val="00931C26"/>
    <w:rsid w:val="009524D1"/>
    <w:rsid w:val="009529B3"/>
    <w:rsid w:val="00957143"/>
    <w:rsid w:val="00963663"/>
    <w:rsid w:val="00964455"/>
    <w:rsid w:val="0097483C"/>
    <w:rsid w:val="00981DD8"/>
    <w:rsid w:val="00983575"/>
    <w:rsid w:val="009A00FC"/>
    <w:rsid w:val="009B01D2"/>
    <w:rsid w:val="009C2F5C"/>
    <w:rsid w:val="009C6875"/>
    <w:rsid w:val="009C74E7"/>
    <w:rsid w:val="009D58F5"/>
    <w:rsid w:val="009D6484"/>
    <w:rsid w:val="009E6768"/>
    <w:rsid w:val="009E79A4"/>
    <w:rsid w:val="009F1E13"/>
    <w:rsid w:val="009F47F6"/>
    <w:rsid w:val="009F480D"/>
    <w:rsid w:val="009F5D30"/>
    <w:rsid w:val="00A11D46"/>
    <w:rsid w:val="00A1415B"/>
    <w:rsid w:val="00A2060E"/>
    <w:rsid w:val="00A24874"/>
    <w:rsid w:val="00A25078"/>
    <w:rsid w:val="00A32987"/>
    <w:rsid w:val="00A46B80"/>
    <w:rsid w:val="00A46C94"/>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F5209"/>
    <w:rsid w:val="00AF7D70"/>
    <w:rsid w:val="00B02E7D"/>
    <w:rsid w:val="00B062C8"/>
    <w:rsid w:val="00B228C1"/>
    <w:rsid w:val="00B36DF8"/>
    <w:rsid w:val="00B40BAA"/>
    <w:rsid w:val="00B52EB2"/>
    <w:rsid w:val="00B56116"/>
    <w:rsid w:val="00B67EBD"/>
    <w:rsid w:val="00B8295C"/>
    <w:rsid w:val="00BA570F"/>
    <w:rsid w:val="00BA64BD"/>
    <w:rsid w:val="00BB2704"/>
    <w:rsid w:val="00BC48CA"/>
    <w:rsid w:val="00BC4EBA"/>
    <w:rsid w:val="00BC5083"/>
    <w:rsid w:val="00BC7B6B"/>
    <w:rsid w:val="00BD12B0"/>
    <w:rsid w:val="00BE5BD9"/>
    <w:rsid w:val="00BF0D4C"/>
    <w:rsid w:val="00BF0E2C"/>
    <w:rsid w:val="00BF4C94"/>
    <w:rsid w:val="00BF703F"/>
    <w:rsid w:val="00C07099"/>
    <w:rsid w:val="00C13462"/>
    <w:rsid w:val="00C13883"/>
    <w:rsid w:val="00C23320"/>
    <w:rsid w:val="00C43E38"/>
    <w:rsid w:val="00C468CD"/>
    <w:rsid w:val="00C51D6F"/>
    <w:rsid w:val="00C657AB"/>
    <w:rsid w:val="00C73F08"/>
    <w:rsid w:val="00C75DBA"/>
    <w:rsid w:val="00C802D4"/>
    <w:rsid w:val="00C80E70"/>
    <w:rsid w:val="00C81B6C"/>
    <w:rsid w:val="00C84572"/>
    <w:rsid w:val="00CA3369"/>
    <w:rsid w:val="00CD1B9E"/>
    <w:rsid w:val="00CD2B5F"/>
    <w:rsid w:val="00CE21EA"/>
    <w:rsid w:val="00CE230C"/>
    <w:rsid w:val="00CE3518"/>
    <w:rsid w:val="00CF0876"/>
    <w:rsid w:val="00D10336"/>
    <w:rsid w:val="00D16FB8"/>
    <w:rsid w:val="00D215AE"/>
    <w:rsid w:val="00D27995"/>
    <w:rsid w:val="00D446D8"/>
    <w:rsid w:val="00D55AD9"/>
    <w:rsid w:val="00D561FB"/>
    <w:rsid w:val="00D6067E"/>
    <w:rsid w:val="00D617C5"/>
    <w:rsid w:val="00D6336B"/>
    <w:rsid w:val="00D750C6"/>
    <w:rsid w:val="00D80BA0"/>
    <w:rsid w:val="00D8536B"/>
    <w:rsid w:val="00D86627"/>
    <w:rsid w:val="00D911A4"/>
    <w:rsid w:val="00D92B21"/>
    <w:rsid w:val="00D9331D"/>
    <w:rsid w:val="00DA01A2"/>
    <w:rsid w:val="00DA726D"/>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70BD"/>
    <w:rsid w:val="00E3007C"/>
    <w:rsid w:val="00E32BFF"/>
    <w:rsid w:val="00E343D2"/>
    <w:rsid w:val="00E45A7A"/>
    <w:rsid w:val="00E60BCB"/>
    <w:rsid w:val="00E61191"/>
    <w:rsid w:val="00E63248"/>
    <w:rsid w:val="00E634A1"/>
    <w:rsid w:val="00E67C34"/>
    <w:rsid w:val="00E93BC7"/>
    <w:rsid w:val="00EA2295"/>
    <w:rsid w:val="00EA5064"/>
    <w:rsid w:val="00EB2457"/>
    <w:rsid w:val="00EB2FB8"/>
    <w:rsid w:val="00EB5924"/>
    <w:rsid w:val="00EB5EA2"/>
    <w:rsid w:val="00EC65AF"/>
    <w:rsid w:val="00ED05CB"/>
    <w:rsid w:val="00EE3781"/>
    <w:rsid w:val="00EF35D8"/>
    <w:rsid w:val="00EF5953"/>
    <w:rsid w:val="00F205F0"/>
    <w:rsid w:val="00F24827"/>
    <w:rsid w:val="00F43472"/>
    <w:rsid w:val="00F47600"/>
    <w:rsid w:val="00F50743"/>
    <w:rsid w:val="00F564EF"/>
    <w:rsid w:val="00F72297"/>
    <w:rsid w:val="00F73D70"/>
    <w:rsid w:val="00F83C9A"/>
    <w:rsid w:val="00F84115"/>
    <w:rsid w:val="00F84AAC"/>
    <w:rsid w:val="00F850C5"/>
    <w:rsid w:val="00F85A76"/>
    <w:rsid w:val="00F94FE7"/>
    <w:rsid w:val="00FC14BC"/>
    <w:rsid w:val="00FF63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CAR-CV-PR-HEADLINE-CHARTS-FEB15.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a\AppData\Local\Microsoft\Windows\Temporary%20Internet%20Files\Content.Outlook\OKOAF9FC\CAR-CV-PR-HEADLINE-CHARTS-FEB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99614841044299"/>
          <c:y val="9.6026538349372997E-2"/>
          <c:w val="0.76855611983413297"/>
          <c:h val="0.69702138439129402"/>
        </c:manualLayout>
      </c:layout>
      <c:barChart>
        <c:barDir val="col"/>
        <c:grouping val="clustered"/>
        <c:varyColors val="0"/>
        <c:ser>
          <c:idx val="1"/>
          <c:order val="0"/>
          <c:tx>
            <c:strRef>
              <c:f>'PR-charts'!$A$5</c:f>
              <c:strCache>
                <c:ptCount val="1"/>
                <c:pt idx="0">
                  <c:v>Cars</c:v>
                </c:pt>
              </c:strCache>
            </c:strRef>
          </c:tx>
          <c:spPr>
            <a:solidFill>
              <a:srgbClr val="1074CB"/>
            </a:solidFill>
            <a:ln>
              <a:noFill/>
            </a:ln>
          </c:spPr>
          <c:invertIfNegative val="0"/>
          <c:dPt>
            <c:idx val="6"/>
            <c:invertIfNegative val="0"/>
            <c:bubble3D val="0"/>
            <c:spPr>
              <a:solidFill>
                <a:srgbClr val="1074CB"/>
              </a:solidFill>
              <a:ln>
                <a:noFill/>
              </a:ln>
            </c:spPr>
          </c:dPt>
          <c:cat>
            <c:numRef>
              <c:f>'PR-charts'!$B$4:$E$4</c:f>
              <c:numCache>
                <c:formatCode>General</c:formatCode>
                <c:ptCount val="4"/>
                <c:pt idx="0">
                  <c:v>2009</c:v>
                </c:pt>
                <c:pt idx="1">
                  <c:v>2011</c:v>
                </c:pt>
                <c:pt idx="2">
                  <c:v>2013</c:v>
                </c:pt>
                <c:pt idx="3">
                  <c:v>2015</c:v>
                </c:pt>
              </c:numCache>
            </c:numRef>
          </c:cat>
          <c:val>
            <c:numRef>
              <c:f>'PR-charts'!$B$5:$E$5</c:f>
              <c:numCache>
                <c:formatCode>0</c:formatCode>
                <c:ptCount val="4"/>
                <c:pt idx="0" formatCode="General">
                  <c:v>121181</c:v>
                </c:pt>
                <c:pt idx="1">
                  <c:v>222178</c:v>
                </c:pt>
                <c:pt idx="2" formatCode="General">
                  <c:v>266507</c:v>
                </c:pt>
                <c:pt idx="3" formatCode="General">
                  <c:v>257300</c:v>
                </c:pt>
              </c:numCache>
            </c:numRef>
          </c:val>
        </c:ser>
        <c:dLbls>
          <c:showLegendKey val="0"/>
          <c:showVal val="0"/>
          <c:showCatName val="0"/>
          <c:showSerName val="0"/>
          <c:showPercent val="0"/>
          <c:showBubbleSize val="0"/>
        </c:dLbls>
        <c:gapWidth val="48"/>
        <c:axId val="227837440"/>
        <c:axId val="165691968"/>
      </c:barChart>
      <c:catAx>
        <c:axId val="227837440"/>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165691968"/>
        <c:crosses val="autoZero"/>
        <c:auto val="1"/>
        <c:lblAlgn val="ctr"/>
        <c:lblOffset val="100"/>
        <c:noMultiLvlLbl val="0"/>
      </c:catAx>
      <c:valAx>
        <c:axId val="165691968"/>
        <c:scaling>
          <c:orientation val="minMax"/>
        </c:scaling>
        <c:delete val="0"/>
        <c:axPos val="l"/>
        <c:majorGridlines/>
        <c:numFmt formatCode="#,##0" sourceLinked="0"/>
        <c:majorTickMark val="out"/>
        <c:minorTickMark val="none"/>
        <c:tickLblPos val="nextTo"/>
        <c:txPr>
          <a:bodyPr rot="-960000" vert="horz"/>
          <a:lstStyle/>
          <a:p>
            <a:pPr>
              <a:defRPr sz="1000" b="0" i="0" u="none" strike="noStrike" baseline="0">
                <a:solidFill>
                  <a:srgbClr val="002060"/>
                </a:solidFill>
                <a:latin typeface="Arial"/>
                <a:ea typeface="Arial"/>
                <a:cs typeface="Arial"/>
              </a:defRPr>
            </a:pPr>
            <a:endParaRPr lang="en-US"/>
          </a:p>
        </c:txPr>
        <c:crossAx val="22783744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93292027021199"/>
          <c:y val="0.112373453318335"/>
          <c:w val="0.68177754829826609"/>
          <c:h val="0.75645547956140602"/>
        </c:manualLayout>
      </c:layout>
      <c:lineChart>
        <c:grouping val="standard"/>
        <c:varyColors val="0"/>
        <c:ser>
          <c:idx val="13"/>
          <c:order val="0"/>
          <c:tx>
            <c:strRef>
              <c:f>'PR&amp;12MONTHROLL-dataforcharts'!$B$3</c:f>
              <c:strCache>
                <c:ptCount val="1"/>
                <c:pt idx="0">
                  <c:v>Total Car</c:v>
                </c:pt>
              </c:strCache>
            </c:strRef>
          </c:tx>
          <c:spPr>
            <a:ln w="31750">
              <a:solidFill>
                <a:srgbClr val="002060"/>
              </a:solidFill>
              <a:prstDash val="solid"/>
            </a:ln>
          </c:spPr>
          <c:marker>
            <c:symbol val="none"/>
          </c:marker>
          <c:cat>
            <c:numRef>
              <c:f>'PR&amp;12MONTHROLL-dataforcharts'!$C$2:$CU$2</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'PR&amp;12MONTHROLL-dataforcharts'!$C$3:$CU$3</c:f>
              <c:numCache>
                <c:formatCode>0.0,</c:formatCode>
                <c:ptCount val="97"/>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numCache>
            </c:numRef>
          </c:val>
          <c:smooth val="0"/>
        </c:ser>
        <c:dLbls>
          <c:showLegendKey val="0"/>
          <c:showVal val="0"/>
          <c:showCatName val="0"/>
          <c:showSerName val="0"/>
          <c:showPercent val="0"/>
          <c:showBubbleSize val="0"/>
        </c:dLbls>
        <c:marker val="1"/>
        <c:smooth val="0"/>
        <c:axId val="227671040"/>
        <c:axId val="165395200"/>
      </c:lineChart>
      <c:lineChart>
        <c:grouping val="standard"/>
        <c:varyColors val="0"/>
        <c:ser>
          <c:idx val="0"/>
          <c:order val="1"/>
          <c:tx>
            <c:strRef>
              <c:f>'PR&amp;12MONTHROLL-dataforcharts'!$B$4</c:f>
              <c:strCache>
                <c:ptCount val="1"/>
                <c:pt idx="0">
                  <c:v>for UK market</c:v>
                </c:pt>
              </c:strCache>
            </c:strRef>
          </c:tx>
          <c:spPr>
            <a:ln>
              <a:solidFill>
                <a:srgbClr val="1074CB"/>
              </a:solidFill>
              <a:prstDash val="solid"/>
            </a:ln>
          </c:spPr>
          <c:marker>
            <c:symbol val="none"/>
          </c:marker>
          <c:cat>
            <c:numRef>
              <c:f>'PR&amp;12MONTHROLL-dataforcharts'!$C$2:$CU$2</c:f>
              <c:numCache>
                <c:formatCode>General</c:formatCode>
                <c:ptCount val="97"/>
                <c:pt idx="0">
                  <c:v>2008</c:v>
                </c:pt>
                <c:pt idx="12">
                  <c:v>2009</c:v>
                </c:pt>
                <c:pt idx="24">
                  <c:v>2010</c:v>
                </c:pt>
                <c:pt idx="36">
                  <c:v>2011</c:v>
                </c:pt>
                <c:pt idx="48">
                  <c:v>2012</c:v>
                </c:pt>
                <c:pt idx="60">
                  <c:v>2013</c:v>
                </c:pt>
                <c:pt idx="72">
                  <c:v>2014</c:v>
                </c:pt>
                <c:pt idx="84">
                  <c:v>2015</c:v>
                </c:pt>
                <c:pt idx="96">
                  <c:v>2016</c:v>
                </c:pt>
              </c:numCache>
            </c:numRef>
          </c:cat>
          <c:val>
            <c:numRef>
              <c:f>'PR&amp;12MONTHROLL-dataforcharts'!$C$4:$CU$4</c:f>
              <c:numCache>
                <c:formatCode>0.0,</c:formatCode>
                <c:ptCount val="97"/>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numCache>
            </c:numRef>
          </c:val>
          <c:smooth val="0"/>
        </c:ser>
        <c:dLbls>
          <c:showLegendKey val="0"/>
          <c:showVal val="0"/>
          <c:showCatName val="0"/>
          <c:showSerName val="0"/>
          <c:showPercent val="0"/>
          <c:showBubbleSize val="0"/>
        </c:dLbls>
        <c:marker val="1"/>
        <c:smooth val="0"/>
        <c:axId val="227838464"/>
        <c:axId val="165395776"/>
      </c:lineChart>
      <c:catAx>
        <c:axId val="227671040"/>
        <c:scaling>
          <c:orientation val="minMax"/>
        </c:scaling>
        <c:delete val="0"/>
        <c:axPos val="b"/>
        <c:numFmt formatCode="General" sourceLinked="0"/>
        <c:majorTickMark val="out"/>
        <c:minorTickMark val="none"/>
        <c:tickLblPos val="nextTo"/>
        <c:spPr>
          <a:ln w="3175">
            <a:solidFill>
              <a:srgbClr val="000000"/>
            </a:solidFill>
            <a:prstDash val="solid"/>
          </a:ln>
        </c:spPr>
        <c:txPr>
          <a:bodyPr rot="-1740000" vert="horz"/>
          <a:lstStyle/>
          <a:p>
            <a:pPr>
              <a:defRPr sz="1000" b="0" i="1" u="none" strike="noStrike" baseline="0">
                <a:solidFill>
                  <a:srgbClr val="002060"/>
                </a:solidFill>
                <a:latin typeface="Arial"/>
                <a:ea typeface="Arial"/>
                <a:cs typeface="Arial"/>
              </a:defRPr>
            </a:pPr>
            <a:endParaRPr lang="en-US"/>
          </a:p>
        </c:txPr>
        <c:crossAx val="165395200"/>
        <c:crossesAt val="600000.00000000012"/>
        <c:auto val="1"/>
        <c:lblAlgn val="ctr"/>
        <c:lblOffset val="100"/>
        <c:tickLblSkip val="12"/>
        <c:tickMarkSkip val="1"/>
        <c:noMultiLvlLbl val="0"/>
      </c:catAx>
      <c:valAx>
        <c:axId val="165395200"/>
        <c:scaling>
          <c:orientation val="minMax"/>
          <c:min val="600000.00000000012"/>
        </c:scaling>
        <c:delete val="0"/>
        <c:axPos val="l"/>
        <c:majorGridlines>
          <c:spPr>
            <a:ln w="3175">
              <a:solidFill>
                <a:srgbClr val="000000"/>
              </a:solidFill>
              <a:prstDash val="solid"/>
            </a:ln>
          </c:spPr>
        </c:majorGridlines>
        <c:title>
          <c:tx>
            <c:rich>
              <a:bodyPr/>
              <a:lstStyle/>
              <a:p>
                <a:pPr>
                  <a:defRPr sz="1000" b="1" i="1" u="none" strike="noStrike" baseline="0">
                    <a:solidFill>
                      <a:srgbClr val="002060"/>
                    </a:solidFill>
                    <a:latin typeface="Arial"/>
                    <a:ea typeface="Arial"/>
                    <a:cs typeface="Arial"/>
                  </a:defRPr>
                </a:pPr>
                <a:r>
                  <a:rPr lang="en-GB" sz="1000" baseline="0">
                    <a:solidFill>
                      <a:srgbClr val="002060"/>
                    </a:solidFill>
                  </a:rPr>
                  <a:t>Total manufacturing</a:t>
                </a:r>
              </a:p>
            </c:rich>
          </c:tx>
          <c:layout>
            <c:manualLayout>
              <c:xMode val="edge"/>
              <c:yMode val="edge"/>
              <c:x val="1.8339486252742995E-2"/>
              <c:y val="0.25942257217847764"/>
            </c:manualLayout>
          </c:layout>
          <c:overlay val="0"/>
        </c:title>
        <c:numFmt formatCode="#,##0" sourceLinked="0"/>
        <c:majorTickMark val="out"/>
        <c:minorTickMark val="none"/>
        <c:tickLblPos val="nextTo"/>
        <c:spPr>
          <a:ln w="3175">
            <a:solidFill>
              <a:srgbClr val="000000"/>
            </a:solidFill>
            <a:prstDash val="solid"/>
          </a:ln>
        </c:spPr>
        <c:txPr>
          <a:bodyPr rot="-900000" vert="horz"/>
          <a:lstStyle/>
          <a:p>
            <a:pPr>
              <a:defRPr sz="1000" b="0" i="1" u="none" strike="noStrike" baseline="0">
                <a:solidFill>
                  <a:srgbClr val="002060"/>
                </a:solidFill>
                <a:latin typeface="Arial"/>
                <a:ea typeface="Arial"/>
                <a:cs typeface="Arial"/>
              </a:defRPr>
            </a:pPr>
            <a:endParaRPr lang="en-US"/>
          </a:p>
        </c:txPr>
        <c:crossAx val="227671040"/>
        <c:crosses val="autoZero"/>
        <c:crossBetween val="between"/>
      </c:valAx>
      <c:catAx>
        <c:axId val="227838464"/>
        <c:scaling>
          <c:orientation val="minMax"/>
        </c:scaling>
        <c:delete val="1"/>
        <c:axPos val="b"/>
        <c:numFmt formatCode="General" sourceLinked="1"/>
        <c:majorTickMark val="out"/>
        <c:minorTickMark val="none"/>
        <c:tickLblPos val="nextTo"/>
        <c:crossAx val="165395776"/>
        <c:crosses val="autoZero"/>
        <c:auto val="1"/>
        <c:lblAlgn val="ctr"/>
        <c:lblOffset val="100"/>
        <c:noMultiLvlLbl val="0"/>
      </c:catAx>
      <c:valAx>
        <c:axId val="165395776"/>
        <c:scaling>
          <c:orientation val="minMax"/>
          <c:max val="400000"/>
          <c:min val="100000"/>
        </c:scaling>
        <c:delete val="0"/>
        <c:axPos val="r"/>
        <c:title>
          <c:tx>
            <c:rich>
              <a:bodyPr rot="-5400000" vert="horz"/>
              <a:lstStyle/>
              <a:p>
                <a:pPr>
                  <a:defRPr/>
                </a:pPr>
                <a:r>
                  <a:rPr lang="en-GB" sz="1000" b="1">
                    <a:solidFill>
                      <a:srgbClr val="002060"/>
                    </a:solidFill>
                  </a:rPr>
                  <a:t>Manufacturing</a:t>
                </a:r>
                <a:r>
                  <a:rPr lang="en-GB" sz="1000" b="1" baseline="0">
                    <a:solidFill>
                      <a:srgbClr val="002060"/>
                    </a:solidFill>
                  </a:rPr>
                  <a:t> tfor home market (thousands</a:t>
                </a:r>
                <a:r>
                  <a:rPr lang="en-GB" baseline="0"/>
                  <a:t>)</a:t>
                </a:r>
                <a:endParaRPr lang="en-GB"/>
              </a:p>
            </c:rich>
          </c:tx>
          <c:layout/>
          <c:overlay val="0"/>
        </c:title>
        <c:numFmt formatCode="0.0," sourceLinked="1"/>
        <c:majorTickMark val="out"/>
        <c:minorTickMark val="none"/>
        <c:tickLblPos val="nextTo"/>
        <c:txPr>
          <a:bodyPr/>
          <a:lstStyle/>
          <a:p>
            <a:pPr>
              <a:defRPr baseline="0">
                <a:solidFill>
                  <a:srgbClr val="002060"/>
                </a:solidFill>
              </a:defRPr>
            </a:pPr>
            <a:endParaRPr lang="en-US"/>
          </a:p>
        </c:txPr>
        <c:crossAx val="227838464"/>
        <c:crosses val="max"/>
        <c:crossBetween val="between"/>
      </c:valAx>
      <c:spPr>
        <a:noFill/>
        <a:ln w="12700">
          <a:solidFill>
            <a:srgbClr val="808080"/>
          </a:solidFill>
          <a:prstDash val="solid"/>
        </a:ln>
      </c:spPr>
    </c:plotArea>
    <c:legend>
      <c:legendPos val="r"/>
      <c:layout>
        <c:manualLayout>
          <c:xMode val="edge"/>
          <c:yMode val="edge"/>
          <c:x val="0.58734262530013504"/>
          <c:y val="0.766447829091354"/>
          <c:w val="0.29719255141085998"/>
          <c:h val="9.2460373033242602E-2"/>
        </c:manualLayout>
      </c:layout>
      <c:overlay val="0"/>
      <c:spPr>
        <a:solidFill>
          <a:srgbClr val="FFFFFF"/>
        </a:solidFill>
        <a:ln w="3175">
          <a:solidFill>
            <a:srgbClr val="000000"/>
          </a:solidFill>
          <a:prstDash val="solid"/>
        </a:ln>
      </c:spPr>
      <c:txPr>
        <a:bodyPr/>
        <a:lstStyle/>
        <a:p>
          <a:pPr>
            <a:defRPr sz="735" b="0" i="1"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cdr:x>
      <cdr:y>0.75797</cdr:y>
    </cdr:from>
    <cdr:to>
      <cdr:x>0.67863</cdr:x>
      <cdr:y>0.82249</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8232E-45FF-4BE4-8FC5-EA5F55A3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14473BD9</Template>
  <TotalTime>13</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4</cp:revision>
  <cp:lastPrinted>2015-03-18T14:28:00Z</cp:lastPrinted>
  <dcterms:created xsi:type="dcterms:W3CDTF">2015-03-18T14:18:00Z</dcterms:created>
  <dcterms:modified xsi:type="dcterms:W3CDTF">2015-03-19T09:02:00Z</dcterms:modified>
</cp:coreProperties>
</file>