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134" w:rsidRPr="00D62A9D" w:rsidRDefault="00E75134" w:rsidP="00E75134">
      <w:pPr>
        <w:pStyle w:val="Heading1"/>
        <w:ind w:right="142"/>
        <w:rPr>
          <w:rFonts w:ascii="Arial" w:eastAsiaTheme="minorEastAsia" w:hAnsi="Arial" w:cs="Arial"/>
          <w:bCs/>
          <w:color w:val="1074CB"/>
          <w:sz w:val="44"/>
          <w:szCs w:val="44"/>
        </w:rPr>
      </w:pPr>
      <w:r>
        <w:rPr>
          <w:rFonts w:ascii="Arial" w:eastAsiaTheme="minorEastAsia" w:hAnsi="Arial" w:cs="Arial"/>
          <w:bCs/>
          <w:color w:val="1074CB"/>
          <w:sz w:val="44"/>
          <w:szCs w:val="44"/>
        </w:rPr>
        <w:t>UK CAR</w:t>
      </w:r>
      <w:r w:rsidRPr="00D62A9D">
        <w:rPr>
          <w:rFonts w:ascii="Arial" w:eastAsiaTheme="minorEastAsia" w:hAnsi="Arial" w:cs="Arial"/>
          <w:bCs/>
          <w:color w:val="1074CB"/>
          <w:sz w:val="44"/>
          <w:szCs w:val="44"/>
        </w:rPr>
        <w:t xml:space="preserve"> MANUFACTURING</w:t>
      </w:r>
    </w:p>
    <w:p w:rsidR="00E75134" w:rsidRPr="00D62A9D" w:rsidRDefault="00E75134" w:rsidP="00E75134">
      <w:pPr>
        <w:pStyle w:val="Heading1"/>
        <w:ind w:right="142"/>
        <w:rPr>
          <w:rFonts w:ascii="Arial" w:eastAsiaTheme="minorEastAsia" w:hAnsi="Arial" w:cs="Arial"/>
          <w:b w:val="0"/>
          <w:bCs/>
          <w:color w:val="1074CB"/>
          <w:sz w:val="44"/>
          <w:szCs w:val="44"/>
        </w:rPr>
      </w:pPr>
      <w:r w:rsidRPr="00D62A9D">
        <w:rPr>
          <w:rFonts w:ascii="Arial" w:eastAsiaTheme="minorEastAsia" w:hAnsi="Arial" w:cs="Arial"/>
          <w:b w:val="0"/>
          <w:bCs/>
          <w:color w:val="1074CB"/>
          <w:sz w:val="44"/>
          <w:szCs w:val="44"/>
        </w:rPr>
        <w:t xml:space="preserve">21 February 2013 </w:t>
      </w:r>
      <w:r w:rsidRPr="00D62A9D">
        <w:rPr>
          <w:rFonts w:ascii="Arial" w:eastAsiaTheme="minorEastAsia" w:hAnsi="Arial" w:cs="Arial"/>
          <w:b w:val="0"/>
          <w:bCs/>
          <w:color w:val="1074CB"/>
          <w:sz w:val="32"/>
          <w:szCs w:val="32"/>
        </w:rPr>
        <w:t>(data for January 2013)</w:t>
      </w:r>
    </w:p>
    <w:p w:rsidR="00E75134" w:rsidRDefault="00E75134" w:rsidP="00E75134">
      <w:pPr>
        <w:pStyle w:val="Heading1"/>
        <w:ind w:right="142"/>
        <w:rPr>
          <w:rFonts w:ascii="Arial" w:eastAsiaTheme="minorEastAsia" w:hAnsi="Arial" w:cs="Arial"/>
          <w:b w:val="0"/>
          <w:bCs/>
          <w:color w:val="1074CB"/>
        </w:rPr>
      </w:pPr>
      <w:r w:rsidRPr="00D62A9D">
        <w:rPr>
          <w:rFonts w:ascii="Arial" w:eastAsiaTheme="minorEastAsia" w:hAnsi="Arial" w:cs="Arial"/>
          <w:b w:val="0"/>
          <w:bCs/>
          <w:color w:val="1074CB"/>
        </w:rPr>
        <w:t>FOR RELEASE: IMMEDIATE</w:t>
      </w:r>
    </w:p>
    <w:p w:rsidR="00E75134" w:rsidRPr="00EA17B0" w:rsidRDefault="00240A59" w:rsidP="00EA17B0">
      <w:pPr>
        <w:tabs>
          <w:tab w:val="left" w:pos="889"/>
        </w:tabs>
        <w:rPr>
          <w:rFonts w:ascii="Arial" w:hAnsi="Arial" w:cs="Arial"/>
          <w:sz w:val="20"/>
        </w:rPr>
      </w:pPr>
      <w:r w:rsidRPr="00240A59">
        <w:rPr>
          <w:rFonts w:ascii="Arial" w:eastAsiaTheme="minorEastAsia" w:hAnsi="Arial" w:cs="Arial"/>
          <w:b/>
          <w:bCs/>
          <w:noProof/>
          <w:color w:val="1074CB"/>
          <w:sz w:val="20"/>
        </w:rPr>
        <w:pict>
          <v:line id="_x0000_s1028" style="position:absolute;z-index:251658752" from=".55pt,.6pt" to="464.4pt,.6pt" strokecolor="#1074cb"/>
        </w:pict>
      </w:r>
      <w:r w:rsidR="00EA17B0" w:rsidRPr="00EA17B0">
        <w:rPr>
          <w:rFonts w:ascii="Arial" w:hAnsi="Arial" w:cs="Arial"/>
          <w:sz w:val="20"/>
        </w:rPr>
        <w:tab/>
      </w:r>
    </w:p>
    <w:p w:rsidR="00E75134" w:rsidRPr="00D62A9D" w:rsidRDefault="00E75134" w:rsidP="00EA17B0">
      <w:pPr>
        <w:pStyle w:val="Heading1"/>
        <w:ind w:left="0" w:right="425" w:firstLine="0"/>
        <w:rPr>
          <w:rFonts w:ascii="Arial" w:eastAsiaTheme="minorEastAsia" w:hAnsi="Arial" w:cs="Arial"/>
          <w:bCs/>
          <w:color w:val="1074CB"/>
          <w:sz w:val="36"/>
          <w:szCs w:val="36"/>
        </w:rPr>
      </w:pPr>
      <w:r w:rsidRPr="00D62A9D">
        <w:rPr>
          <w:rFonts w:ascii="Arial" w:eastAsiaTheme="minorEastAsia" w:hAnsi="Arial" w:cs="Arial"/>
          <w:bCs/>
          <w:color w:val="1074CB"/>
          <w:sz w:val="36"/>
          <w:szCs w:val="36"/>
        </w:rPr>
        <w:t xml:space="preserve">Steady start for </w:t>
      </w:r>
      <w:r>
        <w:rPr>
          <w:rFonts w:ascii="Arial" w:eastAsiaTheme="minorEastAsia" w:hAnsi="Arial" w:cs="Arial"/>
          <w:bCs/>
          <w:color w:val="1074CB"/>
          <w:sz w:val="36"/>
          <w:szCs w:val="36"/>
        </w:rPr>
        <w:t>car</w:t>
      </w:r>
      <w:r w:rsidRPr="00D62A9D">
        <w:rPr>
          <w:rFonts w:ascii="Arial" w:eastAsiaTheme="minorEastAsia" w:hAnsi="Arial" w:cs="Arial"/>
          <w:bCs/>
          <w:color w:val="1074CB"/>
          <w:sz w:val="36"/>
          <w:szCs w:val="36"/>
        </w:rPr>
        <w:t xml:space="preserve"> manufacturing as industry gears-up for strong year</w:t>
      </w:r>
    </w:p>
    <w:p w:rsidR="00E75134" w:rsidRDefault="00E75134" w:rsidP="00EA17B0">
      <w:pPr>
        <w:rPr>
          <w:rFonts w:ascii="Arial" w:hAnsi="Arial" w:cs="Arial"/>
          <w:sz w:val="20"/>
        </w:rPr>
      </w:pPr>
    </w:p>
    <w:p w:rsidR="00E75134" w:rsidRDefault="00E75134" w:rsidP="00EA17B0">
      <w:pPr>
        <w:pStyle w:val="ListParagraph"/>
        <w:numPr>
          <w:ilvl w:val="0"/>
          <w:numId w:val="1"/>
        </w:numPr>
        <w:spacing w:line="360" w:lineRule="auto"/>
        <w:rPr>
          <w:rFonts w:ascii="Arial" w:hAnsi="Arial" w:cs="Arial"/>
          <w:sz w:val="20"/>
        </w:rPr>
      </w:pPr>
      <w:r w:rsidRPr="00DE09BC">
        <w:rPr>
          <w:rFonts w:ascii="Arial" w:hAnsi="Arial" w:cs="Arial"/>
          <w:sz w:val="20"/>
        </w:rPr>
        <w:t>Car manufacturing rose 1.2% in January to 129,049 units.</w:t>
      </w:r>
    </w:p>
    <w:p w:rsidR="00E75134" w:rsidRDefault="00E75134" w:rsidP="00EA17B0">
      <w:pPr>
        <w:pStyle w:val="ListParagraph"/>
        <w:numPr>
          <w:ilvl w:val="0"/>
          <w:numId w:val="1"/>
        </w:numPr>
        <w:spacing w:line="360" w:lineRule="auto"/>
        <w:rPr>
          <w:rFonts w:ascii="Arial" w:hAnsi="Arial" w:cs="Arial"/>
          <w:sz w:val="20"/>
        </w:rPr>
      </w:pPr>
      <w:r>
        <w:rPr>
          <w:rFonts w:ascii="Arial" w:hAnsi="Arial" w:cs="Arial"/>
          <w:sz w:val="20"/>
        </w:rPr>
        <w:t>Strong domestic demand saw output of cars built for the UK market rise 26.1%.</w:t>
      </w:r>
    </w:p>
    <w:p w:rsidR="00E75134" w:rsidRDefault="00E75134" w:rsidP="00EA17B0">
      <w:pPr>
        <w:pStyle w:val="ListParagraph"/>
        <w:numPr>
          <w:ilvl w:val="0"/>
          <w:numId w:val="1"/>
        </w:numPr>
        <w:spacing w:line="360" w:lineRule="auto"/>
        <w:rPr>
          <w:rFonts w:ascii="Arial" w:hAnsi="Arial" w:cs="Arial"/>
          <w:sz w:val="20"/>
        </w:rPr>
      </w:pPr>
      <w:r>
        <w:rPr>
          <w:rFonts w:ascii="Arial" w:hAnsi="Arial" w:cs="Arial"/>
          <w:sz w:val="20"/>
        </w:rPr>
        <w:t>Of all cars produced in January, 79.1% were exported.</w:t>
      </w:r>
    </w:p>
    <w:p w:rsidR="00387380" w:rsidRPr="00DE09BC" w:rsidRDefault="00EA17B0" w:rsidP="00EA17B0">
      <w:pPr>
        <w:pStyle w:val="ListParagraph"/>
        <w:numPr>
          <w:ilvl w:val="0"/>
          <w:numId w:val="1"/>
        </w:numPr>
        <w:spacing w:line="276" w:lineRule="auto"/>
        <w:rPr>
          <w:rFonts w:ascii="Arial" w:hAnsi="Arial" w:cs="Arial"/>
          <w:sz w:val="20"/>
        </w:rPr>
      </w:pPr>
      <w:r>
        <w:rPr>
          <w:rFonts w:ascii="Arial" w:hAnsi="Arial" w:cs="Arial"/>
          <w:sz w:val="20"/>
        </w:rPr>
        <w:t>Independent analysts suggest that UK car manufacturing could grow a third bigger by 2016 with output approaching two million vehicles each year.</w:t>
      </w:r>
    </w:p>
    <w:p w:rsidR="00E75134" w:rsidRPr="00AF5E02" w:rsidRDefault="00E75134" w:rsidP="00E75134">
      <w:pPr>
        <w:pStyle w:val="PlainText"/>
        <w:spacing w:line="360" w:lineRule="auto"/>
        <w:rPr>
          <w:rFonts w:eastAsia="Times" w:cs="Arial"/>
          <w:sz w:val="12"/>
          <w:szCs w:val="12"/>
          <w:lang w:eastAsia="en-GB"/>
        </w:rPr>
      </w:pPr>
    </w:p>
    <w:p w:rsidR="00E75134" w:rsidRPr="00D62A9D" w:rsidRDefault="00E75134" w:rsidP="00EA17B0">
      <w:pPr>
        <w:spacing w:line="360" w:lineRule="auto"/>
        <w:rPr>
          <w:rFonts w:ascii="Arial" w:hAnsi="Arial" w:cs="Arial"/>
          <w:sz w:val="20"/>
        </w:rPr>
      </w:pPr>
      <w:r w:rsidRPr="00D62A9D">
        <w:rPr>
          <w:rFonts w:ascii="Arial" w:hAnsi="Arial" w:cs="Arial"/>
          <w:sz w:val="20"/>
        </w:rPr>
        <w:t>"UK car manufacturing grew modestly in January, up just 1.2% on the same period in 2012. Output is typically subdued in January as manufacturers exte</w:t>
      </w:r>
      <w:r>
        <w:rPr>
          <w:rFonts w:ascii="Arial" w:hAnsi="Arial" w:cs="Arial"/>
          <w:sz w:val="20"/>
        </w:rPr>
        <w:t xml:space="preserve">nd holiday periods to upgrade plants </w:t>
      </w:r>
      <w:r w:rsidRPr="00D62A9D">
        <w:rPr>
          <w:rFonts w:ascii="Arial" w:hAnsi="Arial" w:cs="Arial"/>
          <w:sz w:val="20"/>
        </w:rPr>
        <w:t>and re</w:t>
      </w:r>
      <w:r w:rsidR="008E5840">
        <w:rPr>
          <w:rFonts w:ascii="Arial" w:hAnsi="Arial" w:cs="Arial"/>
          <w:sz w:val="20"/>
        </w:rPr>
        <w:t>-</w:t>
      </w:r>
      <w:r w:rsidRPr="00D62A9D">
        <w:rPr>
          <w:rFonts w:ascii="Arial" w:hAnsi="Arial" w:cs="Arial"/>
          <w:sz w:val="20"/>
        </w:rPr>
        <w:t>tool for new models," said Mike Baunton, SMMT Interim Chief Executive. "Despite ongoing economic challenges, growing demand for UK-built products in emerging global markets coupled with major new investment is paving the way for a positive year for automotive manufacturing."</w:t>
      </w:r>
    </w:p>
    <w:p w:rsidR="007B7D91" w:rsidRPr="00D62A9D" w:rsidRDefault="007B7D91" w:rsidP="00EA17B0">
      <w:pPr>
        <w:rPr>
          <w:rFonts w:ascii="Arial" w:hAnsi="Arial" w:cs="Arial"/>
          <w:sz w:val="12"/>
          <w:szCs w:val="12"/>
        </w:rPr>
      </w:pPr>
    </w:p>
    <w:tbl>
      <w:tblPr>
        <w:tblW w:w="9433" w:type="dxa"/>
        <w:tblInd w:w="108"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6" w:space="0" w:color="548DD4" w:themeColor="text2" w:themeTint="99"/>
          <w:insideV w:val="single" w:sz="6" w:space="0" w:color="548DD4" w:themeColor="text2" w:themeTint="99"/>
        </w:tblBorders>
        <w:tblLayout w:type="fixed"/>
        <w:tblLook w:val="04A0"/>
      </w:tblPr>
      <w:tblGrid>
        <w:gridCol w:w="2127"/>
        <w:gridCol w:w="1217"/>
        <w:gridCol w:w="1218"/>
        <w:gridCol w:w="1218"/>
        <w:gridCol w:w="1217"/>
        <w:gridCol w:w="1218"/>
        <w:gridCol w:w="1218"/>
      </w:tblGrid>
      <w:tr w:rsidR="007B7D91" w:rsidRPr="00D62A9D" w:rsidTr="00EA17B0">
        <w:trPr>
          <w:trHeight w:val="288"/>
        </w:trPr>
        <w:tc>
          <w:tcPr>
            <w:tcW w:w="2127" w:type="dxa"/>
            <w:shd w:val="clear" w:color="auto" w:fill="auto"/>
            <w:noWrap/>
            <w:hideMark/>
          </w:tcPr>
          <w:p w:rsidR="007B7D91" w:rsidRPr="00AF5E02" w:rsidRDefault="00E75134" w:rsidP="00EA17B0">
            <w:pPr>
              <w:rPr>
                <w:rFonts w:ascii="Arial" w:hAnsi="Arial" w:cs="Arial"/>
                <w:b/>
                <w:bCs/>
                <w:color w:val="1074CB"/>
                <w:sz w:val="20"/>
              </w:rPr>
            </w:pPr>
            <w:r>
              <w:rPr>
                <w:rFonts w:ascii="Arial" w:hAnsi="Arial" w:cs="Arial"/>
                <w:b/>
                <w:bCs/>
                <w:color w:val="1074CB"/>
                <w:sz w:val="20"/>
              </w:rPr>
              <w:t>Car manufacturing</w:t>
            </w:r>
          </w:p>
        </w:tc>
        <w:tc>
          <w:tcPr>
            <w:tcW w:w="1217" w:type="dxa"/>
            <w:shd w:val="clear" w:color="auto" w:fill="auto"/>
            <w:noWrap/>
            <w:vAlign w:val="bottom"/>
            <w:hideMark/>
          </w:tcPr>
          <w:p w:rsidR="007B7D91" w:rsidRPr="00AF5E02" w:rsidRDefault="007B7D91" w:rsidP="00EA17B0">
            <w:pPr>
              <w:jc w:val="center"/>
              <w:rPr>
                <w:rFonts w:ascii="Arial" w:hAnsi="Arial" w:cs="Arial"/>
                <w:b/>
                <w:bCs/>
                <w:color w:val="0070C0"/>
                <w:sz w:val="20"/>
              </w:rPr>
            </w:pPr>
            <w:r w:rsidRPr="00AF5E02">
              <w:rPr>
                <w:rFonts w:ascii="Arial" w:hAnsi="Arial" w:cs="Arial"/>
                <w:b/>
                <w:bCs/>
                <w:color w:val="0070C0"/>
                <w:sz w:val="20"/>
              </w:rPr>
              <w:t>Jan-12</w:t>
            </w:r>
          </w:p>
        </w:tc>
        <w:tc>
          <w:tcPr>
            <w:tcW w:w="1218" w:type="dxa"/>
            <w:shd w:val="clear" w:color="auto" w:fill="auto"/>
            <w:noWrap/>
            <w:vAlign w:val="bottom"/>
            <w:hideMark/>
          </w:tcPr>
          <w:p w:rsidR="007B7D91" w:rsidRPr="00AF5E02" w:rsidRDefault="007B7D91" w:rsidP="00EA17B0">
            <w:pPr>
              <w:jc w:val="center"/>
              <w:rPr>
                <w:rFonts w:ascii="Arial" w:hAnsi="Arial" w:cs="Arial"/>
                <w:b/>
                <w:bCs/>
                <w:color w:val="0070C0"/>
                <w:sz w:val="20"/>
              </w:rPr>
            </w:pPr>
            <w:r w:rsidRPr="00AF5E02">
              <w:rPr>
                <w:rFonts w:ascii="Arial" w:hAnsi="Arial" w:cs="Arial"/>
                <w:b/>
                <w:bCs/>
                <w:color w:val="0070C0"/>
                <w:sz w:val="20"/>
              </w:rPr>
              <w:t>Jan-13</w:t>
            </w:r>
          </w:p>
        </w:tc>
        <w:tc>
          <w:tcPr>
            <w:tcW w:w="1218" w:type="dxa"/>
            <w:shd w:val="clear" w:color="auto" w:fill="auto"/>
            <w:noWrap/>
            <w:vAlign w:val="bottom"/>
            <w:hideMark/>
          </w:tcPr>
          <w:p w:rsidR="007B7D91" w:rsidRPr="00AF5E02" w:rsidRDefault="007B7D91" w:rsidP="00EA17B0">
            <w:pPr>
              <w:jc w:val="center"/>
              <w:rPr>
                <w:rFonts w:ascii="Arial" w:hAnsi="Arial" w:cs="Arial"/>
                <w:b/>
                <w:bCs/>
                <w:color w:val="0070C0"/>
                <w:sz w:val="20"/>
              </w:rPr>
            </w:pPr>
            <w:r w:rsidRPr="00AF5E02">
              <w:rPr>
                <w:rFonts w:ascii="Arial" w:hAnsi="Arial" w:cs="Arial"/>
                <w:b/>
                <w:bCs/>
                <w:color w:val="0070C0"/>
                <w:sz w:val="20"/>
              </w:rPr>
              <w:t>% Change</w:t>
            </w:r>
            <w:r w:rsidRPr="00AF5E02" w:rsidDel="00C37675">
              <w:rPr>
                <w:rFonts w:ascii="Arial" w:hAnsi="Arial" w:cs="Arial"/>
                <w:b/>
                <w:bCs/>
                <w:color w:val="0070C0"/>
                <w:sz w:val="20"/>
              </w:rPr>
              <w:t xml:space="preserve"> </w:t>
            </w:r>
          </w:p>
        </w:tc>
        <w:tc>
          <w:tcPr>
            <w:tcW w:w="1217" w:type="dxa"/>
            <w:shd w:val="clear" w:color="auto" w:fill="auto"/>
            <w:noWrap/>
            <w:vAlign w:val="bottom"/>
            <w:hideMark/>
          </w:tcPr>
          <w:p w:rsidR="007B7D91" w:rsidRPr="00AF5E02" w:rsidRDefault="007B7D91" w:rsidP="00EA17B0">
            <w:pPr>
              <w:jc w:val="center"/>
              <w:rPr>
                <w:rFonts w:ascii="Arial" w:hAnsi="Arial" w:cs="Arial"/>
                <w:b/>
                <w:bCs/>
                <w:color w:val="0070C0"/>
                <w:sz w:val="20"/>
              </w:rPr>
            </w:pPr>
            <w:r w:rsidRPr="00AF5E02">
              <w:rPr>
                <w:rFonts w:ascii="Arial" w:hAnsi="Arial" w:cs="Arial"/>
                <w:b/>
                <w:bCs/>
                <w:color w:val="0070C0"/>
                <w:sz w:val="20"/>
              </w:rPr>
              <w:t>YTD-1</w:t>
            </w:r>
            <w:r w:rsidR="00017AB7">
              <w:rPr>
                <w:rFonts w:ascii="Arial" w:hAnsi="Arial" w:cs="Arial"/>
                <w:b/>
                <w:bCs/>
                <w:color w:val="0070C0"/>
                <w:sz w:val="20"/>
              </w:rPr>
              <w:t>2</w:t>
            </w:r>
          </w:p>
        </w:tc>
        <w:tc>
          <w:tcPr>
            <w:tcW w:w="1218" w:type="dxa"/>
            <w:shd w:val="clear" w:color="auto" w:fill="auto"/>
            <w:noWrap/>
            <w:vAlign w:val="bottom"/>
            <w:hideMark/>
          </w:tcPr>
          <w:p w:rsidR="007B7D91" w:rsidRPr="00AF5E02" w:rsidRDefault="007B7D91" w:rsidP="00EA17B0">
            <w:pPr>
              <w:jc w:val="center"/>
              <w:rPr>
                <w:rFonts w:ascii="Arial" w:hAnsi="Arial" w:cs="Arial"/>
                <w:b/>
                <w:bCs/>
                <w:color w:val="0070C0"/>
                <w:sz w:val="20"/>
              </w:rPr>
            </w:pPr>
            <w:r w:rsidRPr="00AF5E02">
              <w:rPr>
                <w:rFonts w:ascii="Arial" w:hAnsi="Arial" w:cs="Arial"/>
                <w:b/>
                <w:bCs/>
                <w:color w:val="0070C0"/>
                <w:sz w:val="20"/>
              </w:rPr>
              <w:t>YTD-13</w:t>
            </w:r>
          </w:p>
        </w:tc>
        <w:tc>
          <w:tcPr>
            <w:tcW w:w="1218" w:type="dxa"/>
            <w:shd w:val="clear" w:color="auto" w:fill="auto"/>
            <w:noWrap/>
            <w:vAlign w:val="bottom"/>
            <w:hideMark/>
          </w:tcPr>
          <w:p w:rsidR="007B7D91" w:rsidRPr="00AF5E02" w:rsidRDefault="007B7D91" w:rsidP="00EA17B0">
            <w:pPr>
              <w:jc w:val="center"/>
              <w:rPr>
                <w:rFonts w:ascii="Arial" w:hAnsi="Arial" w:cs="Arial"/>
                <w:b/>
                <w:bCs/>
                <w:color w:val="0070C0"/>
                <w:sz w:val="20"/>
              </w:rPr>
            </w:pPr>
            <w:r w:rsidRPr="00AF5E02">
              <w:rPr>
                <w:rFonts w:ascii="Arial" w:hAnsi="Arial" w:cs="Arial"/>
                <w:b/>
                <w:bCs/>
                <w:color w:val="0070C0"/>
                <w:sz w:val="20"/>
              </w:rPr>
              <w:t>% Change</w:t>
            </w:r>
          </w:p>
        </w:tc>
      </w:tr>
      <w:tr w:rsidR="00326E74" w:rsidRPr="00D62A9D" w:rsidTr="00EA17B0">
        <w:trPr>
          <w:trHeight w:val="288"/>
        </w:trPr>
        <w:tc>
          <w:tcPr>
            <w:tcW w:w="2127" w:type="dxa"/>
            <w:shd w:val="clear" w:color="auto" w:fill="auto"/>
            <w:noWrap/>
            <w:vAlign w:val="bottom"/>
            <w:hideMark/>
          </w:tcPr>
          <w:p w:rsidR="00326E74" w:rsidRPr="00AF5E02" w:rsidRDefault="00326E74" w:rsidP="00EA17B0">
            <w:pPr>
              <w:jc w:val="right"/>
              <w:rPr>
                <w:rFonts w:ascii="Arial" w:hAnsi="Arial" w:cs="Arial"/>
                <w:bCs/>
                <w:color w:val="1074CB"/>
                <w:sz w:val="20"/>
              </w:rPr>
            </w:pPr>
            <w:r w:rsidRPr="00AF5E02">
              <w:rPr>
                <w:rFonts w:ascii="Arial" w:hAnsi="Arial" w:cs="Arial"/>
                <w:bCs/>
                <w:color w:val="1074CB"/>
                <w:sz w:val="20"/>
              </w:rPr>
              <w:t>Total</w:t>
            </w:r>
          </w:p>
        </w:tc>
        <w:tc>
          <w:tcPr>
            <w:tcW w:w="1217" w:type="dxa"/>
            <w:shd w:val="clear" w:color="auto" w:fill="auto"/>
            <w:noWrap/>
            <w:vAlign w:val="bottom"/>
            <w:hideMark/>
          </w:tcPr>
          <w:p w:rsidR="00326E74" w:rsidRPr="00AF5E02" w:rsidRDefault="00326E74" w:rsidP="008E5840">
            <w:pPr>
              <w:jc w:val="right"/>
              <w:rPr>
                <w:rFonts w:ascii="Arial" w:hAnsi="Arial" w:cs="Arial"/>
                <w:bCs/>
                <w:color w:val="0070C0"/>
                <w:sz w:val="20"/>
              </w:rPr>
            </w:pPr>
            <w:r w:rsidRPr="00AF5E02">
              <w:rPr>
                <w:rFonts w:ascii="Arial" w:hAnsi="Arial" w:cs="Arial"/>
                <w:bCs/>
                <w:color w:val="0070C0"/>
                <w:sz w:val="20"/>
              </w:rPr>
              <w:t>12</w:t>
            </w:r>
            <w:r>
              <w:rPr>
                <w:rFonts w:ascii="Arial" w:hAnsi="Arial" w:cs="Arial"/>
                <w:bCs/>
                <w:color w:val="0070C0"/>
                <w:sz w:val="20"/>
              </w:rPr>
              <w:t>7</w:t>
            </w:r>
            <w:r w:rsidRPr="00AF5E02">
              <w:rPr>
                <w:rFonts w:ascii="Arial" w:hAnsi="Arial" w:cs="Arial"/>
                <w:bCs/>
                <w:color w:val="0070C0"/>
                <w:sz w:val="20"/>
              </w:rPr>
              <w:t>,</w:t>
            </w:r>
            <w:r>
              <w:rPr>
                <w:rFonts w:ascii="Arial" w:hAnsi="Arial" w:cs="Arial"/>
                <w:bCs/>
                <w:color w:val="0070C0"/>
                <w:sz w:val="20"/>
              </w:rPr>
              <w:t>550</w:t>
            </w:r>
          </w:p>
        </w:tc>
        <w:tc>
          <w:tcPr>
            <w:tcW w:w="1218" w:type="dxa"/>
            <w:shd w:val="clear" w:color="auto" w:fill="auto"/>
            <w:noWrap/>
            <w:vAlign w:val="bottom"/>
            <w:hideMark/>
          </w:tcPr>
          <w:p w:rsidR="00326E74" w:rsidRPr="00AF5E02" w:rsidRDefault="00326E74" w:rsidP="008E5840">
            <w:pPr>
              <w:jc w:val="right"/>
              <w:rPr>
                <w:rFonts w:ascii="Arial" w:hAnsi="Arial" w:cs="Arial"/>
                <w:bCs/>
                <w:color w:val="0070C0"/>
                <w:sz w:val="20"/>
              </w:rPr>
            </w:pPr>
            <w:r w:rsidRPr="00AF5E02">
              <w:rPr>
                <w:rFonts w:ascii="Arial" w:hAnsi="Arial" w:cs="Arial"/>
                <w:bCs/>
                <w:color w:val="0070C0"/>
                <w:sz w:val="20"/>
              </w:rPr>
              <w:t>129,049</w:t>
            </w:r>
          </w:p>
        </w:tc>
        <w:tc>
          <w:tcPr>
            <w:tcW w:w="1218" w:type="dxa"/>
            <w:shd w:val="clear" w:color="auto" w:fill="auto"/>
            <w:noWrap/>
            <w:vAlign w:val="bottom"/>
            <w:hideMark/>
          </w:tcPr>
          <w:p w:rsidR="00326E74" w:rsidRPr="00AF5E02" w:rsidRDefault="00326E74" w:rsidP="00EA17B0">
            <w:pPr>
              <w:jc w:val="center"/>
              <w:rPr>
                <w:rFonts w:ascii="Arial" w:hAnsi="Arial" w:cs="Arial"/>
                <w:bCs/>
                <w:color w:val="0070C0"/>
                <w:sz w:val="20"/>
              </w:rPr>
            </w:pPr>
            <w:r w:rsidRPr="00AF5E02">
              <w:rPr>
                <w:rFonts w:ascii="Arial" w:hAnsi="Arial" w:cs="Arial"/>
                <w:bCs/>
                <w:color w:val="0070C0"/>
                <w:sz w:val="20"/>
              </w:rPr>
              <w:t>1.2%</w:t>
            </w:r>
          </w:p>
        </w:tc>
        <w:tc>
          <w:tcPr>
            <w:tcW w:w="1217" w:type="dxa"/>
            <w:shd w:val="clear" w:color="auto" w:fill="auto"/>
            <w:noWrap/>
            <w:vAlign w:val="bottom"/>
            <w:hideMark/>
          </w:tcPr>
          <w:p w:rsidR="00326E74" w:rsidRPr="00AF5E02" w:rsidRDefault="00326E74" w:rsidP="008E5840">
            <w:pPr>
              <w:jc w:val="right"/>
              <w:rPr>
                <w:rFonts w:ascii="Arial" w:hAnsi="Arial" w:cs="Arial"/>
                <w:bCs/>
                <w:color w:val="0070C0"/>
                <w:sz w:val="20"/>
              </w:rPr>
            </w:pPr>
            <w:r w:rsidRPr="00AF5E02">
              <w:rPr>
                <w:rFonts w:ascii="Arial" w:hAnsi="Arial" w:cs="Arial"/>
                <w:bCs/>
                <w:color w:val="0070C0"/>
                <w:sz w:val="20"/>
              </w:rPr>
              <w:t>12</w:t>
            </w:r>
            <w:r>
              <w:rPr>
                <w:rFonts w:ascii="Arial" w:hAnsi="Arial" w:cs="Arial"/>
                <w:bCs/>
                <w:color w:val="0070C0"/>
                <w:sz w:val="20"/>
              </w:rPr>
              <w:t>7</w:t>
            </w:r>
            <w:r w:rsidRPr="00AF5E02">
              <w:rPr>
                <w:rFonts w:ascii="Arial" w:hAnsi="Arial" w:cs="Arial"/>
                <w:bCs/>
                <w:color w:val="0070C0"/>
                <w:sz w:val="20"/>
              </w:rPr>
              <w:t>,</w:t>
            </w:r>
            <w:r>
              <w:rPr>
                <w:rFonts w:ascii="Arial" w:hAnsi="Arial" w:cs="Arial"/>
                <w:bCs/>
                <w:color w:val="0070C0"/>
                <w:sz w:val="20"/>
              </w:rPr>
              <w:t>550</w:t>
            </w:r>
          </w:p>
        </w:tc>
        <w:tc>
          <w:tcPr>
            <w:tcW w:w="1218" w:type="dxa"/>
            <w:shd w:val="clear" w:color="auto" w:fill="auto"/>
            <w:noWrap/>
            <w:vAlign w:val="bottom"/>
            <w:hideMark/>
          </w:tcPr>
          <w:p w:rsidR="00326E74" w:rsidRPr="00AF5E02" w:rsidRDefault="00326E74" w:rsidP="008E5840">
            <w:pPr>
              <w:jc w:val="right"/>
              <w:rPr>
                <w:rFonts w:ascii="Arial" w:hAnsi="Arial" w:cs="Arial"/>
                <w:bCs/>
                <w:color w:val="0070C0"/>
                <w:sz w:val="20"/>
              </w:rPr>
            </w:pPr>
            <w:r w:rsidRPr="00AF5E02">
              <w:rPr>
                <w:rFonts w:ascii="Arial" w:hAnsi="Arial" w:cs="Arial"/>
                <w:bCs/>
                <w:color w:val="0070C0"/>
                <w:sz w:val="20"/>
              </w:rPr>
              <w:t>129,049</w:t>
            </w:r>
          </w:p>
        </w:tc>
        <w:tc>
          <w:tcPr>
            <w:tcW w:w="1218" w:type="dxa"/>
            <w:shd w:val="clear" w:color="auto" w:fill="auto"/>
            <w:noWrap/>
            <w:vAlign w:val="bottom"/>
            <w:hideMark/>
          </w:tcPr>
          <w:p w:rsidR="00326E74" w:rsidRPr="00AF5E02" w:rsidRDefault="00326E74" w:rsidP="00EA17B0">
            <w:pPr>
              <w:jc w:val="center"/>
              <w:rPr>
                <w:rFonts w:ascii="Arial" w:hAnsi="Arial" w:cs="Arial"/>
                <w:bCs/>
                <w:color w:val="0070C0"/>
                <w:sz w:val="20"/>
              </w:rPr>
            </w:pPr>
            <w:r w:rsidRPr="00AF5E02">
              <w:rPr>
                <w:rFonts w:ascii="Arial" w:hAnsi="Arial" w:cs="Arial"/>
                <w:bCs/>
                <w:color w:val="0070C0"/>
                <w:sz w:val="20"/>
              </w:rPr>
              <w:t>1.2%</w:t>
            </w:r>
          </w:p>
        </w:tc>
      </w:tr>
      <w:tr w:rsidR="00326E74" w:rsidRPr="00D62A9D" w:rsidTr="00EA17B0">
        <w:trPr>
          <w:trHeight w:val="288"/>
        </w:trPr>
        <w:tc>
          <w:tcPr>
            <w:tcW w:w="2127" w:type="dxa"/>
            <w:shd w:val="clear" w:color="auto" w:fill="auto"/>
            <w:noWrap/>
            <w:vAlign w:val="bottom"/>
            <w:hideMark/>
          </w:tcPr>
          <w:p w:rsidR="00326E74" w:rsidRPr="00AF5E02" w:rsidRDefault="00326E74" w:rsidP="00EA17B0">
            <w:pPr>
              <w:jc w:val="right"/>
              <w:rPr>
                <w:rFonts w:ascii="Arial" w:hAnsi="Arial" w:cs="Arial"/>
                <w:bCs/>
                <w:color w:val="1074CB"/>
                <w:sz w:val="20"/>
              </w:rPr>
            </w:pPr>
            <w:r w:rsidRPr="00AF5E02">
              <w:rPr>
                <w:rFonts w:ascii="Arial" w:hAnsi="Arial" w:cs="Arial"/>
                <w:bCs/>
                <w:color w:val="1074CB"/>
                <w:sz w:val="20"/>
              </w:rPr>
              <w:t>Export</w:t>
            </w:r>
          </w:p>
        </w:tc>
        <w:tc>
          <w:tcPr>
            <w:tcW w:w="1217" w:type="dxa"/>
            <w:shd w:val="clear" w:color="auto" w:fill="auto"/>
            <w:noWrap/>
            <w:vAlign w:val="bottom"/>
            <w:hideMark/>
          </w:tcPr>
          <w:p w:rsidR="00326E74" w:rsidRPr="00AF5E02" w:rsidRDefault="00326E74" w:rsidP="008E5840">
            <w:pPr>
              <w:jc w:val="right"/>
              <w:rPr>
                <w:rFonts w:ascii="Arial" w:hAnsi="Arial" w:cs="Arial"/>
                <w:bCs/>
                <w:color w:val="0070C0"/>
                <w:sz w:val="20"/>
              </w:rPr>
            </w:pPr>
            <w:r w:rsidRPr="00AF5E02">
              <w:rPr>
                <w:rFonts w:ascii="Arial" w:hAnsi="Arial" w:cs="Arial"/>
                <w:bCs/>
                <w:color w:val="0070C0"/>
                <w:sz w:val="20"/>
              </w:rPr>
              <w:t>10</w:t>
            </w:r>
            <w:r>
              <w:rPr>
                <w:rFonts w:ascii="Arial" w:hAnsi="Arial" w:cs="Arial"/>
                <w:bCs/>
                <w:color w:val="0070C0"/>
                <w:sz w:val="20"/>
              </w:rPr>
              <w:t>6,190</w:t>
            </w:r>
          </w:p>
        </w:tc>
        <w:tc>
          <w:tcPr>
            <w:tcW w:w="1218" w:type="dxa"/>
            <w:shd w:val="clear" w:color="auto" w:fill="auto"/>
            <w:noWrap/>
            <w:vAlign w:val="bottom"/>
            <w:hideMark/>
          </w:tcPr>
          <w:p w:rsidR="00326E74" w:rsidRPr="00AF5E02" w:rsidRDefault="00326E74" w:rsidP="008E5840">
            <w:pPr>
              <w:jc w:val="right"/>
              <w:rPr>
                <w:rFonts w:ascii="Arial" w:hAnsi="Arial" w:cs="Arial"/>
                <w:bCs/>
                <w:color w:val="0070C0"/>
                <w:sz w:val="20"/>
              </w:rPr>
            </w:pPr>
            <w:r w:rsidRPr="00AF5E02">
              <w:rPr>
                <w:rFonts w:ascii="Arial" w:hAnsi="Arial" w:cs="Arial"/>
                <w:bCs/>
                <w:color w:val="0070C0"/>
                <w:sz w:val="20"/>
              </w:rPr>
              <w:t>102,111</w:t>
            </w:r>
          </w:p>
        </w:tc>
        <w:tc>
          <w:tcPr>
            <w:tcW w:w="1218" w:type="dxa"/>
            <w:shd w:val="clear" w:color="auto" w:fill="auto"/>
            <w:noWrap/>
            <w:vAlign w:val="bottom"/>
            <w:hideMark/>
          </w:tcPr>
          <w:p w:rsidR="00326E74" w:rsidRPr="00AF5E02" w:rsidRDefault="00326E74" w:rsidP="00EA17B0">
            <w:pPr>
              <w:jc w:val="center"/>
              <w:rPr>
                <w:rFonts w:ascii="Arial" w:hAnsi="Arial" w:cs="Arial"/>
                <w:bCs/>
                <w:color w:val="0070C0"/>
                <w:sz w:val="20"/>
              </w:rPr>
            </w:pPr>
            <w:r w:rsidRPr="00AF5E02">
              <w:rPr>
                <w:rFonts w:ascii="Arial" w:hAnsi="Arial" w:cs="Arial"/>
                <w:bCs/>
                <w:color w:val="0070C0"/>
                <w:sz w:val="20"/>
              </w:rPr>
              <w:t>-3.8%</w:t>
            </w:r>
          </w:p>
        </w:tc>
        <w:tc>
          <w:tcPr>
            <w:tcW w:w="1217" w:type="dxa"/>
            <w:shd w:val="clear" w:color="auto" w:fill="auto"/>
            <w:noWrap/>
            <w:vAlign w:val="bottom"/>
            <w:hideMark/>
          </w:tcPr>
          <w:p w:rsidR="00326E74" w:rsidRPr="00AF5E02" w:rsidRDefault="00326E74" w:rsidP="008E5840">
            <w:pPr>
              <w:jc w:val="right"/>
              <w:rPr>
                <w:rFonts w:ascii="Arial" w:hAnsi="Arial" w:cs="Arial"/>
                <w:bCs/>
                <w:color w:val="0070C0"/>
                <w:sz w:val="20"/>
              </w:rPr>
            </w:pPr>
            <w:r w:rsidRPr="00AF5E02">
              <w:rPr>
                <w:rFonts w:ascii="Arial" w:hAnsi="Arial" w:cs="Arial"/>
                <w:bCs/>
                <w:color w:val="0070C0"/>
                <w:sz w:val="20"/>
              </w:rPr>
              <w:t>10</w:t>
            </w:r>
            <w:r>
              <w:rPr>
                <w:rFonts w:ascii="Arial" w:hAnsi="Arial" w:cs="Arial"/>
                <w:bCs/>
                <w:color w:val="0070C0"/>
                <w:sz w:val="20"/>
              </w:rPr>
              <w:t>6,190</w:t>
            </w:r>
          </w:p>
        </w:tc>
        <w:tc>
          <w:tcPr>
            <w:tcW w:w="1218" w:type="dxa"/>
            <w:shd w:val="clear" w:color="auto" w:fill="auto"/>
            <w:noWrap/>
            <w:vAlign w:val="bottom"/>
            <w:hideMark/>
          </w:tcPr>
          <w:p w:rsidR="00326E74" w:rsidRPr="00AF5E02" w:rsidRDefault="00326E74" w:rsidP="008E5840">
            <w:pPr>
              <w:jc w:val="right"/>
              <w:rPr>
                <w:rFonts w:ascii="Arial" w:hAnsi="Arial" w:cs="Arial"/>
                <w:bCs/>
                <w:color w:val="0070C0"/>
                <w:sz w:val="20"/>
              </w:rPr>
            </w:pPr>
            <w:r w:rsidRPr="00AF5E02">
              <w:rPr>
                <w:rFonts w:ascii="Arial" w:hAnsi="Arial" w:cs="Arial"/>
                <w:bCs/>
                <w:color w:val="0070C0"/>
                <w:sz w:val="20"/>
              </w:rPr>
              <w:t>102,111</w:t>
            </w:r>
          </w:p>
        </w:tc>
        <w:tc>
          <w:tcPr>
            <w:tcW w:w="1218" w:type="dxa"/>
            <w:shd w:val="clear" w:color="auto" w:fill="auto"/>
            <w:noWrap/>
            <w:vAlign w:val="bottom"/>
            <w:hideMark/>
          </w:tcPr>
          <w:p w:rsidR="00326E74" w:rsidRPr="00AF5E02" w:rsidRDefault="00326E74" w:rsidP="00EA17B0">
            <w:pPr>
              <w:jc w:val="center"/>
              <w:rPr>
                <w:rFonts w:ascii="Arial" w:hAnsi="Arial" w:cs="Arial"/>
                <w:bCs/>
                <w:color w:val="0070C0"/>
                <w:sz w:val="20"/>
              </w:rPr>
            </w:pPr>
            <w:r w:rsidRPr="00AF5E02">
              <w:rPr>
                <w:rFonts w:ascii="Arial" w:hAnsi="Arial" w:cs="Arial"/>
                <w:bCs/>
                <w:color w:val="0070C0"/>
                <w:sz w:val="20"/>
              </w:rPr>
              <w:t>-3.8%</w:t>
            </w:r>
          </w:p>
        </w:tc>
      </w:tr>
      <w:tr w:rsidR="00326E74" w:rsidRPr="00D62A9D" w:rsidTr="00EA17B0">
        <w:trPr>
          <w:trHeight w:val="288"/>
        </w:trPr>
        <w:tc>
          <w:tcPr>
            <w:tcW w:w="2127" w:type="dxa"/>
            <w:shd w:val="clear" w:color="auto" w:fill="auto"/>
            <w:noWrap/>
            <w:vAlign w:val="bottom"/>
            <w:hideMark/>
          </w:tcPr>
          <w:p w:rsidR="00326E74" w:rsidRPr="00AF5E02" w:rsidRDefault="00326E74" w:rsidP="00EA17B0">
            <w:pPr>
              <w:jc w:val="right"/>
              <w:rPr>
                <w:rFonts w:ascii="Arial" w:hAnsi="Arial" w:cs="Arial"/>
                <w:bCs/>
                <w:color w:val="1074CB"/>
                <w:sz w:val="20"/>
              </w:rPr>
            </w:pPr>
            <w:r w:rsidRPr="00AF5E02">
              <w:rPr>
                <w:rFonts w:ascii="Arial" w:hAnsi="Arial" w:cs="Arial"/>
                <w:bCs/>
                <w:color w:val="1074CB"/>
                <w:sz w:val="20"/>
              </w:rPr>
              <w:t>Home</w:t>
            </w:r>
          </w:p>
        </w:tc>
        <w:tc>
          <w:tcPr>
            <w:tcW w:w="1217" w:type="dxa"/>
            <w:shd w:val="clear" w:color="auto" w:fill="auto"/>
            <w:noWrap/>
            <w:vAlign w:val="bottom"/>
            <w:hideMark/>
          </w:tcPr>
          <w:p w:rsidR="00326E74" w:rsidRPr="00AF5E02" w:rsidRDefault="00326E74" w:rsidP="008E5840">
            <w:pPr>
              <w:jc w:val="right"/>
              <w:rPr>
                <w:rFonts w:ascii="Arial" w:hAnsi="Arial" w:cs="Arial"/>
                <w:bCs/>
                <w:color w:val="0070C0"/>
                <w:sz w:val="20"/>
              </w:rPr>
            </w:pPr>
            <w:r w:rsidRPr="00AF5E02">
              <w:rPr>
                <w:rFonts w:ascii="Arial" w:hAnsi="Arial" w:cs="Arial"/>
                <w:bCs/>
                <w:color w:val="0070C0"/>
                <w:sz w:val="20"/>
              </w:rPr>
              <w:t>2</w:t>
            </w:r>
            <w:r>
              <w:rPr>
                <w:rFonts w:ascii="Arial" w:hAnsi="Arial" w:cs="Arial"/>
                <w:bCs/>
                <w:color w:val="0070C0"/>
                <w:sz w:val="20"/>
              </w:rPr>
              <w:t>1,360</w:t>
            </w:r>
          </w:p>
        </w:tc>
        <w:tc>
          <w:tcPr>
            <w:tcW w:w="1218" w:type="dxa"/>
            <w:shd w:val="clear" w:color="auto" w:fill="auto"/>
            <w:noWrap/>
            <w:vAlign w:val="bottom"/>
            <w:hideMark/>
          </w:tcPr>
          <w:p w:rsidR="00326E74" w:rsidRPr="00AF5E02" w:rsidRDefault="00326E74" w:rsidP="008E5840">
            <w:pPr>
              <w:jc w:val="right"/>
              <w:rPr>
                <w:rFonts w:ascii="Arial" w:hAnsi="Arial" w:cs="Arial"/>
                <w:bCs/>
                <w:color w:val="0070C0"/>
                <w:sz w:val="20"/>
              </w:rPr>
            </w:pPr>
            <w:r w:rsidRPr="00AF5E02">
              <w:rPr>
                <w:rFonts w:ascii="Arial" w:hAnsi="Arial" w:cs="Arial"/>
                <w:bCs/>
                <w:color w:val="0070C0"/>
                <w:sz w:val="20"/>
              </w:rPr>
              <w:t>26,938</w:t>
            </w:r>
          </w:p>
        </w:tc>
        <w:tc>
          <w:tcPr>
            <w:tcW w:w="1218" w:type="dxa"/>
            <w:shd w:val="clear" w:color="auto" w:fill="auto"/>
            <w:noWrap/>
            <w:vAlign w:val="bottom"/>
            <w:hideMark/>
          </w:tcPr>
          <w:p w:rsidR="00326E74" w:rsidRPr="00AF5E02" w:rsidRDefault="00326E74" w:rsidP="00EA17B0">
            <w:pPr>
              <w:jc w:val="center"/>
              <w:rPr>
                <w:rFonts w:ascii="Arial" w:hAnsi="Arial" w:cs="Arial"/>
                <w:bCs/>
                <w:color w:val="0070C0"/>
                <w:sz w:val="20"/>
              </w:rPr>
            </w:pPr>
            <w:r w:rsidRPr="00AF5E02">
              <w:rPr>
                <w:rFonts w:ascii="Arial" w:hAnsi="Arial" w:cs="Arial"/>
                <w:bCs/>
                <w:color w:val="0070C0"/>
                <w:sz w:val="20"/>
              </w:rPr>
              <w:t>26.1%</w:t>
            </w:r>
          </w:p>
        </w:tc>
        <w:tc>
          <w:tcPr>
            <w:tcW w:w="1217" w:type="dxa"/>
            <w:shd w:val="clear" w:color="auto" w:fill="auto"/>
            <w:noWrap/>
            <w:vAlign w:val="bottom"/>
            <w:hideMark/>
          </w:tcPr>
          <w:p w:rsidR="00326E74" w:rsidRPr="00AF5E02" w:rsidRDefault="00326E74" w:rsidP="008E5840">
            <w:pPr>
              <w:jc w:val="right"/>
              <w:rPr>
                <w:rFonts w:ascii="Arial" w:hAnsi="Arial" w:cs="Arial"/>
                <w:bCs/>
                <w:color w:val="0070C0"/>
                <w:sz w:val="20"/>
              </w:rPr>
            </w:pPr>
            <w:r w:rsidRPr="00AF5E02">
              <w:rPr>
                <w:rFonts w:ascii="Arial" w:hAnsi="Arial" w:cs="Arial"/>
                <w:bCs/>
                <w:color w:val="0070C0"/>
                <w:sz w:val="20"/>
              </w:rPr>
              <w:t>2</w:t>
            </w:r>
            <w:r>
              <w:rPr>
                <w:rFonts w:ascii="Arial" w:hAnsi="Arial" w:cs="Arial"/>
                <w:bCs/>
                <w:color w:val="0070C0"/>
                <w:sz w:val="20"/>
              </w:rPr>
              <w:t>1,360</w:t>
            </w:r>
          </w:p>
        </w:tc>
        <w:tc>
          <w:tcPr>
            <w:tcW w:w="1218" w:type="dxa"/>
            <w:shd w:val="clear" w:color="auto" w:fill="auto"/>
            <w:noWrap/>
            <w:vAlign w:val="bottom"/>
            <w:hideMark/>
          </w:tcPr>
          <w:p w:rsidR="00326E74" w:rsidRPr="00AF5E02" w:rsidRDefault="00326E74" w:rsidP="008E5840">
            <w:pPr>
              <w:jc w:val="right"/>
              <w:rPr>
                <w:rFonts w:ascii="Arial" w:hAnsi="Arial" w:cs="Arial"/>
                <w:bCs/>
                <w:color w:val="0070C0"/>
                <w:sz w:val="20"/>
              </w:rPr>
            </w:pPr>
            <w:r w:rsidRPr="00AF5E02">
              <w:rPr>
                <w:rFonts w:ascii="Arial" w:hAnsi="Arial" w:cs="Arial"/>
                <w:bCs/>
                <w:color w:val="0070C0"/>
                <w:sz w:val="20"/>
              </w:rPr>
              <w:t>26,938</w:t>
            </w:r>
          </w:p>
        </w:tc>
        <w:tc>
          <w:tcPr>
            <w:tcW w:w="1218" w:type="dxa"/>
            <w:shd w:val="clear" w:color="auto" w:fill="auto"/>
            <w:noWrap/>
            <w:vAlign w:val="bottom"/>
            <w:hideMark/>
          </w:tcPr>
          <w:p w:rsidR="00326E74" w:rsidRPr="00AF5E02" w:rsidRDefault="00326E74" w:rsidP="00EA17B0">
            <w:pPr>
              <w:jc w:val="center"/>
              <w:rPr>
                <w:rFonts w:ascii="Arial" w:hAnsi="Arial" w:cs="Arial"/>
                <w:bCs/>
                <w:color w:val="0070C0"/>
                <w:sz w:val="20"/>
              </w:rPr>
            </w:pPr>
            <w:r w:rsidRPr="00AF5E02">
              <w:rPr>
                <w:rFonts w:ascii="Arial" w:hAnsi="Arial" w:cs="Arial"/>
                <w:bCs/>
                <w:color w:val="0070C0"/>
                <w:sz w:val="20"/>
              </w:rPr>
              <w:t>26.1%</w:t>
            </w:r>
          </w:p>
        </w:tc>
      </w:tr>
    </w:tbl>
    <w:p w:rsidR="007B7D91" w:rsidRPr="00AF5E02" w:rsidRDefault="007B7D91" w:rsidP="007F526E">
      <w:pPr>
        <w:rPr>
          <w:rFonts w:ascii="Arial" w:hAnsi="Arial" w:cs="Arial"/>
          <w:sz w:val="12"/>
          <w:szCs w:val="12"/>
        </w:rPr>
      </w:pPr>
    </w:p>
    <w:p w:rsidR="007B7D91" w:rsidRDefault="007B7D91" w:rsidP="007B7D91">
      <w:pPr>
        <w:keepNext/>
        <w:spacing w:line="276" w:lineRule="auto"/>
        <w:rPr>
          <w:rFonts w:ascii="Arial" w:hAnsi="Arial" w:cs="Arial"/>
          <w:b/>
          <w:color w:val="0D2255"/>
          <w:sz w:val="20"/>
        </w:rPr>
      </w:pPr>
      <w:r w:rsidRPr="00D62A9D">
        <w:rPr>
          <w:rFonts w:ascii="Arial" w:hAnsi="Arial" w:cs="Arial"/>
          <w:b/>
          <w:color w:val="0D2255"/>
          <w:sz w:val="20"/>
        </w:rPr>
        <w:t>Car output rolling year total</w:t>
      </w:r>
    </w:p>
    <w:p w:rsidR="007B7D91" w:rsidRPr="00D62A9D" w:rsidRDefault="007B7D91" w:rsidP="007B7D91">
      <w:pPr>
        <w:keepNext/>
        <w:spacing w:line="276" w:lineRule="auto"/>
        <w:rPr>
          <w:rFonts w:ascii="Arial" w:hAnsi="Arial" w:cs="Arial"/>
        </w:rPr>
        <w:sectPr w:rsidR="007B7D91" w:rsidRPr="00D62A9D" w:rsidSect="00446AC5">
          <w:headerReference w:type="default" r:id="rId7"/>
          <w:footerReference w:type="default" r:id="rId8"/>
          <w:pgSz w:w="11906" w:h="16838" w:code="9"/>
          <w:pgMar w:top="709" w:right="1077" w:bottom="1134" w:left="1077" w:header="0" w:footer="397" w:gutter="0"/>
          <w:cols w:space="720"/>
          <w:docGrid w:linePitch="360"/>
        </w:sectPr>
      </w:pPr>
      <w:r w:rsidRPr="00D62A9D">
        <w:rPr>
          <w:rFonts w:ascii="Arial" w:hAnsi="Arial" w:cs="Arial"/>
          <w:b/>
          <w:noProof/>
          <w:color w:val="0D2255"/>
          <w:sz w:val="20"/>
        </w:rPr>
        <w:drawing>
          <wp:inline distT="0" distB="0" distL="0" distR="0">
            <wp:extent cx="5907819" cy="2512612"/>
            <wp:effectExtent l="0" t="0" r="0" b="0"/>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D62A9D">
        <w:rPr>
          <w:rFonts w:ascii="Arial" w:hAnsi="Arial" w:cs="Arial"/>
          <w:b/>
          <w:color w:val="0D2255"/>
          <w:sz w:val="20"/>
        </w:rPr>
        <w:tab/>
      </w:r>
      <w:bookmarkStart w:id="0" w:name="_GoBack"/>
      <w:bookmarkEnd w:id="0"/>
      <w:r w:rsidRPr="00D62A9D">
        <w:rPr>
          <w:rFonts w:ascii="Arial" w:hAnsi="Arial" w:cs="Arial"/>
          <w:b/>
          <w:color w:val="0D2255"/>
          <w:sz w:val="20"/>
        </w:rPr>
        <w:tab/>
        <w:t xml:space="preserve">                 </w:t>
      </w:r>
    </w:p>
    <w:p w:rsidR="00E75134" w:rsidRPr="00D62A9D" w:rsidRDefault="00E75134" w:rsidP="00E75134">
      <w:pPr>
        <w:pStyle w:val="Heading1"/>
        <w:ind w:right="142"/>
        <w:rPr>
          <w:rFonts w:ascii="Arial" w:eastAsiaTheme="minorEastAsia" w:hAnsi="Arial" w:cs="Arial"/>
          <w:bCs/>
          <w:color w:val="1074CB"/>
          <w:sz w:val="44"/>
          <w:szCs w:val="44"/>
        </w:rPr>
      </w:pPr>
      <w:r>
        <w:rPr>
          <w:rFonts w:ascii="Arial" w:eastAsiaTheme="minorEastAsia" w:hAnsi="Arial" w:cs="Arial"/>
          <w:bCs/>
          <w:color w:val="1074CB"/>
          <w:sz w:val="44"/>
          <w:szCs w:val="44"/>
        </w:rPr>
        <w:lastRenderedPageBreak/>
        <w:t>UK COMMERCIAL VEHICLE</w:t>
      </w:r>
      <w:r w:rsidRPr="00D62A9D">
        <w:rPr>
          <w:rFonts w:ascii="Arial" w:eastAsiaTheme="minorEastAsia" w:hAnsi="Arial" w:cs="Arial"/>
          <w:bCs/>
          <w:color w:val="1074CB"/>
          <w:sz w:val="44"/>
          <w:szCs w:val="44"/>
        </w:rPr>
        <w:t xml:space="preserve"> MANUFACTURING</w:t>
      </w:r>
    </w:p>
    <w:p w:rsidR="00E75134" w:rsidRPr="00D62A9D" w:rsidRDefault="00E75134" w:rsidP="00E75134">
      <w:pPr>
        <w:pStyle w:val="Heading1"/>
        <w:ind w:right="142"/>
        <w:rPr>
          <w:rFonts w:ascii="Arial" w:eastAsiaTheme="minorEastAsia" w:hAnsi="Arial" w:cs="Arial"/>
          <w:b w:val="0"/>
          <w:bCs/>
          <w:color w:val="1074CB"/>
          <w:sz w:val="44"/>
          <w:szCs w:val="44"/>
        </w:rPr>
      </w:pPr>
      <w:r w:rsidRPr="00D62A9D">
        <w:rPr>
          <w:rFonts w:ascii="Arial" w:eastAsiaTheme="minorEastAsia" w:hAnsi="Arial" w:cs="Arial"/>
          <w:b w:val="0"/>
          <w:bCs/>
          <w:color w:val="1074CB"/>
          <w:sz w:val="44"/>
          <w:szCs w:val="44"/>
        </w:rPr>
        <w:t xml:space="preserve">21 February 2013 </w:t>
      </w:r>
      <w:r w:rsidRPr="00D62A9D">
        <w:rPr>
          <w:rFonts w:ascii="Arial" w:eastAsiaTheme="minorEastAsia" w:hAnsi="Arial" w:cs="Arial"/>
          <w:b w:val="0"/>
          <w:bCs/>
          <w:color w:val="1074CB"/>
          <w:sz w:val="32"/>
          <w:szCs w:val="32"/>
        </w:rPr>
        <w:t>(data for January 2013)</w:t>
      </w:r>
    </w:p>
    <w:p w:rsidR="00E75134" w:rsidRDefault="00E75134" w:rsidP="00E75134">
      <w:pPr>
        <w:pStyle w:val="Heading1"/>
        <w:ind w:right="142"/>
        <w:rPr>
          <w:rFonts w:ascii="Arial" w:eastAsiaTheme="minorEastAsia" w:hAnsi="Arial" w:cs="Arial"/>
          <w:b w:val="0"/>
          <w:bCs/>
          <w:color w:val="1074CB"/>
        </w:rPr>
      </w:pPr>
      <w:r w:rsidRPr="00D62A9D">
        <w:rPr>
          <w:rFonts w:ascii="Arial" w:eastAsiaTheme="minorEastAsia" w:hAnsi="Arial" w:cs="Arial"/>
          <w:b w:val="0"/>
          <w:bCs/>
          <w:color w:val="1074CB"/>
        </w:rPr>
        <w:t>FOR RELEASE: IMMEDIATE</w:t>
      </w:r>
    </w:p>
    <w:p w:rsidR="00E75134" w:rsidRPr="007B7D91" w:rsidRDefault="00240A59" w:rsidP="00E75134">
      <w:r w:rsidRPr="00240A59">
        <w:rPr>
          <w:rFonts w:ascii="Arial" w:eastAsiaTheme="minorEastAsia" w:hAnsi="Arial" w:cs="Arial"/>
          <w:b/>
          <w:bCs/>
          <w:noProof/>
          <w:color w:val="1074CB"/>
          <w:sz w:val="20"/>
        </w:rPr>
        <w:pict>
          <v:line id="_x0000_s1026" style="position:absolute;z-index:251656704" from=".55pt,3.7pt" to="487.1pt,3.7pt" strokecolor="#1074cb"/>
        </w:pict>
      </w:r>
    </w:p>
    <w:p w:rsidR="007B7D91" w:rsidRDefault="003E262D" w:rsidP="00017AB7">
      <w:pPr>
        <w:pStyle w:val="Heading1"/>
        <w:ind w:left="0" w:right="425" w:firstLine="0"/>
        <w:rPr>
          <w:rFonts w:ascii="Arial" w:eastAsiaTheme="minorEastAsia" w:hAnsi="Arial" w:cs="Arial"/>
          <w:bCs/>
          <w:color w:val="1074CB"/>
          <w:sz w:val="36"/>
          <w:szCs w:val="36"/>
        </w:rPr>
      </w:pPr>
      <w:r>
        <w:rPr>
          <w:rFonts w:ascii="Arial" w:eastAsiaTheme="minorEastAsia" w:hAnsi="Arial" w:cs="Arial"/>
          <w:bCs/>
          <w:color w:val="1074CB"/>
          <w:sz w:val="36"/>
          <w:szCs w:val="36"/>
        </w:rPr>
        <w:t xml:space="preserve">UK commercial vehicle output – January 2013 </w:t>
      </w:r>
    </w:p>
    <w:p w:rsidR="00017AB7" w:rsidRPr="00017AB7" w:rsidRDefault="00017AB7" w:rsidP="00017AB7"/>
    <w:p w:rsidR="00E75134" w:rsidRDefault="00E75134" w:rsidP="00E75134">
      <w:pPr>
        <w:numPr>
          <w:ilvl w:val="0"/>
          <w:numId w:val="2"/>
        </w:numPr>
        <w:spacing w:line="276" w:lineRule="auto"/>
        <w:rPr>
          <w:rFonts w:ascii="Arial" w:hAnsi="Arial" w:cs="Arial"/>
          <w:sz w:val="20"/>
        </w:rPr>
      </w:pPr>
      <w:r w:rsidRPr="00D62A9D">
        <w:rPr>
          <w:rFonts w:ascii="Arial" w:hAnsi="Arial" w:cs="Arial"/>
          <w:sz w:val="20"/>
        </w:rPr>
        <w:t>C</w:t>
      </w:r>
      <w:r>
        <w:rPr>
          <w:rFonts w:ascii="Arial" w:hAnsi="Arial" w:cs="Arial"/>
          <w:sz w:val="20"/>
        </w:rPr>
        <w:t>ommercial vehicle (CV)</w:t>
      </w:r>
      <w:r w:rsidRPr="00D62A9D">
        <w:rPr>
          <w:rFonts w:ascii="Arial" w:hAnsi="Arial" w:cs="Arial"/>
          <w:sz w:val="20"/>
        </w:rPr>
        <w:t xml:space="preserve"> output fell 20.5% in the</w:t>
      </w:r>
      <w:r>
        <w:rPr>
          <w:rFonts w:ascii="Arial" w:hAnsi="Arial" w:cs="Arial"/>
          <w:sz w:val="20"/>
        </w:rPr>
        <w:t xml:space="preserve"> first</w:t>
      </w:r>
      <w:r w:rsidRPr="00D62A9D">
        <w:rPr>
          <w:rFonts w:ascii="Arial" w:hAnsi="Arial" w:cs="Arial"/>
          <w:sz w:val="20"/>
        </w:rPr>
        <w:t xml:space="preserve"> month</w:t>
      </w:r>
      <w:r>
        <w:rPr>
          <w:rFonts w:ascii="Arial" w:hAnsi="Arial" w:cs="Arial"/>
          <w:sz w:val="20"/>
        </w:rPr>
        <w:t xml:space="preserve"> of year</w:t>
      </w:r>
      <w:r w:rsidRPr="00D62A9D">
        <w:rPr>
          <w:rFonts w:ascii="Arial" w:hAnsi="Arial" w:cs="Arial"/>
          <w:sz w:val="20"/>
        </w:rPr>
        <w:t xml:space="preserve"> to 7,822 units.</w:t>
      </w:r>
    </w:p>
    <w:p w:rsidR="00E75134" w:rsidRDefault="003E262D" w:rsidP="00E75134">
      <w:pPr>
        <w:pStyle w:val="ListParagraph"/>
        <w:numPr>
          <w:ilvl w:val="0"/>
          <w:numId w:val="2"/>
        </w:numPr>
        <w:spacing w:line="276" w:lineRule="auto"/>
        <w:rPr>
          <w:rFonts w:ascii="Arial" w:hAnsi="Arial" w:cs="Arial"/>
          <w:sz w:val="20"/>
        </w:rPr>
      </w:pPr>
      <w:r>
        <w:rPr>
          <w:rFonts w:ascii="Arial" w:hAnsi="Arial" w:cs="Arial"/>
          <w:sz w:val="20"/>
        </w:rPr>
        <w:t>CV output for export</w:t>
      </w:r>
      <w:r w:rsidR="00E75134">
        <w:rPr>
          <w:rFonts w:ascii="Arial" w:hAnsi="Arial" w:cs="Arial"/>
          <w:sz w:val="20"/>
        </w:rPr>
        <w:t xml:space="preserve"> fell 37.2% in January, while </w:t>
      </w:r>
      <w:r w:rsidR="00326E74">
        <w:rPr>
          <w:rFonts w:ascii="Arial" w:hAnsi="Arial" w:cs="Arial"/>
          <w:sz w:val="20"/>
        </w:rPr>
        <w:t xml:space="preserve">output for the </w:t>
      </w:r>
      <w:r w:rsidR="00E75134">
        <w:rPr>
          <w:rFonts w:ascii="Arial" w:hAnsi="Arial" w:cs="Arial"/>
          <w:sz w:val="20"/>
        </w:rPr>
        <w:t xml:space="preserve">domestic </w:t>
      </w:r>
      <w:r w:rsidR="00326E74">
        <w:rPr>
          <w:rFonts w:ascii="Arial" w:hAnsi="Arial" w:cs="Arial"/>
          <w:sz w:val="20"/>
        </w:rPr>
        <w:t xml:space="preserve">market </w:t>
      </w:r>
      <w:r w:rsidR="00E75134">
        <w:rPr>
          <w:rFonts w:ascii="Arial" w:hAnsi="Arial" w:cs="Arial"/>
          <w:sz w:val="20"/>
        </w:rPr>
        <w:t>grew 3.2%.</w:t>
      </w:r>
    </w:p>
    <w:p w:rsidR="00E75134" w:rsidRPr="00055A09" w:rsidRDefault="00E75134" w:rsidP="00E75134">
      <w:pPr>
        <w:pStyle w:val="ListParagraph"/>
        <w:numPr>
          <w:ilvl w:val="0"/>
          <w:numId w:val="2"/>
        </w:numPr>
        <w:spacing w:line="276" w:lineRule="auto"/>
        <w:rPr>
          <w:rFonts w:ascii="Arial" w:hAnsi="Arial" w:cs="Arial"/>
          <w:sz w:val="20"/>
        </w:rPr>
      </w:pPr>
      <w:r w:rsidRPr="00055A09">
        <w:rPr>
          <w:rFonts w:ascii="Arial" w:hAnsi="Arial" w:cs="Arial"/>
          <w:sz w:val="20"/>
        </w:rPr>
        <w:t xml:space="preserve">More than half of </w:t>
      </w:r>
      <w:r w:rsidR="008E5840">
        <w:rPr>
          <w:rFonts w:ascii="Arial" w:hAnsi="Arial" w:cs="Arial"/>
          <w:sz w:val="20"/>
        </w:rPr>
        <w:t xml:space="preserve">January’s </w:t>
      </w:r>
      <w:r w:rsidRPr="00055A09">
        <w:rPr>
          <w:rFonts w:ascii="Arial" w:hAnsi="Arial" w:cs="Arial"/>
          <w:sz w:val="20"/>
        </w:rPr>
        <w:t>CV output was for the home market.</w:t>
      </w:r>
    </w:p>
    <w:p w:rsidR="00E75134" w:rsidRDefault="00E75134" w:rsidP="00E75134">
      <w:pPr>
        <w:spacing w:line="276" w:lineRule="auto"/>
        <w:rPr>
          <w:rFonts w:ascii="Arial" w:hAnsi="Arial" w:cs="Arial"/>
          <w:sz w:val="20"/>
        </w:rPr>
      </w:pPr>
    </w:p>
    <w:p w:rsidR="00E75134" w:rsidRDefault="00E75134" w:rsidP="00E75134">
      <w:pPr>
        <w:spacing w:line="276" w:lineRule="auto"/>
        <w:rPr>
          <w:rFonts w:ascii="Arial" w:hAnsi="Arial" w:cs="Arial"/>
          <w:sz w:val="20"/>
        </w:rPr>
      </w:pPr>
      <w:r w:rsidRPr="00853732">
        <w:rPr>
          <w:rFonts w:ascii="Arial" w:hAnsi="Arial" w:cs="Arial"/>
          <w:sz w:val="20"/>
        </w:rPr>
        <w:t xml:space="preserve">"Manufacturing of </w:t>
      </w:r>
      <w:r w:rsidR="000818A7" w:rsidRPr="00853732">
        <w:rPr>
          <w:rFonts w:ascii="Arial" w:hAnsi="Arial" w:cs="Arial"/>
          <w:sz w:val="20"/>
        </w:rPr>
        <w:t>commercial vehicles</w:t>
      </w:r>
      <w:r w:rsidRPr="00853732">
        <w:rPr>
          <w:rFonts w:ascii="Arial" w:hAnsi="Arial" w:cs="Arial"/>
          <w:sz w:val="20"/>
        </w:rPr>
        <w:t xml:space="preserve"> in the UK </w:t>
      </w:r>
      <w:r w:rsidR="000818A7" w:rsidRPr="00853732">
        <w:rPr>
          <w:rFonts w:ascii="Arial" w:hAnsi="Arial" w:cs="Arial"/>
          <w:sz w:val="20"/>
        </w:rPr>
        <w:t>covers a dive</w:t>
      </w:r>
      <w:r w:rsidR="00446AC5">
        <w:rPr>
          <w:rFonts w:ascii="Arial" w:hAnsi="Arial" w:cs="Arial"/>
          <w:sz w:val="20"/>
        </w:rPr>
        <w:t xml:space="preserve">rse spectrum of vehicles </w:t>
      </w:r>
      <w:r w:rsidR="000818A7" w:rsidRPr="00446AC5">
        <w:rPr>
          <w:rFonts w:ascii="Arial" w:hAnsi="Arial" w:cs="Arial"/>
          <w:sz w:val="20"/>
        </w:rPr>
        <w:t xml:space="preserve">from light panel vans </w:t>
      </w:r>
      <w:r w:rsidRPr="00446AC5">
        <w:rPr>
          <w:rFonts w:ascii="Arial" w:hAnsi="Arial" w:cs="Arial"/>
          <w:sz w:val="20"/>
        </w:rPr>
        <w:t xml:space="preserve">to </w:t>
      </w:r>
      <w:r w:rsidR="000818A7" w:rsidRPr="00446AC5">
        <w:rPr>
          <w:rFonts w:ascii="Arial" w:hAnsi="Arial" w:cs="Arial"/>
          <w:sz w:val="20"/>
        </w:rPr>
        <w:t>heavy trucks</w:t>
      </w:r>
      <w:r w:rsidRPr="00446AC5">
        <w:rPr>
          <w:rFonts w:ascii="Arial" w:hAnsi="Arial" w:cs="Arial"/>
          <w:sz w:val="20"/>
        </w:rPr>
        <w:t xml:space="preserve">, </w:t>
      </w:r>
      <w:r w:rsidR="000818A7" w:rsidRPr="00446AC5">
        <w:rPr>
          <w:rFonts w:ascii="Arial" w:hAnsi="Arial" w:cs="Arial"/>
          <w:sz w:val="20"/>
        </w:rPr>
        <w:t xml:space="preserve">as well as </w:t>
      </w:r>
      <w:r w:rsidRPr="00446AC5">
        <w:rPr>
          <w:rFonts w:ascii="Arial" w:hAnsi="Arial" w:cs="Arial"/>
          <w:sz w:val="20"/>
        </w:rPr>
        <w:t>minibuses, doub</w:t>
      </w:r>
      <w:r w:rsidRPr="00853732">
        <w:rPr>
          <w:rFonts w:ascii="Arial" w:hAnsi="Arial" w:cs="Arial"/>
          <w:sz w:val="20"/>
        </w:rPr>
        <w:t>le-deckers and luxury coaches," said Mike Baunton, SMMT Interim Chief Executive. "</w:t>
      </w:r>
      <w:r w:rsidR="00326E74">
        <w:rPr>
          <w:rFonts w:ascii="Arial" w:hAnsi="Arial" w:cs="Arial"/>
          <w:sz w:val="20"/>
        </w:rPr>
        <w:t>UK registrations of</w:t>
      </w:r>
      <w:r w:rsidRPr="00853732">
        <w:rPr>
          <w:rFonts w:ascii="Arial" w:hAnsi="Arial" w:cs="Arial"/>
          <w:sz w:val="20"/>
        </w:rPr>
        <w:t xml:space="preserve"> trucks w</w:t>
      </w:r>
      <w:r w:rsidR="008E5840">
        <w:rPr>
          <w:rFonts w:ascii="Arial" w:hAnsi="Arial" w:cs="Arial"/>
          <w:sz w:val="20"/>
        </w:rPr>
        <w:t>ere</w:t>
      </w:r>
      <w:r w:rsidRPr="00853732">
        <w:rPr>
          <w:rFonts w:ascii="Arial" w:hAnsi="Arial" w:cs="Arial"/>
          <w:sz w:val="20"/>
        </w:rPr>
        <w:t xml:space="preserve"> strong through most of 2012, but dropped off in the final quarter impacting output</w:t>
      </w:r>
      <w:r w:rsidR="008E5840">
        <w:rPr>
          <w:rFonts w:ascii="Arial" w:hAnsi="Arial" w:cs="Arial"/>
          <w:sz w:val="20"/>
        </w:rPr>
        <w:t xml:space="preserve">. However, </w:t>
      </w:r>
      <w:r w:rsidRPr="00853732">
        <w:rPr>
          <w:rFonts w:ascii="Arial" w:hAnsi="Arial" w:cs="Arial"/>
          <w:sz w:val="20"/>
        </w:rPr>
        <w:t xml:space="preserve">domestic demand for buses and coaches </w:t>
      </w:r>
      <w:r w:rsidR="00853732" w:rsidRPr="00853732">
        <w:rPr>
          <w:rFonts w:ascii="Arial" w:hAnsi="Arial" w:cs="Arial"/>
          <w:sz w:val="20"/>
        </w:rPr>
        <w:t>grew</w:t>
      </w:r>
      <w:r w:rsidRPr="00853732">
        <w:rPr>
          <w:rFonts w:ascii="Arial" w:hAnsi="Arial" w:cs="Arial"/>
          <w:sz w:val="20"/>
        </w:rPr>
        <w:t xml:space="preserve"> significantly </w:t>
      </w:r>
      <w:r w:rsidR="00853732" w:rsidRPr="00853732">
        <w:rPr>
          <w:rFonts w:ascii="Arial" w:hAnsi="Arial" w:cs="Arial"/>
          <w:sz w:val="20"/>
        </w:rPr>
        <w:t>through 2012</w:t>
      </w:r>
      <w:r w:rsidRPr="00853732">
        <w:rPr>
          <w:rFonts w:ascii="Arial" w:hAnsi="Arial" w:cs="Arial"/>
          <w:sz w:val="20"/>
        </w:rPr>
        <w:t xml:space="preserve"> on the back of government incentives and a wider focus on public transport."</w:t>
      </w:r>
    </w:p>
    <w:p w:rsidR="00015D3B" w:rsidRPr="00D62A9D" w:rsidRDefault="00015D3B" w:rsidP="00015D3B">
      <w:pPr>
        <w:spacing w:line="276" w:lineRule="auto"/>
        <w:rPr>
          <w:rFonts w:ascii="Arial" w:hAnsi="Arial" w:cs="Arial"/>
          <w:sz w:val="20"/>
        </w:rPr>
      </w:pPr>
    </w:p>
    <w:tbl>
      <w:tblPr>
        <w:tblW w:w="9433" w:type="dxa"/>
        <w:tblInd w:w="108"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6" w:space="0" w:color="548DD4" w:themeColor="text2" w:themeTint="99"/>
          <w:insideV w:val="single" w:sz="6" w:space="0" w:color="548DD4" w:themeColor="text2" w:themeTint="99"/>
        </w:tblBorders>
        <w:tblLayout w:type="fixed"/>
        <w:tblLook w:val="04A0"/>
      </w:tblPr>
      <w:tblGrid>
        <w:gridCol w:w="1985"/>
        <w:gridCol w:w="1241"/>
        <w:gridCol w:w="1241"/>
        <w:gridCol w:w="1242"/>
        <w:gridCol w:w="1241"/>
        <w:gridCol w:w="1241"/>
        <w:gridCol w:w="1242"/>
      </w:tblGrid>
      <w:tr w:rsidR="00015D3B" w:rsidRPr="00D62A9D" w:rsidTr="00E75134">
        <w:trPr>
          <w:trHeight w:val="288"/>
        </w:trPr>
        <w:tc>
          <w:tcPr>
            <w:tcW w:w="1985" w:type="dxa"/>
            <w:shd w:val="clear" w:color="auto" w:fill="auto"/>
            <w:noWrap/>
            <w:hideMark/>
          </w:tcPr>
          <w:p w:rsidR="00015D3B" w:rsidRPr="00E75134" w:rsidRDefault="00E75134" w:rsidP="00EA17B0">
            <w:pPr>
              <w:rPr>
                <w:rFonts w:ascii="Arial" w:hAnsi="Arial" w:cs="Arial"/>
                <w:b/>
                <w:bCs/>
                <w:color w:val="1074CB"/>
                <w:sz w:val="20"/>
              </w:rPr>
            </w:pPr>
            <w:r w:rsidRPr="00E75134">
              <w:rPr>
                <w:rFonts w:ascii="Arial" w:hAnsi="Arial" w:cs="Arial"/>
                <w:b/>
                <w:bCs/>
                <w:color w:val="1074CB"/>
                <w:sz w:val="20"/>
              </w:rPr>
              <w:t>CV manufacturing</w:t>
            </w:r>
          </w:p>
        </w:tc>
        <w:tc>
          <w:tcPr>
            <w:tcW w:w="1241" w:type="dxa"/>
            <w:shd w:val="clear" w:color="auto" w:fill="auto"/>
            <w:noWrap/>
            <w:vAlign w:val="bottom"/>
            <w:hideMark/>
          </w:tcPr>
          <w:p w:rsidR="00015D3B" w:rsidRPr="00AF5E02" w:rsidRDefault="00015D3B" w:rsidP="00EA17B0">
            <w:pPr>
              <w:jc w:val="center"/>
              <w:rPr>
                <w:rFonts w:ascii="Arial" w:hAnsi="Arial" w:cs="Arial"/>
                <w:b/>
                <w:bCs/>
                <w:color w:val="0070C0"/>
                <w:sz w:val="20"/>
              </w:rPr>
            </w:pPr>
            <w:r w:rsidRPr="00AF5E02">
              <w:rPr>
                <w:rFonts w:ascii="Arial" w:hAnsi="Arial" w:cs="Arial"/>
                <w:b/>
                <w:bCs/>
                <w:color w:val="0070C0"/>
                <w:sz w:val="20"/>
              </w:rPr>
              <w:t>Jan-12</w:t>
            </w:r>
          </w:p>
        </w:tc>
        <w:tc>
          <w:tcPr>
            <w:tcW w:w="1241" w:type="dxa"/>
            <w:shd w:val="clear" w:color="auto" w:fill="auto"/>
            <w:noWrap/>
            <w:vAlign w:val="bottom"/>
            <w:hideMark/>
          </w:tcPr>
          <w:p w:rsidR="00015D3B" w:rsidRPr="00AF5E02" w:rsidRDefault="00015D3B" w:rsidP="00EA17B0">
            <w:pPr>
              <w:jc w:val="center"/>
              <w:rPr>
                <w:rFonts w:ascii="Arial" w:hAnsi="Arial" w:cs="Arial"/>
                <w:b/>
                <w:bCs/>
                <w:color w:val="0070C0"/>
                <w:sz w:val="20"/>
              </w:rPr>
            </w:pPr>
            <w:r w:rsidRPr="00AF5E02">
              <w:rPr>
                <w:rFonts w:ascii="Arial" w:hAnsi="Arial" w:cs="Arial"/>
                <w:b/>
                <w:bCs/>
                <w:color w:val="0070C0"/>
                <w:sz w:val="20"/>
              </w:rPr>
              <w:t>Jan-13</w:t>
            </w:r>
          </w:p>
        </w:tc>
        <w:tc>
          <w:tcPr>
            <w:tcW w:w="1242" w:type="dxa"/>
            <w:shd w:val="clear" w:color="auto" w:fill="auto"/>
            <w:noWrap/>
            <w:vAlign w:val="bottom"/>
            <w:hideMark/>
          </w:tcPr>
          <w:p w:rsidR="00015D3B" w:rsidRPr="00AF5E02" w:rsidRDefault="00015D3B" w:rsidP="00EA17B0">
            <w:pPr>
              <w:jc w:val="center"/>
              <w:rPr>
                <w:rFonts w:ascii="Arial" w:hAnsi="Arial" w:cs="Arial"/>
                <w:b/>
                <w:bCs/>
                <w:color w:val="0070C0"/>
                <w:sz w:val="20"/>
              </w:rPr>
            </w:pPr>
            <w:r w:rsidRPr="00AF5E02">
              <w:rPr>
                <w:rFonts w:ascii="Arial" w:hAnsi="Arial" w:cs="Arial"/>
                <w:b/>
                <w:bCs/>
                <w:color w:val="0070C0"/>
                <w:sz w:val="20"/>
              </w:rPr>
              <w:t>% Change</w:t>
            </w:r>
            <w:r w:rsidRPr="00AF5E02" w:rsidDel="00C37675">
              <w:rPr>
                <w:rFonts w:ascii="Arial" w:hAnsi="Arial" w:cs="Arial"/>
                <w:b/>
                <w:bCs/>
                <w:color w:val="0070C0"/>
                <w:sz w:val="20"/>
              </w:rPr>
              <w:t xml:space="preserve"> </w:t>
            </w:r>
          </w:p>
        </w:tc>
        <w:tc>
          <w:tcPr>
            <w:tcW w:w="1241" w:type="dxa"/>
            <w:shd w:val="clear" w:color="auto" w:fill="auto"/>
            <w:noWrap/>
            <w:vAlign w:val="bottom"/>
            <w:hideMark/>
          </w:tcPr>
          <w:p w:rsidR="00015D3B" w:rsidRPr="00AF5E02" w:rsidRDefault="00015D3B" w:rsidP="00017AB7">
            <w:pPr>
              <w:jc w:val="center"/>
              <w:rPr>
                <w:rFonts w:ascii="Arial" w:hAnsi="Arial" w:cs="Arial"/>
                <w:b/>
                <w:bCs/>
                <w:color w:val="0070C0"/>
                <w:sz w:val="20"/>
              </w:rPr>
            </w:pPr>
            <w:r w:rsidRPr="00AF5E02">
              <w:rPr>
                <w:rFonts w:ascii="Arial" w:hAnsi="Arial" w:cs="Arial"/>
                <w:b/>
                <w:bCs/>
                <w:color w:val="0070C0"/>
                <w:sz w:val="20"/>
              </w:rPr>
              <w:t>YTD-1</w:t>
            </w:r>
            <w:r w:rsidR="00017AB7">
              <w:rPr>
                <w:rFonts w:ascii="Arial" w:hAnsi="Arial" w:cs="Arial"/>
                <w:b/>
                <w:bCs/>
                <w:color w:val="0070C0"/>
                <w:sz w:val="20"/>
              </w:rPr>
              <w:t>2</w:t>
            </w:r>
          </w:p>
        </w:tc>
        <w:tc>
          <w:tcPr>
            <w:tcW w:w="1241" w:type="dxa"/>
            <w:shd w:val="clear" w:color="auto" w:fill="auto"/>
            <w:noWrap/>
            <w:vAlign w:val="bottom"/>
            <w:hideMark/>
          </w:tcPr>
          <w:p w:rsidR="00015D3B" w:rsidRPr="00AF5E02" w:rsidRDefault="00015D3B" w:rsidP="00EA17B0">
            <w:pPr>
              <w:jc w:val="center"/>
              <w:rPr>
                <w:rFonts w:ascii="Arial" w:hAnsi="Arial" w:cs="Arial"/>
                <w:b/>
                <w:bCs/>
                <w:color w:val="0070C0"/>
                <w:sz w:val="20"/>
              </w:rPr>
            </w:pPr>
            <w:r w:rsidRPr="00AF5E02">
              <w:rPr>
                <w:rFonts w:ascii="Arial" w:hAnsi="Arial" w:cs="Arial"/>
                <w:b/>
                <w:bCs/>
                <w:color w:val="0070C0"/>
                <w:sz w:val="20"/>
              </w:rPr>
              <w:t>YTD-13</w:t>
            </w:r>
          </w:p>
        </w:tc>
        <w:tc>
          <w:tcPr>
            <w:tcW w:w="1242" w:type="dxa"/>
            <w:shd w:val="clear" w:color="auto" w:fill="auto"/>
            <w:noWrap/>
            <w:vAlign w:val="bottom"/>
            <w:hideMark/>
          </w:tcPr>
          <w:p w:rsidR="00015D3B" w:rsidRPr="00AF5E02" w:rsidRDefault="00015D3B" w:rsidP="00EA17B0">
            <w:pPr>
              <w:jc w:val="center"/>
              <w:rPr>
                <w:rFonts w:ascii="Arial" w:hAnsi="Arial" w:cs="Arial"/>
                <w:b/>
                <w:bCs/>
                <w:color w:val="0070C0"/>
                <w:sz w:val="20"/>
              </w:rPr>
            </w:pPr>
            <w:r w:rsidRPr="00AF5E02">
              <w:rPr>
                <w:rFonts w:ascii="Arial" w:hAnsi="Arial" w:cs="Arial"/>
                <w:b/>
                <w:bCs/>
                <w:color w:val="0070C0"/>
                <w:sz w:val="20"/>
              </w:rPr>
              <w:t>% Change</w:t>
            </w:r>
          </w:p>
        </w:tc>
      </w:tr>
      <w:tr w:rsidR="00326E74" w:rsidRPr="00D62A9D" w:rsidTr="00E75134">
        <w:trPr>
          <w:trHeight w:val="360"/>
        </w:trPr>
        <w:tc>
          <w:tcPr>
            <w:tcW w:w="1985" w:type="dxa"/>
            <w:shd w:val="clear" w:color="auto" w:fill="auto"/>
            <w:noWrap/>
            <w:vAlign w:val="center"/>
            <w:hideMark/>
          </w:tcPr>
          <w:p w:rsidR="00326E74" w:rsidRPr="00AF5E02" w:rsidRDefault="00326E74" w:rsidP="00AF5E02">
            <w:pPr>
              <w:rPr>
                <w:rFonts w:ascii="Arial" w:hAnsi="Arial" w:cs="Arial"/>
                <w:bCs/>
                <w:color w:val="1074CB"/>
                <w:sz w:val="20"/>
              </w:rPr>
            </w:pPr>
            <w:r>
              <w:rPr>
                <w:rFonts w:ascii="Arial" w:hAnsi="Arial" w:cs="Arial"/>
                <w:bCs/>
                <w:color w:val="1074CB"/>
                <w:sz w:val="20"/>
              </w:rPr>
              <w:t>Total</w:t>
            </w:r>
          </w:p>
        </w:tc>
        <w:tc>
          <w:tcPr>
            <w:tcW w:w="1241" w:type="dxa"/>
            <w:shd w:val="clear" w:color="auto" w:fill="auto"/>
            <w:noWrap/>
            <w:vAlign w:val="center"/>
            <w:hideMark/>
          </w:tcPr>
          <w:p w:rsidR="00326E74" w:rsidRPr="00AF5E02" w:rsidRDefault="00326E74" w:rsidP="008E5840">
            <w:pPr>
              <w:jc w:val="right"/>
              <w:rPr>
                <w:rFonts w:ascii="Arial" w:hAnsi="Arial" w:cs="Arial"/>
                <w:bCs/>
                <w:color w:val="0070C0"/>
                <w:sz w:val="20"/>
              </w:rPr>
            </w:pPr>
            <w:r>
              <w:rPr>
                <w:rFonts w:ascii="Arial" w:hAnsi="Arial" w:cs="Arial"/>
                <w:bCs/>
                <w:color w:val="0070C0"/>
                <w:sz w:val="20"/>
              </w:rPr>
              <w:t>9</w:t>
            </w:r>
            <w:r w:rsidRPr="00AF5E02">
              <w:rPr>
                <w:rFonts w:ascii="Arial" w:hAnsi="Arial" w:cs="Arial"/>
                <w:bCs/>
                <w:color w:val="0070C0"/>
                <w:sz w:val="20"/>
              </w:rPr>
              <w:t>,8</w:t>
            </w:r>
            <w:r w:rsidR="003E262D">
              <w:rPr>
                <w:rFonts w:ascii="Arial" w:hAnsi="Arial" w:cs="Arial"/>
                <w:bCs/>
                <w:color w:val="0070C0"/>
                <w:sz w:val="20"/>
              </w:rPr>
              <w:t>44</w:t>
            </w:r>
          </w:p>
        </w:tc>
        <w:tc>
          <w:tcPr>
            <w:tcW w:w="1241" w:type="dxa"/>
            <w:shd w:val="clear" w:color="auto" w:fill="auto"/>
            <w:noWrap/>
            <w:vAlign w:val="center"/>
            <w:hideMark/>
          </w:tcPr>
          <w:p w:rsidR="00326E74" w:rsidRPr="00AF5E02" w:rsidRDefault="00326E74" w:rsidP="008E5840">
            <w:pPr>
              <w:jc w:val="right"/>
              <w:rPr>
                <w:rFonts w:ascii="Arial" w:hAnsi="Arial" w:cs="Arial"/>
                <w:bCs/>
                <w:color w:val="0070C0"/>
                <w:sz w:val="20"/>
              </w:rPr>
            </w:pPr>
            <w:r w:rsidRPr="00AF5E02">
              <w:rPr>
                <w:rFonts w:ascii="Arial" w:hAnsi="Arial" w:cs="Arial"/>
                <w:bCs/>
                <w:color w:val="0070C0"/>
                <w:sz w:val="20"/>
              </w:rPr>
              <w:t>7,822</w:t>
            </w:r>
          </w:p>
        </w:tc>
        <w:tc>
          <w:tcPr>
            <w:tcW w:w="1242" w:type="dxa"/>
            <w:shd w:val="clear" w:color="auto" w:fill="auto"/>
            <w:noWrap/>
            <w:vAlign w:val="center"/>
            <w:hideMark/>
          </w:tcPr>
          <w:p w:rsidR="00326E74" w:rsidRPr="00AF5E02" w:rsidRDefault="00326E74" w:rsidP="00AF5E02">
            <w:pPr>
              <w:jc w:val="center"/>
              <w:rPr>
                <w:rFonts w:ascii="Arial" w:hAnsi="Arial" w:cs="Arial"/>
                <w:bCs/>
                <w:color w:val="0070C0"/>
                <w:sz w:val="20"/>
              </w:rPr>
            </w:pPr>
            <w:r w:rsidRPr="00AF5E02">
              <w:rPr>
                <w:rFonts w:ascii="Arial" w:hAnsi="Arial" w:cs="Arial"/>
                <w:bCs/>
                <w:color w:val="0070C0"/>
                <w:sz w:val="20"/>
              </w:rPr>
              <w:t>-20.5%</w:t>
            </w:r>
          </w:p>
        </w:tc>
        <w:tc>
          <w:tcPr>
            <w:tcW w:w="1241" w:type="dxa"/>
            <w:shd w:val="clear" w:color="auto" w:fill="auto"/>
            <w:noWrap/>
            <w:vAlign w:val="center"/>
            <w:hideMark/>
          </w:tcPr>
          <w:p w:rsidR="00326E74" w:rsidRPr="00AF5E02" w:rsidRDefault="00326E74" w:rsidP="008E5840">
            <w:pPr>
              <w:jc w:val="right"/>
              <w:rPr>
                <w:rFonts w:ascii="Arial" w:hAnsi="Arial" w:cs="Arial"/>
                <w:bCs/>
                <w:color w:val="0070C0"/>
                <w:sz w:val="20"/>
              </w:rPr>
            </w:pPr>
            <w:r>
              <w:rPr>
                <w:rFonts w:ascii="Arial" w:hAnsi="Arial" w:cs="Arial"/>
                <w:bCs/>
                <w:color w:val="0070C0"/>
                <w:sz w:val="20"/>
              </w:rPr>
              <w:t>9</w:t>
            </w:r>
            <w:r w:rsidR="003E262D">
              <w:rPr>
                <w:rFonts w:ascii="Arial" w:hAnsi="Arial" w:cs="Arial"/>
                <w:bCs/>
                <w:color w:val="0070C0"/>
                <w:sz w:val="20"/>
              </w:rPr>
              <w:t>,84</w:t>
            </w:r>
            <w:r w:rsidRPr="00AF5E02">
              <w:rPr>
                <w:rFonts w:ascii="Arial" w:hAnsi="Arial" w:cs="Arial"/>
                <w:bCs/>
                <w:color w:val="0070C0"/>
                <w:sz w:val="20"/>
              </w:rPr>
              <w:t>4</w:t>
            </w:r>
          </w:p>
        </w:tc>
        <w:tc>
          <w:tcPr>
            <w:tcW w:w="1241" w:type="dxa"/>
            <w:shd w:val="clear" w:color="auto" w:fill="auto"/>
            <w:noWrap/>
            <w:vAlign w:val="center"/>
            <w:hideMark/>
          </w:tcPr>
          <w:p w:rsidR="00326E74" w:rsidRPr="00AF5E02" w:rsidRDefault="00326E74" w:rsidP="008E5840">
            <w:pPr>
              <w:jc w:val="right"/>
              <w:rPr>
                <w:rFonts w:ascii="Arial" w:hAnsi="Arial" w:cs="Arial"/>
                <w:bCs/>
                <w:color w:val="0070C0"/>
                <w:sz w:val="20"/>
              </w:rPr>
            </w:pPr>
            <w:r w:rsidRPr="00AF5E02">
              <w:rPr>
                <w:rFonts w:ascii="Arial" w:hAnsi="Arial" w:cs="Arial"/>
                <w:bCs/>
                <w:color w:val="0070C0"/>
                <w:sz w:val="20"/>
              </w:rPr>
              <w:t>7,822</w:t>
            </w:r>
          </w:p>
        </w:tc>
        <w:tc>
          <w:tcPr>
            <w:tcW w:w="1242" w:type="dxa"/>
            <w:shd w:val="clear" w:color="auto" w:fill="auto"/>
            <w:noWrap/>
            <w:vAlign w:val="center"/>
            <w:hideMark/>
          </w:tcPr>
          <w:p w:rsidR="00326E74" w:rsidRPr="00AF5E02" w:rsidRDefault="00326E74" w:rsidP="00EA17B0">
            <w:pPr>
              <w:jc w:val="center"/>
              <w:rPr>
                <w:rFonts w:ascii="Arial" w:hAnsi="Arial" w:cs="Arial"/>
                <w:bCs/>
                <w:color w:val="0070C0"/>
                <w:sz w:val="20"/>
              </w:rPr>
            </w:pPr>
            <w:r w:rsidRPr="00AF5E02">
              <w:rPr>
                <w:rFonts w:ascii="Arial" w:hAnsi="Arial" w:cs="Arial"/>
                <w:bCs/>
                <w:color w:val="0070C0"/>
                <w:sz w:val="20"/>
              </w:rPr>
              <w:t>-20.5%</w:t>
            </w:r>
          </w:p>
        </w:tc>
      </w:tr>
      <w:tr w:rsidR="00326E74" w:rsidRPr="00D62A9D" w:rsidTr="00E75134">
        <w:trPr>
          <w:trHeight w:val="360"/>
        </w:trPr>
        <w:tc>
          <w:tcPr>
            <w:tcW w:w="1985" w:type="dxa"/>
            <w:shd w:val="clear" w:color="auto" w:fill="auto"/>
            <w:noWrap/>
            <w:vAlign w:val="center"/>
            <w:hideMark/>
          </w:tcPr>
          <w:p w:rsidR="00326E74" w:rsidRPr="00AF5E02" w:rsidRDefault="00326E74" w:rsidP="00AF5E02">
            <w:pPr>
              <w:rPr>
                <w:rFonts w:ascii="Arial" w:hAnsi="Arial" w:cs="Arial"/>
                <w:bCs/>
                <w:color w:val="1074CB"/>
                <w:sz w:val="20"/>
              </w:rPr>
            </w:pPr>
            <w:r w:rsidRPr="00AF5E02">
              <w:rPr>
                <w:rFonts w:ascii="Arial" w:hAnsi="Arial" w:cs="Arial"/>
                <w:bCs/>
                <w:color w:val="1074CB"/>
                <w:sz w:val="20"/>
              </w:rPr>
              <w:t>Export</w:t>
            </w:r>
          </w:p>
        </w:tc>
        <w:tc>
          <w:tcPr>
            <w:tcW w:w="1241" w:type="dxa"/>
            <w:shd w:val="clear" w:color="auto" w:fill="auto"/>
            <w:noWrap/>
            <w:vAlign w:val="center"/>
            <w:hideMark/>
          </w:tcPr>
          <w:p w:rsidR="00326E74" w:rsidRPr="00AF5E02" w:rsidRDefault="00326E74" w:rsidP="008E5840">
            <w:pPr>
              <w:jc w:val="right"/>
              <w:rPr>
                <w:rFonts w:ascii="Arial" w:hAnsi="Arial" w:cs="Arial"/>
                <w:bCs/>
                <w:color w:val="0070C0"/>
                <w:sz w:val="20"/>
              </w:rPr>
            </w:pPr>
            <w:r>
              <w:rPr>
                <w:rFonts w:ascii="Arial" w:hAnsi="Arial" w:cs="Arial"/>
                <w:bCs/>
                <w:color w:val="0070C0"/>
                <w:sz w:val="20"/>
              </w:rPr>
              <w:t>5,778</w:t>
            </w:r>
          </w:p>
        </w:tc>
        <w:tc>
          <w:tcPr>
            <w:tcW w:w="1241" w:type="dxa"/>
            <w:shd w:val="clear" w:color="auto" w:fill="auto"/>
            <w:noWrap/>
            <w:vAlign w:val="center"/>
            <w:hideMark/>
          </w:tcPr>
          <w:p w:rsidR="00326E74" w:rsidRPr="00AF5E02" w:rsidRDefault="00326E74" w:rsidP="008E5840">
            <w:pPr>
              <w:jc w:val="right"/>
              <w:rPr>
                <w:rFonts w:ascii="Arial" w:hAnsi="Arial" w:cs="Arial"/>
                <w:bCs/>
                <w:color w:val="0070C0"/>
                <w:sz w:val="20"/>
              </w:rPr>
            </w:pPr>
            <w:r>
              <w:rPr>
                <w:rFonts w:ascii="Arial" w:hAnsi="Arial" w:cs="Arial"/>
                <w:bCs/>
                <w:color w:val="0070C0"/>
                <w:sz w:val="20"/>
              </w:rPr>
              <w:t>3,62</w:t>
            </w:r>
            <w:r w:rsidRPr="00AF5E02">
              <w:rPr>
                <w:rFonts w:ascii="Arial" w:hAnsi="Arial" w:cs="Arial"/>
                <w:bCs/>
                <w:color w:val="0070C0"/>
                <w:sz w:val="20"/>
              </w:rPr>
              <w:t>6</w:t>
            </w:r>
          </w:p>
        </w:tc>
        <w:tc>
          <w:tcPr>
            <w:tcW w:w="1242" w:type="dxa"/>
            <w:shd w:val="clear" w:color="auto" w:fill="auto"/>
            <w:noWrap/>
            <w:vAlign w:val="center"/>
            <w:hideMark/>
          </w:tcPr>
          <w:p w:rsidR="00326E74" w:rsidRPr="00AF5E02" w:rsidRDefault="00326E74" w:rsidP="007443F2">
            <w:pPr>
              <w:jc w:val="center"/>
              <w:rPr>
                <w:rFonts w:ascii="Arial" w:hAnsi="Arial" w:cs="Arial"/>
                <w:bCs/>
                <w:color w:val="0070C0"/>
                <w:sz w:val="20"/>
              </w:rPr>
            </w:pPr>
            <w:r w:rsidRPr="00AF5E02">
              <w:rPr>
                <w:rFonts w:ascii="Arial" w:hAnsi="Arial" w:cs="Arial"/>
                <w:bCs/>
                <w:color w:val="0070C0"/>
                <w:sz w:val="20"/>
              </w:rPr>
              <w:t>-</w:t>
            </w:r>
            <w:r>
              <w:rPr>
                <w:rFonts w:ascii="Arial" w:hAnsi="Arial" w:cs="Arial"/>
                <w:bCs/>
                <w:color w:val="0070C0"/>
                <w:sz w:val="20"/>
              </w:rPr>
              <w:t>37.2</w:t>
            </w:r>
            <w:r w:rsidRPr="00AF5E02">
              <w:rPr>
                <w:rFonts w:ascii="Arial" w:hAnsi="Arial" w:cs="Arial"/>
                <w:bCs/>
                <w:color w:val="0070C0"/>
                <w:sz w:val="20"/>
              </w:rPr>
              <w:t>%</w:t>
            </w:r>
          </w:p>
        </w:tc>
        <w:tc>
          <w:tcPr>
            <w:tcW w:w="1241" w:type="dxa"/>
            <w:shd w:val="clear" w:color="auto" w:fill="auto"/>
            <w:noWrap/>
            <w:vAlign w:val="center"/>
            <w:hideMark/>
          </w:tcPr>
          <w:p w:rsidR="00326E74" w:rsidRPr="00AF5E02" w:rsidRDefault="00326E74" w:rsidP="008E5840">
            <w:pPr>
              <w:jc w:val="right"/>
              <w:rPr>
                <w:rFonts w:ascii="Arial" w:hAnsi="Arial" w:cs="Arial"/>
                <w:bCs/>
                <w:color w:val="0070C0"/>
                <w:sz w:val="20"/>
              </w:rPr>
            </w:pPr>
            <w:r>
              <w:rPr>
                <w:rFonts w:ascii="Arial" w:hAnsi="Arial" w:cs="Arial"/>
                <w:bCs/>
                <w:color w:val="0070C0"/>
                <w:sz w:val="20"/>
              </w:rPr>
              <w:t>5,778</w:t>
            </w:r>
          </w:p>
        </w:tc>
        <w:tc>
          <w:tcPr>
            <w:tcW w:w="1241" w:type="dxa"/>
            <w:shd w:val="clear" w:color="auto" w:fill="auto"/>
            <w:noWrap/>
            <w:vAlign w:val="center"/>
            <w:hideMark/>
          </w:tcPr>
          <w:p w:rsidR="00326E74" w:rsidRPr="00AF5E02" w:rsidRDefault="00326E74" w:rsidP="008E5840">
            <w:pPr>
              <w:jc w:val="right"/>
              <w:rPr>
                <w:rFonts w:ascii="Arial" w:hAnsi="Arial" w:cs="Arial"/>
                <w:bCs/>
                <w:color w:val="0070C0"/>
                <w:sz w:val="20"/>
              </w:rPr>
            </w:pPr>
            <w:r>
              <w:rPr>
                <w:rFonts w:ascii="Arial" w:hAnsi="Arial" w:cs="Arial"/>
                <w:bCs/>
                <w:color w:val="0070C0"/>
                <w:sz w:val="20"/>
              </w:rPr>
              <w:t>3,62</w:t>
            </w:r>
            <w:r w:rsidRPr="00AF5E02">
              <w:rPr>
                <w:rFonts w:ascii="Arial" w:hAnsi="Arial" w:cs="Arial"/>
                <w:bCs/>
                <w:color w:val="0070C0"/>
                <w:sz w:val="20"/>
              </w:rPr>
              <w:t>6</w:t>
            </w:r>
          </w:p>
        </w:tc>
        <w:tc>
          <w:tcPr>
            <w:tcW w:w="1242" w:type="dxa"/>
            <w:shd w:val="clear" w:color="auto" w:fill="auto"/>
            <w:noWrap/>
            <w:vAlign w:val="center"/>
            <w:hideMark/>
          </w:tcPr>
          <w:p w:rsidR="00326E74" w:rsidRPr="00AF5E02" w:rsidRDefault="00326E74" w:rsidP="00EA17B0">
            <w:pPr>
              <w:jc w:val="center"/>
              <w:rPr>
                <w:rFonts w:ascii="Arial" w:hAnsi="Arial" w:cs="Arial"/>
                <w:bCs/>
                <w:color w:val="0070C0"/>
                <w:sz w:val="20"/>
              </w:rPr>
            </w:pPr>
            <w:r w:rsidRPr="00AF5E02">
              <w:rPr>
                <w:rFonts w:ascii="Arial" w:hAnsi="Arial" w:cs="Arial"/>
                <w:bCs/>
                <w:color w:val="0070C0"/>
                <w:sz w:val="20"/>
              </w:rPr>
              <w:t>-</w:t>
            </w:r>
            <w:r>
              <w:rPr>
                <w:rFonts w:ascii="Arial" w:hAnsi="Arial" w:cs="Arial"/>
                <w:bCs/>
                <w:color w:val="0070C0"/>
                <w:sz w:val="20"/>
              </w:rPr>
              <w:t>37.2</w:t>
            </w:r>
            <w:r w:rsidRPr="00AF5E02">
              <w:rPr>
                <w:rFonts w:ascii="Arial" w:hAnsi="Arial" w:cs="Arial"/>
                <w:bCs/>
                <w:color w:val="0070C0"/>
                <w:sz w:val="20"/>
              </w:rPr>
              <w:t>%</w:t>
            </w:r>
          </w:p>
        </w:tc>
      </w:tr>
      <w:tr w:rsidR="00326E74" w:rsidRPr="00D62A9D" w:rsidTr="00E75134">
        <w:trPr>
          <w:trHeight w:val="360"/>
        </w:trPr>
        <w:tc>
          <w:tcPr>
            <w:tcW w:w="1985" w:type="dxa"/>
            <w:shd w:val="clear" w:color="auto" w:fill="auto"/>
            <w:noWrap/>
            <w:vAlign w:val="center"/>
            <w:hideMark/>
          </w:tcPr>
          <w:p w:rsidR="00326E74" w:rsidRPr="00AF5E02" w:rsidRDefault="00326E74" w:rsidP="00AF5E02">
            <w:pPr>
              <w:rPr>
                <w:rFonts w:ascii="Arial" w:hAnsi="Arial" w:cs="Arial"/>
                <w:bCs/>
                <w:color w:val="1074CB"/>
                <w:sz w:val="20"/>
              </w:rPr>
            </w:pPr>
            <w:r w:rsidRPr="00AF5E02">
              <w:rPr>
                <w:rFonts w:ascii="Arial" w:hAnsi="Arial" w:cs="Arial"/>
                <w:bCs/>
                <w:color w:val="1074CB"/>
                <w:sz w:val="20"/>
              </w:rPr>
              <w:t>Home</w:t>
            </w:r>
          </w:p>
        </w:tc>
        <w:tc>
          <w:tcPr>
            <w:tcW w:w="1241" w:type="dxa"/>
            <w:shd w:val="clear" w:color="auto" w:fill="auto"/>
            <w:noWrap/>
            <w:vAlign w:val="center"/>
            <w:hideMark/>
          </w:tcPr>
          <w:p w:rsidR="00326E74" w:rsidRPr="00AF5E02" w:rsidRDefault="00326E74" w:rsidP="008E5840">
            <w:pPr>
              <w:jc w:val="right"/>
              <w:rPr>
                <w:rFonts w:ascii="Arial" w:hAnsi="Arial" w:cs="Arial"/>
                <w:bCs/>
                <w:color w:val="0070C0"/>
                <w:sz w:val="20"/>
              </w:rPr>
            </w:pPr>
            <w:r>
              <w:rPr>
                <w:rFonts w:ascii="Arial" w:hAnsi="Arial" w:cs="Arial"/>
                <w:bCs/>
                <w:color w:val="0070C0"/>
                <w:sz w:val="20"/>
              </w:rPr>
              <w:t>4,066</w:t>
            </w:r>
          </w:p>
        </w:tc>
        <w:tc>
          <w:tcPr>
            <w:tcW w:w="1241" w:type="dxa"/>
            <w:shd w:val="clear" w:color="auto" w:fill="auto"/>
            <w:noWrap/>
            <w:vAlign w:val="center"/>
            <w:hideMark/>
          </w:tcPr>
          <w:p w:rsidR="00326E74" w:rsidRPr="00AF5E02" w:rsidRDefault="00326E74" w:rsidP="008E5840">
            <w:pPr>
              <w:jc w:val="right"/>
              <w:rPr>
                <w:rFonts w:ascii="Arial" w:hAnsi="Arial" w:cs="Arial"/>
                <w:bCs/>
                <w:color w:val="0070C0"/>
                <w:sz w:val="20"/>
              </w:rPr>
            </w:pPr>
            <w:r>
              <w:rPr>
                <w:rFonts w:ascii="Arial" w:hAnsi="Arial" w:cs="Arial"/>
                <w:bCs/>
                <w:color w:val="0070C0"/>
                <w:sz w:val="20"/>
              </w:rPr>
              <w:t>4,196</w:t>
            </w:r>
          </w:p>
        </w:tc>
        <w:tc>
          <w:tcPr>
            <w:tcW w:w="1242" w:type="dxa"/>
            <w:shd w:val="clear" w:color="auto" w:fill="auto"/>
            <w:noWrap/>
            <w:vAlign w:val="center"/>
            <w:hideMark/>
          </w:tcPr>
          <w:p w:rsidR="00326E74" w:rsidRPr="00AF5E02" w:rsidRDefault="00326E74" w:rsidP="00AF5E02">
            <w:pPr>
              <w:jc w:val="center"/>
              <w:rPr>
                <w:rFonts w:ascii="Arial" w:hAnsi="Arial" w:cs="Arial"/>
                <w:bCs/>
                <w:color w:val="0070C0"/>
                <w:sz w:val="20"/>
              </w:rPr>
            </w:pPr>
            <w:r>
              <w:rPr>
                <w:rFonts w:ascii="Arial" w:hAnsi="Arial" w:cs="Arial"/>
                <w:bCs/>
                <w:color w:val="0070C0"/>
                <w:sz w:val="20"/>
              </w:rPr>
              <w:t>3.2</w:t>
            </w:r>
            <w:r w:rsidRPr="00AF5E02">
              <w:rPr>
                <w:rFonts w:ascii="Arial" w:hAnsi="Arial" w:cs="Arial"/>
                <w:bCs/>
                <w:color w:val="0070C0"/>
                <w:sz w:val="20"/>
              </w:rPr>
              <w:t>%</w:t>
            </w:r>
          </w:p>
        </w:tc>
        <w:tc>
          <w:tcPr>
            <w:tcW w:w="1241" w:type="dxa"/>
            <w:shd w:val="clear" w:color="auto" w:fill="auto"/>
            <w:noWrap/>
            <w:vAlign w:val="center"/>
            <w:hideMark/>
          </w:tcPr>
          <w:p w:rsidR="00326E74" w:rsidRPr="00AF5E02" w:rsidRDefault="00326E74" w:rsidP="008E5840">
            <w:pPr>
              <w:jc w:val="right"/>
              <w:rPr>
                <w:rFonts w:ascii="Arial" w:hAnsi="Arial" w:cs="Arial"/>
                <w:bCs/>
                <w:color w:val="0070C0"/>
                <w:sz w:val="20"/>
              </w:rPr>
            </w:pPr>
            <w:r>
              <w:rPr>
                <w:rFonts w:ascii="Arial" w:hAnsi="Arial" w:cs="Arial"/>
                <w:bCs/>
                <w:color w:val="0070C0"/>
                <w:sz w:val="20"/>
              </w:rPr>
              <w:t>4,066</w:t>
            </w:r>
          </w:p>
        </w:tc>
        <w:tc>
          <w:tcPr>
            <w:tcW w:w="1241" w:type="dxa"/>
            <w:shd w:val="clear" w:color="auto" w:fill="auto"/>
            <w:noWrap/>
            <w:vAlign w:val="center"/>
            <w:hideMark/>
          </w:tcPr>
          <w:p w:rsidR="00326E74" w:rsidRPr="00AF5E02" w:rsidRDefault="00326E74" w:rsidP="008E5840">
            <w:pPr>
              <w:jc w:val="right"/>
              <w:rPr>
                <w:rFonts w:ascii="Arial" w:hAnsi="Arial" w:cs="Arial"/>
                <w:bCs/>
                <w:color w:val="0070C0"/>
                <w:sz w:val="20"/>
              </w:rPr>
            </w:pPr>
            <w:r>
              <w:rPr>
                <w:rFonts w:ascii="Arial" w:hAnsi="Arial" w:cs="Arial"/>
                <w:bCs/>
                <w:color w:val="0070C0"/>
                <w:sz w:val="20"/>
              </w:rPr>
              <w:t>4,196</w:t>
            </w:r>
          </w:p>
        </w:tc>
        <w:tc>
          <w:tcPr>
            <w:tcW w:w="1242" w:type="dxa"/>
            <w:shd w:val="clear" w:color="auto" w:fill="auto"/>
            <w:noWrap/>
            <w:vAlign w:val="center"/>
            <w:hideMark/>
          </w:tcPr>
          <w:p w:rsidR="00326E74" w:rsidRPr="00AF5E02" w:rsidRDefault="00326E74" w:rsidP="00EA17B0">
            <w:pPr>
              <w:jc w:val="center"/>
              <w:rPr>
                <w:rFonts w:ascii="Arial" w:hAnsi="Arial" w:cs="Arial"/>
                <w:bCs/>
                <w:color w:val="0070C0"/>
                <w:sz w:val="20"/>
              </w:rPr>
            </w:pPr>
            <w:r>
              <w:rPr>
                <w:rFonts w:ascii="Arial" w:hAnsi="Arial" w:cs="Arial"/>
                <w:bCs/>
                <w:color w:val="0070C0"/>
                <w:sz w:val="20"/>
              </w:rPr>
              <w:t>3.2</w:t>
            </w:r>
            <w:r w:rsidRPr="00AF5E02">
              <w:rPr>
                <w:rFonts w:ascii="Arial" w:hAnsi="Arial" w:cs="Arial"/>
                <w:bCs/>
                <w:color w:val="0070C0"/>
                <w:sz w:val="20"/>
              </w:rPr>
              <w:t>%</w:t>
            </w:r>
          </w:p>
        </w:tc>
      </w:tr>
    </w:tbl>
    <w:p w:rsidR="007B7D91" w:rsidRDefault="007B7D91" w:rsidP="007B7D91">
      <w:pPr>
        <w:rPr>
          <w:rFonts w:ascii="Arial" w:hAnsi="Arial" w:cs="Arial"/>
          <w:b/>
          <w:color w:val="0D2255"/>
          <w:sz w:val="20"/>
        </w:rPr>
      </w:pPr>
    </w:p>
    <w:p w:rsidR="007B7D91" w:rsidRDefault="00B64BF5" w:rsidP="007B7D91">
      <w:pPr>
        <w:rPr>
          <w:rFonts w:ascii="Arial" w:hAnsi="Arial" w:cs="Arial"/>
          <w:sz w:val="20"/>
        </w:rPr>
      </w:pPr>
      <w:r>
        <w:rPr>
          <w:rFonts w:ascii="Arial" w:hAnsi="Arial" w:cs="Arial"/>
          <w:b/>
          <w:color w:val="0D2255"/>
          <w:sz w:val="20"/>
        </w:rPr>
        <w:t xml:space="preserve">CV </w:t>
      </w:r>
      <w:r w:rsidR="007B7D91" w:rsidRPr="00D62A9D">
        <w:rPr>
          <w:rFonts w:ascii="Arial" w:hAnsi="Arial" w:cs="Arial"/>
          <w:b/>
          <w:color w:val="0D2255"/>
          <w:sz w:val="20"/>
        </w:rPr>
        <w:t>output rolling year total</w:t>
      </w:r>
      <w:r w:rsidR="00CC6F26">
        <w:rPr>
          <w:rFonts w:ascii="Arial" w:hAnsi="Arial" w:cs="Arial"/>
          <w:b/>
          <w:color w:val="0D2255"/>
          <w:sz w:val="20"/>
        </w:rPr>
        <w:tab/>
        <w:t xml:space="preserve">   </w:t>
      </w:r>
      <w:r w:rsidR="00AF5E02">
        <w:rPr>
          <w:rFonts w:ascii="Arial" w:hAnsi="Arial" w:cs="Arial"/>
          <w:b/>
          <w:color w:val="0D2255"/>
          <w:sz w:val="20"/>
        </w:rPr>
        <w:t xml:space="preserve">               </w:t>
      </w:r>
    </w:p>
    <w:p w:rsidR="007B7D91" w:rsidRDefault="00CC6F26" w:rsidP="00B01A93">
      <w:pPr>
        <w:tabs>
          <w:tab w:val="left" w:pos="5529"/>
        </w:tabs>
        <w:rPr>
          <w:rFonts w:ascii="Verdana" w:hAnsi="Verdana"/>
          <w:sz w:val="20"/>
        </w:rPr>
      </w:pPr>
      <w:r w:rsidRPr="00CC6F26">
        <w:rPr>
          <w:rFonts w:ascii="Verdana" w:hAnsi="Verdana"/>
          <w:noProof/>
          <w:sz w:val="20"/>
        </w:rPr>
        <w:drawing>
          <wp:inline distT="0" distB="0" distL="0" distR="0">
            <wp:extent cx="6082748" cy="2695492"/>
            <wp:effectExtent l="0" t="0" r="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75134" w:rsidRPr="00D62A9D" w:rsidRDefault="00E75134" w:rsidP="00E75134">
      <w:pPr>
        <w:pStyle w:val="Heading1"/>
        <w:ind w:right="142"/>
        <w:rPr>
          <w:rFonts w:ascii="Arial" w:eastAsiaTheme="minorEastAsia" w:hAnsi="Arial" w:cs="Arial"/>
          <w:bCs/>
          <w:color w:val="1074CB"/>
          <w:sz w:val="44"/>
          <w:szCs w:val="44"/>
        </w:rPr>
      </w:pPr>
      <w:r>
        <w:rPr>
          <w:rFonts w:ascii="Arial" w:eastAsiaTheme="minorEastAsia" w:hAnsi="Arial" w:cs="Arial"/>
          <w:bCs/>
          <w:color w:val="1074CB"/>
          <w:sz w:val="44"/>
          <w:szCs w:val="44"/>
        </w:rPr>
        <w:lastRenderedPageBreak/>
        <w:t>UK ENGINE</w:t>
      </w:r>
      <w:r w:rsidRPr="00D62A9D">
        <w:rPr>
          <w:rFonts w:ascii="Arial" w:eastAsiaTheme="minorEastAsia" w:hAnsi="Arial" w:cs="Arial"/>
          <w:bCs/>
          <w:color w:val="1074CB"/>
          <w:sz w:val="44"/>
          <w:szCs w:val="44"/>
        </w:rPr>
        <w:t xml:space="preserve"> MANUFACTURING</w:t>
      </w:r>
    </w:p>
    <w:p w:rsidR="00E75134" w:rsidRPr="00D62A9D" w:rsidRDefault="00E75134" w:rsidP="00E75134">
      <w:pPr>
        <w:pStyle w:val="Heading1"/>
        <w:ind w:right="142"/>
        <w:rPr>
          <w:rFonts w:ascii="Arial" w:eastAsiaTheme="minorEastAsia" w:hAnsi="Arial" w:cs="Arial"/>
          <w:b w:val="0"/>
          <w:bCs/>
          <w:color w:val="1074CB"/>
          <w:sz w:val="44"/>
          <w:szCs w:val="44"/>
        </w:rPr>
      </w:pPr>
      <w:r w:rsidRPr="00D62A9D">
        <w:rPr>
          <w:rFonts w:ascii="Arial" w:eastAsiaTheme="minorEastAsia" w:hAnsi="Arial" w:cs="Arial"/>
          <w:b w:val="0"/>
          <w:bCs/>
          <w:color w:val="1074CB"/>
          <w:sz w:val="44"/>
          <w:szCs w:val="44"/>
        </w:rPr>
        <w:t xml:space="preserve">21 February 2013 </w:t>
      </w:r>
      <w:r w:rsidRPr="00D62A9D">
        <w:rPr>
          <w:rFonts w:ascii="Arial" w:eastAsiaTheme="minorEastAsia" w:hAnsi="Arial" w:cs="Arial"/>
          <w:b w:val="0"/>
          <w:bCs/>
          <w:color w:val="1074CB"/>
          <w:sz w:val="32"/>
          <w:szCs w:val="32"/>
        </w:rPr>
        <w:t>(data for January 2013)</w:t>
      </w:r>
    </w:p>
    <w:p w:rsidR="00E75134" w:rsidRDefault="00E75134" w:rsidP="00E75134">
      <w:pPr>
        <w:pStyle w:val="Heading1"/>
        <w:ind w:right="142"/>
        <w:rPr>
          <w:rFonts w:ascii="Arial" w:eastAsiaTheme="minorEastAsia" w:hAnsi="Arial" w:cs="Arial"/>
          <w:b w:val="0"/>
          <w:bCs/>
          <w:color w:val="1074CB"/>
        </w:rPr>
      </w:pPr>
      <w:r w:rsidRPr="00D62A9D">
        <w:rPr>
          <w:rFonts w:ascii="Arial" w:eastAsiaTheme="minorEastAsia" w:hAnsi="Arial" w:cs="Arial"/>
          <w:b w:val="0"/>
          <w:bCs/>
          <w:color w:val="1074CB"/>
        </w:rPr>
        <w:t>FOR RELEASE: IMMEDIATE</w:t>
      </w:r>
    </w:p>
    <w:p w:rsidR="00E75134" w:rsidRPr="007B7D91" w:rsidRDefault="00240A59" w:rsidP="00E75134">
      <w:r w:rsidRPr="00240A59">
        <w:rPr>
          <w:rFonts w:ascii="Arial" w:eastAsiaTheme="minorEastAsia" w:hAnsi="Arial" w:cs="Arial"/>
          <w:b/>
          <w:bCs/>
          <w:noProof/>
          <w:color w:val="1074CB"/>
          <w:sz w:val="20"/>
        </w:rPr>
        <w:pict>
          <v:line id="_x0000_s1027" style="position:absolute;z-index:251657728" from=".55pt,3.7pt" to="487.1pt,3.7pt" strokecolor="#1074cb"/>
        </w:pict>
      </w:r>
    </w:p>
    <w:p w:rsidR="00E75134" w:rsidRPr="00B53741" w:rsidRDefault="00E75134" w:rsidP="00E75134">
      <w:pPr>
        <w:pStyle w:val="Heading1"/>
        <w:ind w:left="0" w:right="425" w:firstLine="0"/>
        <w:rPr>
          <w:rFonts w:ascii="Arial" w:eastAsiaTheme="minorEastAsia" w:hAnsi="Arial" w:cs="Arial"/>
          <w:bCs/>
          <w:color w:val="1074CB"/>
          <w:sz w:val="36"/>
          <w:szCs w:val="36"/>
        </w:rPr>
      </w:pPr>
      <w:r>
        <w:rPr>
          <w:rFonts w:ascii="Arial" w:eastAsiaTheme="minorEastAsia" w:hAnsi="Arial" w:cs="Arial"/>
          <w:bCs/>
          <w:color w:val="1074CB"/>
          <w:sz w:val="36"/>
          <w:szCs w:val="36"/>
        </w:rPr>
        <w:t xml:space="preserve">UK </w:t>
      </w:r>
      <w:r w:rsidR="00446AC5">
        <w:rPr>
          <w:rFonts w:ascii="Arial" w:eastAsiaTheme="minorEastAsia" w:hAnsi="Arial" w:cs="Arial"/>
          <w:bCs/>
          <w:color w:val="1074CB"/>
          <w:sz w:val="36"/>
          <w:szCs w:val="36"/>
        </w:rPr>
        <w:t>e</w:t>
      </w:r>
      <w:r>
        <w:rPr>
          <w:rFonts w:ascii="Arial" w:eastAsiaTheme="minorEastAsia" w:hAnsi="Arial" w:cs="Arial"/>
          <w:bCs/>
          <w:color w:val="1074CB"/>
          <w:sz w:val="36"/>
          <w:szCs w:val="36"/>
        </w:rPr>
        <w:t>ngine output – January 2013</w:t>
      </w:r>
    </w:p>
    <w:p w:rsidR="00E75134" w:rsidRDefault="00E75134" w:rsidP="00E75134">
      <w:pPr>
        <w:spacing w:line="276" w:lineRule="auto"/>
        <w:rPr>
          <w:rFonts w:ascii="Verdana" w:hAnsi="Verdana"/>
          <w:sz w:val="20"/>
        </w:rPr>
      </w:pPr>
    </w:p>
    <w:p w:rsidR="00E75134" w:rsidRDefault="00E75134" w:rsidP="00E75134">
      <w:pPr>
        <w:numPr>
          <w:ilvl w:val="0"/>
          <w:numId w:val="2"/>
        </w:numPr>
        <w:spacing w:line="288" w:lineRule="auto"/>
        <w:rPr>
          <w:rFonts w:ascii="Arial" w:hAnsi="Arial" w:cs="Arial"/>
          <w:sz w:val="20"/>
        </w:rPr>
      </w:pPr>
      <w:r w:rsidRPr="00D62A9D">
        <w:rPr>
          <w:rFonts w:ascii="Arial" w:hAnsi="Arial" w:cs="Arial"/>
          <w:sz w:val="20"/>
        </w:rPr>
        <w:t>U</w:t>
      </w:r>
      <w:r w:rsidR="003E262D">
        <w:rPr>
          <w:rFonts w:ascii="Arial" w:hAnsi="Arial" w:cs="Arial"/>
          <w:sz w:val="20"/>
        </w:rPr>
        <w:t xml:space="preserve">K engine production declined </w:t>
      </w:r>
      <w:r w:rsidR="00CB512D">
        <w:rPr>
          <w:rFonts w:ascii="Arial" w:hAnsi="Arial" w:cs="Arial"/>
          <w:sz w:val="20"/>
        </w:rPr>
        <w:t>5</w:t>
      </w:r>
      <w:r w:rsidR="003E262D">
        <w:rPr>
          <w:rFonts w:ascii="Arial" w:hAnsi="Arial" w:cs="Arial"/>
          <w:sz w:val="20"/>
        </w:rPr>
        <w:t>.</w:t>
      </w:r>
      <w:r w:rsidR="00CB512D">
        <w:rPr>
          <w:rFonts w:ascii="Arial" w:hAnsi="Arial" w:cs="Arial"/>
          <w:sz w:val="20"/>
        </w:rPr>
        <w:t>1</w:t>
      </w:r>
      <w:r w:rsidRPr="00D62A9D">
        <w:rPr>
          <w:rFonts w:ascii="Arial" w:hAnsi="Arial" w:cs="Arial"/>
          <w:sz w:val="20"/>
        </w:rPr>
        <w:t>% in January to 219,757 units.</w:t>
      </w:r>
    </w:p>
    <w:p w:rsidR="00E75134" w:rsidRPr="00740583" w:rsidRDefault="00C17E26" w:rsidP="00E75134">
      <w:pPr>
        <w:numPr>
          <w:ilvl w:val="0"/>
          <w:numId w:val="2"/>
        </w:numPr>
        <w:spacing w:line="276" w:lineRule="auto"/>
        <w:rPr>
          <w:rFonts w:ascii="Arial" w:hAnsi="Arial" w:cs="Arial"/>
          <w:sz w:val="20"/>
        </w:rPr>
      </w:pPr>
      <w:r>
        <w:rPr>
          <w:rFonts w:ascii="Arial" w:hAnsi="Arial" w:cs="Arial"/>
          <w:sz w:val="20"/>
        </w:rPr>
        <w:t>U</w:t>
      </w:r>
      <w:r w:rsidR="00E75134" w:rsidRPr="00740583">
        <w:rPr>
          <w:rFonts w:ascii="Arial" w:hAnsi="Arial" w:cs="Arial"/>
          <w:sz w:val="20"/>
        </w:rPr>
        <w:t>K manufacture</w:t>
      </w:r>
      <w:r w:rsidR="008E5840">
        <w:rPr>
          <w:rFonts w:ascii="Arial" w:hAnsi="Arial" w:cs="Arial"/>
          <w:sz w:val="20"/>
        </w:rPr>
        <w:t>r</w:t>
      </w:r>
      <w:r w:rsidR="00E75134" w:rsidRPr="00740583">
        <w:rPr>
          <w:rFonts w:ascii="Arial" w:hAnsi="Arial" w:cs="Arial"/>
          <w:sz w:val="20"/>
        </w:rPr>
        <w:t xml:space="preserve">s </w:t>
      </w:r>
      <w:r>
        <w:rPr>
          <w:rFonts w:ascii="Arial" w:hAnsi="Arial" w:cs="Arial"/>
          <w:sz w:val="20"/>
        </w:rPr>
        <w:t xml:space="preserve">make some </w:t>
      </w:r>
      <w:r w:rsidR="00E75134" w:rsidRPr="00740583">
        <w:rPr>
          <w:rFonts w:ascii="Arial" w:hAnsi="Arial" w:cs="Arial"/>
          <w:sz w:val="20"/>
        </w:rPr>
        <w:t>2.5 million petrol and diesel engines</w:t>
      </w:r>
      <w:r w:rsidR="00446AC5">
        <w:rPr>
          <w:rFonts w:ascii="Arial" w:hAnsi="Arial" w:cs="Arial"/>
          <w:sz w:val="20"/>
        </w:rPr>
        <w:t xml:space="preserve"> each year</w:t>
      </w:r>
      <w:r w:rsidR="00E75134" w:rsidRPr="00740583">
        <w:rPr>
          <w:rFonts w:ascii="Arial" w:hAnsi="Arial" w:cs="Arial"/>
          <w:sz w:val="20"/>
        </w:rPr>
        <w:t>.</w:t>
      </w:r>
    </w:p>
    <w:p w:rsidR="001404E6" w:rsidRPr="00E75134" w:rsidRDefault="00E75134" w:rsidP="00E75134">
      <w:pPr>
        <w:pStyle w:val="ListParagraph"/>
        <w:numPr>
          <w:ilvl w:val="0"/>
          <w:numId w:val="2"/>
        </w:numPr>
        <w:spacing w:line="276" w:lineRule="auto"/>
        <w:rPr>
          <w:rFonts w:ascii="Arial" w:hAnsi="Arial" w:cs="Arial"/>
          <w:sz w:val="20"/>
        </w:rPr>
      </w:pPr>
      <w:r w:rsidRPr="00740583">
        <w:rPr>
          <w:rFonts w:ascii="Arial" w:hAnsi="Arial" w:cs="Arial"/>
          <w:sz w:val="20"/>
        </w:rPr>
        <w:t>International vehicle manufacture</w:t>
      </w:r>
      <w:r w:rsidR="008E5840">
        <w:rPr>
          <w:rFonts w:ascii="Arial" w:hAnsi="Arial" w:cs="Arial"/>
          <w:sz w:val="20"/>
        </w:rPr>
        <w:t>r</w:t>
      </w:r>
      <w:r w:rsidRPr="00740583">
        <w:rPr>
          <w:rFonts w:ascii="Arial" w:hAnsi="Arial" w:cs="Arial"/>
          <w:sz w:val="20"/>
        </w:rPr>
        <w:t>s spend millions of pounds every year to des</w:t>
      </w:r>
      <w:r w:rsidR="008E5840">
        <w:rPr>
          <w:rFonts w:ascii="Arial" w:hAnsi="Arial" w:cs="Arial"/>
          <w:sz w:val="20"/>
        </w:rPr>
        <w:t>ign, develop and engineer power</w:t>
      </w:r>
      <w:r w:rsidRPr="00740583">
        <w:rPr>
          <w:rFonts w:ascii="Arial" w:hAnsi="Arial" w:cs="Arial"/>
          <w:sz w:val="20"/>
        </w:rPr>
        <w:t>trains in the UK.</w:t>
      </w:r>
      <w:r w:rsidRPr="00740583">
        <w:rPr>
          <w:rStyle w:val="CommentReference"/>
        </w:rPr>
        <w:t xml:space="preserve"> </w:t>
      </w:r>
    </w:p>
    <w:p w:rsidR="001404E6" w:rsidRDefault="001404E6" w:rsidP="001404E6">
      <w:pPr>
        <w:spacing w:line="276" w:lineRule="auto"/>
        <w:rPr>
          <w:rFonts w:ascii="Arial" w:hAnsi="Arial" w:cs="Arial"/>
          <w:sz w:val="20"/>
        </w:rPr>
      </w:pPr>
    </w:p>
    <w:tbl>
      <w:tblPr>
        <w:tblW w:w="9639" w:type="dxa"/>
        <w:tblInd w:w="108"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6" w:space="0" w:color="548DD4" w:themeColor="text2" w:themeTint="99"/>
          <w:insideV w:val="single" w:sz="6" w:space="0" w:color="548DD4" w:themeColor="text2" w:themeTint="99"/>
        </w:tblBorders>
        <w:tblLayout w:type="fixed"/>
        <w:tblLook w:val="04A0"/>
      </w:tblPr>
      <w:tblGrid>
        <w:gridCol w:w="2410"/>
        <w:gridCol w:w="1204"/>
        <w:gridCol w:w="1205"/>
        <w:gridCol w:w="1205"/>
        <w:gridCol w:w="1205"/>
        <w:gridCol w:w="1205"/>
        <w:gridCol w:w="1205"/>
      </w:tblGrid>
      <w:tr w:rsidR="001404E6" w:rsidRPr="00D62A9D" w:rsidTr="007443F2">
        <w:trPr>
          <w:trHeight w:val="288"/>
        </w:trPr>
        <w:tc>
          <w:tcPr>
            <w:tcW w:w="2410" w:type="dxa"/>
            <w:shd w:val="clear" w:color="auto" w:fill="auto"/>
            <w:noWrap/>
            <w:hideMark/>
          </w:tcPr>
          <w:p w:rsidR="001404E6" w:rsidRPr="00AF5E02" w:rsidRDefault="001404E6" w:rsidP="008E5840">
            <w:pPr>
              <w:rPr>
                <w:rFonts w:ascii="Arial" w:hAnsi="Arial" w:cs="Arial"/>
                <w:b/>
                <w:bCs/>
                <w:color w:val="1074CB"/>
                <w:sz w:val="20"/>
              </w:rPr>
            </w:pPr>
            <w:r w:rsidRPr="00AF5E02">
              <w:rPr>
                <w:rFonts w:ascii="Arial" w:hAnsi="Arial" w:cs="Arial"/>
                <w:b/>
                <w:bCs/>
                <w:color w:val="1074CB"/>
                <w:sz w:val="20"/>
              </w:rPr>
              <w:t xml:space="preserve">SMMT </w:t>
            </w:r>
            <w:r w:rsidR="008E5840">
              <w:rPr>
                <w:rFonts w:ascii="Arial" w:hAnsi="Arial" w:cs="Arial"/>
                <w:b/>
                <w:bCs/>
                <w:color w:val="1074CB"/>
                <w:sz w:val="20"/>
              </w:rPr>
              <w:t>d</w:t>
            </w:r>
            <w:r w:rsidRPr="00AF5E02">
              <w:rPr>
                <w:rFonts w:ascii="Arial" w:hAnsi="Arial" w:cs="Arial"/>
                <w:b/>
                <w:bCs/>
                <w:color w:val="1074CB"/>
                <w:sz w:val="20"/>
              </w:rPr>
              <w:t>ata</w:t>
            </w:r>
          </w:p>
        </w:tc>
        <w:tc>
          <w:tcPr>
            <w:tcW w:w="1204" w:type="dxa"/>
            <w:shd w:val="clear" w:color="auto" w:fill="auto"/>
            <w:noWrap/>
            <w:vAlign w:val="bottom"/>
            <w:hideMark/>
          </w:tcPr>
          <w:p w:rsidR="001404E6" w:rsidRPr="00AF5E02" w:rsidRDefault="001404E6" w:rsidP="00EA17B0">
            <w:pPr>
              <w:jc w:val="center"/>
              <w:rPr>
                <w:rFonts w:ascii="Arial" w:hAnsi="Arial" w:cs="Arial"/>
                <w:b/>
                <w:bCs/>
                <w:color w:val="0070C0"/>
                <w:sz w:val="20"/>
              </w:rPr>
            </w:pPr>
            <w:r w:rsidRPr="00AF5E02">
              <w:rPr>
                <w:rFonts w:ascii="Arial" w:hAnsi="Arial" w:cs="Arial"/>
                <w:b/>
                <w:bCs/>
                <w:color w:val="0070C0"/>
                <w:sz w:val="20"/>
              </w:rPr>
              <w:t>Jan-12</w:t>
            </w:r>
          </w:p>
        </w:tc>
        <w:tc>
          <w:tcPr>
            <w:tcW w:w="1205" w:type="dxa"/>
            <w:shd w:val="clear" w:color="auto" w:fill="auto"/>
            <w:noWrap/>
            <w:vAlign w:val="bottom"/>
            <w:hideMark/>
          </w:tcPr>
          <w:p w:rsidR="001404E6" w:rsidRPr="00AF5E02" w:rsidRDefault="001404E6" w:rsidP="00EA17B0">
            <w:pPr>
              <w:jc w:val="center"/>
              <w:rPr>
                <w:rFonts w:ascii="Arial" w:hAnsi="Arial" w:cs="Arial"/>
                <w:b/>
                <w:bCs/>
                <w:color w:val="0070C0"/>
                <w:sz w:val="20"/>
              </w:rPr>
            </w:pPr>
            <w:r w:rsidRPr="00AF5E02">
              <w:rPr>
                <w:rFonts w:ascii="Arial" w:hAnsi="Arial" w:cs="Arial"/>
                <w:b/>
                <w:bCs/>
                <w:color w:val="0070C0"/>
                <w:sz w:val="20"/>
              </w:rPr>
              <w:t>Jan-13</w:t>
            </w:r>
          </w:p>
        </w:tc>
        <w:tc>
          <w:tcPr>
            <w:tcW w:w="1205" w:type="dxa"/>
            <w:shd w:val="clear" w:color="auto" w:fill="auto"/>
            <w:noWrap/>
            <w:vAlign w:val="bottom"/>
            <w:hideMark/>
          </w:tcPr>
          <w:p w:rsidR="001404E6" w:rsidRPr="00AF5E02" w:rsidRDefault="001404E6" w:rsidP="00EA17B0">
            <w:pPr>
              <w:jc w:val="center"/>
              <w:rPr>
                <w:rFonts w:ascii="Arial" w:hAnsi="Arial" w:cs="Arial"/>
                <w:b/>
                <w:bCs/>
                <w:color w:val="0070C0"/>
                <w:sz w:val="20"/>
              </w:rPr>
            </w:pPr>
            <w:r w:rsidRPr="00AF5E02">
              <w:rPr>
                <w:rFonts w:ascii="Arial" w:hAnsi="Arial" w:cs="Arial"/>
                <w:b/>
                <w:bCs/>
                <w:color w:val="0070C0"/>
                <w:sz w:val="20"/>
              </w:rPr>
              <w:t>% Change</w:t>
            </w:r>
            <w:r w:rsidRPr="00AF5E02" w:rsidDel="00C37675">
              <w:rPr>
                <w:rFonts w:ascii="Arial" w:hAnsi="Arial" w:cs="Arial"/>
                <w:b/>
                <w:bCs/>
                <w:color w:val="0070C0"/>
                <w:sz w:val="20"/>
              </w:rPr>
              <w:t xml:space="preserve"> </w:t>
            </w:r>
          </w:p>
        </w:tc>
        <w:tc>
          <w:tcPr>
            <w:tcW w:w="1205" w:type="dxa"/>
            <w:shd w:val="clear" w:color="auto" w:fill="auto"/>
            <w:noWrap/>
            <w:vAlign w:val="bottom"/>
            <w:hideMark/>
          </w:tcPr>
          <w:p w:rsidR="001404E6" w:rsidRPr="00AF5E02" w:rsidRDefault="001404E6" w:rsidP="00017AB7">
            <w:pPr>
              <w:jc w:val="center"/>
              <w:rPr>
                <w:rFonts w:ascii="Arial" w:hAnsi="Arial" w:cs="Arial"/>
                <w:b/>
                <w:bCs/>
                <w:color w:val="0070C0"/>
                <w:sz w:val="20"/>
              </w:rPr>
            </w:pPr>
            <w:r w:rsidRPr="00AF5E02">
              <w:rPr>
                <w:rFonts w:ascii="Arial" w:hAnsi="Arial" w:cs="Arial"/>
                <w:b/>
                <w:bCs/>
                <w:color w:val="0070C0"/>
                <w:sz w:val="20"/>
              </w:rPr>
              <w:t>YTD-1</w:t>
            </w:r>
            <w:r w:rsidR="00017AB7">
              <w:rPr>
                <w:rFonts w:ascii="Arial" w:hAnsi="Arial" w:cs="Arial"/>
                <w:b/>
                <w:bCs/>
                <w:color w:val="0070C0"/>
                <w:sz w:val="20"/>
              </w:rPr>
              <w:t>2</w:t>
            </w:r>
          </w:p>
        </w:tc>
        <w:tc>
          <w:tcPr>
            <w:tcW w:w="1205" w:type="dxa"/>
            <w:shd w:val="clear" w:color="auto" w:fill="auto"/>
            <w:noWrap/>
            <w:vAlign w:val="bottom"/>
            <w:hideMark/>
          </w:tcPr>
          <w:p w:rsidR="001404E6" w:rsidRPr="00AF5E02" w:rsidRDefault="001404E6" w:rsidP="00EA17B0">
            <w:pPr>
              <w:jc w:val="center"/>
              <w:rPr>
                <w:rFonts w:ascii="Arial" w:hAnsi="Arial" w:cs="Arial"/>
                <w:b/>
                <w:bCs/>
                <w:color w:val="0070C0"/>
                <w:sz w:val="20"/>
              </w:rPr>
            </w:pPr>
            <w:r w:rsidRPr="00AF5E02">
              <w:rPr>
                <w:rFonts w:ascii="Arial" w:hAnsi="Arial" w:cs="Arial"/>
                <w:b/>
                <w:bCs/>
                <w:color w:val="0070C0"/>
                <w:sz w:val="20"/>
              </w:rPr>
              <w:t>YTD-13</w:t>
            </w:r>
          </w:p>
        </w:tc>
        <w:tc>
          <w:tcPr>
            <w:tcW w:w="1205" w:type="dxa"/>
            <w:shd w:val="clear" w:color="auto" w:fill="auto"/>
            <w:noWrap/>
            <w:vAlign w:val="bottom"/>
            <w:hideMark/>
          </w:tcPr>
          <w:p w:rsidR="001404E6" w:rsidRPr="00AF5E02" w:rsidRDefault="001404E6" w:rsidP="00EA17B0">
            <w:pPr>
              <w:jc w:val="center"/>
              <w:rPr>
                <w:rFonts w:ascii="Arial" w:hAnsi="Arial" w:cs="Arial"/>
                <w:b/>
                <w:bCs/>
                <w:color w:val="0070C0"/>
                <w:sz w:val="20"/>
              </w:rPr>
            </w:pPr>
            <w:r w:rsidRPr="00AF5E02">
              <w:rPr>
                <w:rFonts w:ascii="Arial" w:hAnsi="Arial" w:cs="Arial"/>
                <w:b/>
                <w:bCs/>
                <w:color w:val="0070C0"/>
                <w:sz w:val="20"/>
              </w:rPr>
              <w:t>% Change</w:t>
            </w:r>
          </w:p>
        </w:tc>
      </w:tr>
      <w:tr w:rsidR="00CB512D" w:rsidRPr="00D62A9D" w:rsidTr="007443F2">
        <w:trPr>
          <w:trHeight w:val="288"/>
        </w:trPr>
        <w:tc>
          <w:tcPr>
            <w:tcW w:w="2410" w:type="dxa"/>
            <w:shd w:val="clear" w:color="auto" w:fill="auto"/>
            <w:noWrap/>
            <w:vAlign w:val="bottom"/>
            <w:hideMark/>
          </w:tcPr>
          <w:p w:rsidR="00CB512D" w:rsidRPr="00AF5E02" w:rsidRDefault="00CB512D" w:rsidP="00EA17B0">
            <w:pPr>
              <w:rPr>
                <w:rFonts w:ascii="Arial" w:hAnsi="Arial" w:cs="Arial"/>
                <w:bCs/>
                <w:color w:val="1074CB"/>
                <w:sz w:val="20"/>
              </w:rPr>
            </w:pPr>
            <w:r w:rsidRPr="00AF5E02">
              <w:rPr>
                <w:rFonts w:ascii="Arial" w:hAnsi="Arial" w:cs="Arial"/>
                <w:bCs/>
                <w:color w:val="1074CB"/>
                <w:sz w:val="20"/>
              </w:rPr>
              <w:t>Engine manufacturing</w:t>
            </w:r>
          </w:p>
        </w:tc>
        <w:tc>
          <w:tcPr>
            <w:tcW w:w="1204" w:type="dxa"/>
            <w:shd w:val="clear" w:color="auto" w:fill="auto"/>
            <w:noWrap/>
            <w:vAlign w:val="bottom"/>
            <w:hideMark/>
          </w:tcPr>
          <w:p w:rsidR="00CB512D" w:rsidRPr="00AF5E02" w:rsidRDefault="00CB512D" w:rsidP="00CB512D">
            <w:pPr>
              <w:jc w:val="right"/>
              <w:rPr>
                <w:rFonts w:ascii="Arial" w:hAnsi="Arial" w:cs="Arial"/>
                <w:bCs/>
                <w:color w:val="0070C0"/>
                <w:sz w:val="20"/>
              </w:rPr>
            </w:pPr>
            <w:r w:rsidRPr="00AF5E02">
              <w:rPr>
                <w:rFonts w:ascii="Arial" w:hAnsi="Arial" w:cs="Arial"/>
                <w:bCs/>
                <w:color w:val="0070C0"/>
                <w:sz w:val="20"/>
              </w:rPr>
              <w:t>2</w:t>
            </w:r>
            <w:r>
              <w:rPr>
                <w:rFonts w:ascii="Arial" w:hAnsi="Arial" w:cs="Arial"/>
                <w:bCs/>
                <w:color w:val="0070C0"/>
                <w:sz w:val="20"/>
              </w:rPr>
              <w:t>31,525</w:t>
            </w:r>
          </w:p>
        </w:tc>
        <w:tc>
          <w:tcPr>
            <w:tcW w:w="1205" w:type="dxa"/>
            <w:shd w:val="clear" w:color="auto" w:fill="auto"/>
            <w:noWrap/>
            <w:vAlign w:val="bottom"/>
            <w:hideMark/>
          </w:tcPr>
          <w:p w:rsidR="00CB512D" w:rsidRPr="00AF5E02" w:rsidRDefault="00CB512D" w:rsidP="008E5840">
            <w:pPr>
              <w:jc w:val="right"/>
              <w:rPr>
                <w:rFonts w:ascii="Arial" w:hAnsi="Arial" w:cs="Arial"/>
                <w:bCs/>
                <w:color w:val="0070C0"/>
                <w:sz w:val="20"/>
              </w:rPr>
            </w:pPr>
            <w:r w:rsidRPr="00AF5E02">
              <w:rPr>
                <w:rFonts w:ascii="Arial" w:hAnsi="Arial" w:cs="Arial"/>
                <w:bCs/>
                <w:color w:val="0070C0"/>
                <w:sz w:val="20"/>
              </w:rPr>
              <w:t>219,757</w:t>
            </w:r>
          </w:p>
        </w:tc>
        <w:tc>
          <w:tcPr>
            <w:tcW w:w="1205" w:type="dxa"/>
            <w:shd w:val="clear" w:color="auto" w:fill="auto"/>
            <w:noWrap/>
            <w:vAlign w:val="bottom"/>
            <w:hideMark/>
          </w:tcPr>
          <w:p w:rsidR="00CB512D" w:rsidRPr="00AF5E02" w:rsidRDefault="00CB512D" w:rsidP="00CB512D">
            <w:pPr>
              <w:jc w:val="center"/>
              <w:rPr>
                <w:rFonts w:ascii="Arial" w:hAnsi="Arial" w:cs="Arial"/>
                <w:bCs/>
                <w:color w:val="0070C0"/>
                <w:sz w:val="20"/>
              </w:rPr>
            </w:pPr>
            <w:r>
              <w:rPr>
                <w:rFonts w:ascii="Arial" w:hAnsi="Arial" w:cs="Arial"/>
                <w:bCs/>
                <w:color w:val="0070C0"/>
                <w:sz w:val="20"/>
              </w:rPr>
              <w:t>-5.1</w:t>
            </w:r>
            <w:r w:rsidRPr="00AF5E02">
              <w:rPr>
                <w:rFonts w:ascii="Arial" w:hAnsi="Arial" w:cs="Arial"/>
                <w:bCs/>
                <w:color w:val="0070C0"/>
                <w:sz w:val="20"/>
              </w:rPr>
              <w:t>%</w:t>
            </w:r>
          </w:p>
        </w:tc>
        <w:tc>
          <w:tcPr>
            <w:tcW w:w="1205" w:type="dxa"/>
            <w:shd w:val="clear" w:color="auto" w:fill="auto"/>
            <w:noWrap/>
            <w:vAlign w:val="bottom"/>
            <w:hideMark/>
          </w:tcPr>
          <w:p w:rsidR="00CB512D" w:rsidRPr="00AF5E02" w:rsidRDefault="00CB512D" w:rsidP="00EE72AA">
            <w:pPr>
              <w:jc w:val="right"/>
              <w:rPr>
                <w:rFonts w:ascii="Arial" w:hAnsi="Arial" w:cs="Arial"/>
                <w:bCs/>
                <w:color w:val="0070C0"/>
                <w:sz w:val="20"/>
              </w:rPr>
            </w:pPr>
            <w:r w:rsidRPr="00AF5E02">
              <w:rPr>
                <w:rFonts w:ascii="Arial" w:hAnsi="Arial" w:cs="Arial"/>
                <w:bCs/>
                <w:color w:val="0070C0"/>
                <w:sz w:val="20"/>
              </w:rPr>
              <w:t>2</w:t>
            </w:r>
            <w:r>
              <w:rPr>
                <w:rFonts w:ascii="Arial" w:hAnsi="Arial" w:cs="Arial"/>
                <w:bCs/>
                <w:color w:val="0070C0"/>
                <w:sz w:val="20"/>
              </w:rPr>
              <w:t>31,525</w:t>
            </w:r>
          </w:p>
        </w:tc>
        <w:tc>
          <w:tcPr>
            <w:tcW w:w="1205" w:type="dxa"/>
            <w:shd w:val="clear" w:color="auto" w:fill="auto"/>
            <w:noWrap/>
            <w:vAlign w:val="bottom"/>
            <w:hideMark/>
          </w:tcPr>
          <w:p w:rsidR="00CB512D" w:rsidRPr="00AF5E02" w:rsidRDefault="00CB512D" w:rsidP="00EE72AA">
            <w:pPr>
              <w:jc w:val="right"/>
              <w:rPr>
                <w:rFonts w:ascii="Arial" w:hAnsi="Arial" w:cs="Arial"/>
                <w:bCs/>
                <w:color w:val="0070C0"/>
                <w:sz w:val="20"/>
              </w:rPr>
            </w:pPr>
            <w:r w:rsidRPr="00AF5E02">
              <w:rPr>
                <w:rFonts w:ascii="Arial" w:hAnsi="Arial" w:cs="Arial"/>
                <w:bCs/>
                <w:color w:val="0070C0"/>
                <w:sz w:val="20"/>
              </w:rPr>
              <w:t>219,757</w:t>
            </w:r>
          </w:p>
        </w:tc>
        <w:tc>
          <w:tcPr>
            <w:tcW w:w="1205" w:type="dxa"/>
            <w:shd w:val="clear" w:color="auto" w:fill="auto"/>
            <w:noWrap/>
            <w:vAlign w:val="bottom"/>
            <w:hideMark/>
          </w:tcPr>
          <w:p w:rsidR="00CB512D" w:rsidRPr="00AF5E02" w:rsidRDefault="00CB512D" w:rsidP="00EE72AA">
            <w:pPr>
              <w:jc w:val="center"/>
              <w:rPr>
                <w:rFonts w:ascii="Arial" w:hAnsi="Arial" w:cs="Arial"/>
                <w:bCs/>
                <w:color w:val="0070C0"/>
                <w:sz w:val="20"/>
              </w:rPr>
            </w:pPr>
            <w:r>
              <w:rPr>
                <w:rFonts w:ascii="Arial" w:hAnsi="Arial" w:cs="Arial"/>
                <w:bCs/>
                <w:color w:val="0070C0"/>
                <w:sz w:val="20"/>
              </w:rPr>
              <w:t>-5.1</w:t>
            </w:r>
            <w:r w:rsidRPr="00AF5E02">
              <w:rPr>
                <w:rFonts w:ascii="Arial" w:hAnsi="Arial" w:cs="Arial"/>
                <w:bCs/>
                <w:color w:val="0070C0"/>
                <w:sz w:val="20"/>
              </w:rPr>
              <w:t>%</w:t>
            </w:r>
          </w:p>
        </w:tc>
      </w:tr>
      <w:tr w:rsidR="00CB512D" w:rsidRPr="00D62A9D" w:rsidTr="007443F2">
        <w:trPr>
          <w:trHeight w:val="288"/>
        </w:trPr>
        <w:tc>
          <w:tcPr>
            <w:tcW w:w="2410" w:type="dxa"/>
            <w:shd w:val="clear" w:color="auto" w:fill="auto"/>
            <w:noWrap/>
            <w:vAlign w:val="bottom"/>
            <w:hideMark/>
          </w:tcPr>
          <w:p w:rsidR="00CB512D" w:rsidRPr="00AF5E02" w:rsidRDefault="00CB512D" w:rsidP="00EA17B0">
            <w:pPr>
              <w:rPr>
                <w:rFonts w:ascii="Arial" w:hAnsi="Arial" w:cs="Arial"/>
                <w:bCs/>
                <w:color w:val="1074CB"/>
                <w:sz w:val="20"/>
              </w:rPr>
            </w:pPr>
            <w:r w:rsidRPr="00AF5E02">
              <w:rPr>
                <w:rFonts w:ascii="Arial" w:hAnsi="Arial" w:cs="Arial"/>
                <w:bCs/>
                <w:color w:val="1074CB"/>
                <w:sz w:val="20"/>
              </w:rPr>
              <w:t>Export</w:t>
            </w:r>
          </w:p>
        </w:tc>
        <w:tc>
          <w:tcPr>
            <w:tcW w:w="1204" w:type="dxa"/>
            <w:shd w:val="clear" w:color="auto" w:fill="auto"/>
            <w:noWrap/>
            <w:vAlign w:val="bottom"/>
            <w:hideMark/>
          </w:tcPr>
          <w:p w:rsidR="00CB512D" w:rsidRPr="00AF5E02" w:rsidRDefault="00CB512D" w:rsidP="008E5840">
            <w:pPr>
              <w:jc w:val="right"/>
              <w:rPr>
                <w:rFonts w:ascii="Arial" w:hAnsi="Arial" w:cs="Arial"/>
                <w:bCs/>
                <w:color w:val="0070C0"/>
                <w:sz w:val="20"/>
              </w:rPr>
            </w:pPr>
            <w:r w:rsidRPr="00AF5E02">
              <w:rPr>
                <w:rFonts w:ascii="Arial" w:hAnsi="Arial" w:cs="Arial"/>
                <w:bCs/>
                <w:color w:val="0070C0"/>
                <w:sz w:val="20"/>
              </w:rPr>
              <w:t>1</w:t>
            </w:r>
            <w:r>
              <w:rPr>
                <w:rFonts w:ascii="Arial" w:hAnsi="Arial" w:cs="Arial"/>
                <w:bCs/>
                <w:color w:val="0070C0"/>
                <w:sz w:val="20"/>
              </w:rPr>
              <w:t>47,823</w:t>
            </w:r>
          </w:p>
        </w:tc>
        <w:tc>
          <w:tcPr>
            <w:tcW w:w="1205" w:type="dxa"/>
            <w:shd w:val="clear" w:color="auto" w:fill="auto"/>
            <w:noWrap/>
            <w:vAlign w:val="bottom"/>
            <w:hideMark/>
          </w:tcPr>
          <w:p w:rsidR="00CB512D" w:rsidRPr="00AF5E02" w:rsidRDefault="00CB512D" w:rsidP="008E5840">
            <w:pPr>
              <w:jc w:val="right"/>
              <w:rPr>
                <w:rFonts w:ascii="Arial" w:hAnsi="Arial" w:cs="Arial"/>
                <w:bCs/>
                <w:color w:val="0070C0"/>
                <w:sz w:val="20"/>
              </w:rPr>
            </w:pPr>
            <w:r w:rsidRPr="00AF5E02">
              <w:rPr>
                <w:rFonts w:ascii="Arial" w:hAnsi="Arial" w:cs="Arial"/>
                <w:bCs/>
                <w:color w:val="0070C0"/>
                <w:sz w:val="20"/>
              </w:rPr>
              <w:t>133,746</w:t>
            </w:r>
          </w:p>
        </w:tc>
        <w:tc>
          <w:tcPr>
            <w:tcW w:w="1205" w:type="dxa"/>
            <w:shd w:val="clear" w:color="auto" w:fill="auto"/>
            <w:noWrap/>
            <w:vAlign w:val="bottom"/>
            <w:hideMark/>
          </w:tcPr>
          <w:p w:rsidR="00CB512D" w:rsidRPr="00AF5E02" w:rsidRDefault="00CB512D" w:rsidP="00B53741">
            <w:pPr>
              <w:jc w:val="center"/>
              <w:rPr>
                <w:rFonts w:ascii="Arial" w:hAnsi="Arial" w:cs="Arial"/>
                <w:bCs/>
                <w:color w:val="0070C0"/>
                <w:sz w:val="20"/>
              </w:rPr>
            </w:pPr>
            <w:r w:rsidRPr="00AF5E02">
              <w:rPr>
                <w:rFonts w:ascii="Arial" w:hAnsi="Arial" w:cs="Arial"/>
                <w:bCs/>
                <w:color w:val="0070C0"/>
                <w:sz w:val="20"/>
              </w:rPr>
              <w:t>-9.5%</w:t>
            </w:r>
          </w:p>
        </w:tc>
        <w:tc>
          <w:tcPr>
            <w:tcW w:w="1205" w:type="dxa"/>
            <w:shd w:val="clear" w:color="auto" w:fill="auto"/>
            <w:noWrap/>
            <w:vAlign w:val="bottom"/>
            <w:hideMark/>
          </w:tcPr>
          <w:p w:rsidR="00CB512D" w:rsidRPr="00AF5E02" w:rsidRDefault="00CB512D" w:rsidP="00EE72AA">
            <w:pPr>
              <w:jc w:val="right"/>
              <w:rPr>
                <w:rFonts w:ascii="Arial" w:hAnsi="Arial" w:cs="Arial"/>
                <w:bCs/>
                <w:color w:val="0070C0"/>
                <w:sz w:val="20"/>
              </w:rPr>
            </w:pPr>
            <w:r w:rsidRPr="00AF5E02">
              <w:rPr>
                <w:rFonts w:ascii="Arial" w:hAnsi="Arial" w:cs="Arial"/>
                <w:bCs/>
                <w:color w:val="0070C0"/>
                <w:sz w:val="20"/>
              </w:rPr>
              <w:t>1</w:t>
            </w:r>
            <w:r>
              <w:rPr>
                <w:rFonts w:ascii="Arial" w:hAnsi="Arial" w:cs="Arial"/>
                <w:bCs/>
                <w:color w:val="0070C0"/>
                <w:sz w:val="20"/>
              </w:rPr>
              <w:t>47,823</w:t>
            </w:r>
          </w:p>
        </w:tc>
        <w:tc>
          <w:tcPr>
            <w:tcW w:w="1205" w:type="dxa"/>
            <w:shd w:val="clear" w:color="auto" w:fill="auto"/>
            <w:noWrap/>
            <w:vAlign w:val="bottom"/>
            <w:hideMark/>
          </w:tcPr>
          <w:p w:rsidR="00CB512D" w:rsidRPr="00AF5E02" w:rsidRDefault="00CB512D" w:rsidP="00EE72AA">
            <w:pPr>
              <w:jc w:val="right"/>
              <w:rPr>
                <w:rFonts w:ascii="Arial" w:hAnsi="Arial" w:cs="Arial"/>
                <w:bCs/>
                <w:color w:val="0070C0"/>
                <w:sz w:val="20"/>
              </w:rPr>
            </w:pPr>
            <w:r w:rsidRPr="00AF5E02">
              <w:rPr>
                <w:rFonts w:ascii="Arial" w:hAnsi="Arial" w:cs="Arial"/>
                <w:bCs/>
                <w:color w:val="0070C0"/>
                <w:sz w:val="20"/>
              </w:rPr>
              <w:t>133,746</w:t>
            </w:r>
          </w:p>
        </w:tc>
        <w:tc>
          <w:tcPr>
            <w:tcW w:w="1205" w:type="dxa"/>
            <w:shd w:val="clear" w:color="auto" w:fill="auto"/>
            <w:noWrap/>
            <w:vAlign w:val="bottom"/>
            <w:hideMark/>
          </w:tcPr>
          <w:p w:rsidR="00CB512D" w:rsidRPr="00AF5E02" w:rsidRDefault="00CB512D" w:rsidP="00EE72AA">
            <w:pPr>
              <w:jc w:val="center"/>
              <w:rPr>
                <w:rFonts w:ascii="Arial" w:hAnsi="Arial" w:cs="Arial"/>
                <w:bCs/>
                <w:color w:val="0070C0"/>
                <w:sz w:val="20"/>
              </w:rPr>
            </w:pPr>
            <w:r w:rsidRPr="00AF5E02">
              <w:rPr>
                <w:rFonts w:ascii="Arial" w:hAnsi="Arial" w:cs="Arial"/>
                <w:bCs/>
                <w:color w:val="0070C0"/>
                <w:sz w:val="20"/>
              </w:rPr>
              <w:t>-9.5%</w:t>
            </w:r>
          </w:p>
        </w:tc>
      </w:tr>
      <w:tr w:rsidR="00CB512D" w:rsidRPr="00D62A9D" w:rsidTr="007443F2">
        <w:trPr>
          <w:trHeight w:val="288"/>
        </w:trPr>
        <w:tc>
          <w:tcPr>
            <w:tcW w:w="2410" w:type="dxa"/>
            <w:shd w:val="clear" w:color="auto" w:fill="auto"/>
            <w:noWrap/>
            <w:vAlign w:val="bottom"/>
            <w:hideMark/>
          </w:tcPr>
          <w:p w:rsidR="00CB512D" w:rsidRPr="00AF5E02" w:rsidRDefault="00CB512D" w:rsidP="00EA17B0">
            <w:pPr>
              <w:rPr>
                <w:rFonts w:ascii="Arial" w:hAnsi="Arial" w:cs="Arial"/>
                <w:bCs/>
                <w:color w:val="1074CB"/>
                <w:sz w:val="20"/>
              </w:rPr>
            </w:pPr>
            <w:r w:rsidRPr="00AF5E02">
              <w:rPr>
                <w:rFonts w:ascii="Arial" w:hAnsi="Arial" w:cs="Arial"/>
                <w:bCs/>
                <w:color w:val="1074CB"/>
                <w:sz w:val="20"/>
              </w:rPr>
              <w:t>Home</w:t>
            </w:r>
          </w:p>
        </w:tc>
        <w:tc>
          <w:tcPr>
            <w:tcW w:w="1204" w:type="dxa"/>
            <w:shd w:val="clear" w:color="auto" w:fill="auto"/>
            <w:noWrap/>
            <w:vAlign w:val="bottom"/>
            <w:hideMark/>
          </w:tcPr>
          <w:p w:rsidR="00CB512D" w:rsidRPr="00AF5E02" w:rsidRDefault="00CB512D" w:rsidP="00CB512D">
            <w:pPr>
              <w:jc w:val="right"/>
              <w:rPr>
                <w:rFonts w:ascii="Arial" w:hAnsi="Arial" w:cs="Arial"/>
                <w:bCs/>
                <w:color w:val="0070C0"/>
                <w:sz w:val="20"/>
              </w:rPr>
            </w:pPr>
            <w:r>
              <w:rPr>
                <w:rFonts w:ascii="Arial" w:hAnsi="Arial" w:cs="Arial"/>
                <w:bCs/>
                <w:color w:val="0070C0"/>
                <w:sz w:val="20"/>
              </w:rPr>
              <w:t>83,702</w:t>
            </w:r>
          </w:p>
        </w:tc>
        <w:tc>
          <w:tcPr>
            <w:tcW w:w="1205" w:type="dxa"/>
            <w:shd w:val="clear" w:color="auto" w:fill="auto"/>
            <w:noWrap/>
            <w:vAlign w:val="bottom"/>
            <w:hideMark/>
          </w:tcPr>
          <w:p w:rsidR="00CB512D" w:rsidRPr="00AF5E02" w:rsidRDefault="00CB512D" w:rsidP="008E5840">
            <w:pPr>
              <w:jc w:val="right"/>
              <w:rPr>
                <w:rFonts w:ascii="Arial" w:hAnsi="Arial" w:cs="Arial"/>
                <w:bCs/>
                <w:color w:val="0070C0"/>
                <w:sz w:val="20"/>
              </w:rPr>
            </w:pPr>
            <w:r w:rsidRPr="00AF5E02">
              <w:rPr>
                <w:rFonts w:ascii="Arial" w:hAnsi="Arial" w:cs="Arial"/>
                <w:bCs/>
                <w:color w:val="0070C0"/>
                <w:sz w:val="20"/>
              </w:rPr>
              <w:t>86,011</w:t>
            </w:r>
          </w:p>
        </w:tc>
        <w:tc>
          <w:tcPr>
            <w:tcW w:w="1205" w:type="dxa"/>
            <w:shd w:val="clear" w:color="auto" w:fill="auto"/>
            <w:noWrap/>
            <w:vAlign w:val="bottom"/>
            <w:hideMark/>
          </w:tcPr>
          <w:p w:rsidR="00CB512D" w:rsidRPr="00AF5E02" w:rsidRDefault="00CB512D" w:rsidP="00CB512D">
            <w:pPr>
              <w:jc w:val="center"/>
              <w:rPr>
                <w:rFonts w:ascii="Arial" w:hAnsi="Arial" w:cs="Arial"/>
                <w:bCs/>
                <w:color w:val="0070C0"/>
                <w:sz w:val="20"/>
              </w:rPr>
            </w:pPr>
            <w:r>
              <w:rPr>
                <w:rFonts w:ascii="Arial" w:hAnsi="Arial" w:cs="Arial"/>
                <w:bCs/>
                <w:color w:val="0070C0"/>
                <w:sz w:val="20"/>
              </w:rPr>
              <w:t>2.8</w:t>
            </w:r>
            <w:r w:rsidRPr="00AF5E02">
              <w:rPr>
                <w:rFonts w:ascii="Arial" w:hAnsi="Arial" w:cs="Arial"/>
                <w:bCs/>
                <w:color w:val="0070C0"/>
                <w:sz w:val="20"/>
              </w:rPr>
              <w:t>%</w:t>
            </w:r>
          </w:p>
        </w:tc>
        <w:tc>
          <w:tcPr>
            <w:tcW w:w="1205" w:type="dxa"/>
            <w:shd w:val="clear" w:color="auto" w:fill="auto"/>
            <w:noWrap/>
            <w:vAlign w:val="bottom"/>
            <w:hideMark/>
          </w:tcPr>
          <w:p w:rsidR="00CB512D" w:rsidRPr="00AF5E02" w:rsidRDefault="00CB512D" w:rsidP="00EE72AA">
            <w:pPr>
              <w:jc w:val="right"/>
              <w:rPr>
                <w:rFonts w:ascii="Arial" w:hAnsi="Arial" w:cs="Arial"/>
                <w:bCs/>
                <w:color w:val="0070C0"/>
                <w:sz w:val="20"/>
              </w:rPr>
            </w:pPr>
            <w:r>
              <w:rPr>
                <w:rFonts w:ascii="Arial" w:hAnsi="Arial" w:cs="Arial"/>
                <w:bCs/>
                <w:color w:val="0070C0"/>
                <w:sz w:val="20"/>
              </w:rPr>
              <w:t>83,702</w:t>
            </w:r>
          </w:p>
        </w:tc>
        <w:tc>
          <w:tcPr>
            <w:tcW w:w="1205" w:type="dxa"/>
            <w:shd w:val="clear" w:color="auto" w:fill="auto"/>
            <w:noWrap/>
            <w:vAlign w:val="bottom"/>
            <w:hideMark/>
          </w:tcPr>
          <w:p w:rsidR="00CB512D" w:rsidRPr="00AF5E02" w:rsidRDefault="00CB512D" w:rsidP="00EE72AA">
            <w:pPr>
              <w:jc w:val="right"/>
              <w:rPr>
                <w:rFonts w:ascii="Arial" w:hAnsi="Arial" w:cs="Arial"/>
                <w:bCs/>
                <w:color w:val="0070C0"/>
                <w:sz w:val="20"/>
              </w:rPr>
            </w:pPr>
            <w:r w:rsidRPr="00AF5E02">
              <w:rPr>
                <w:rFonts w:ascii="Arial" w:hAnsi="Arial" w:cs="Arial"/>
                <w:bCs/>
                <w:color w:val="0070C0"/>
                <w:sz w:val="20"/>
              </w:rPr>
              <w:t>86,011</w:t>
            </w:r>
          </w:p>
        </w:tc>
        <w:tc>
          <w:tcPr>
            <w:tcW w:w="1205" w:type="dxa"/>
            <w:shd w:val="clear" w:color="auto" w:fill="auto"/>
            <w:noWrap/>
            <w:vAlign w:val="bottom"/>
            <w:hideMark/>
          </w:tcPr>
          <w:p w:rsidR="00CB512D" w:rsidRPr="00AF5E02" w:rsidRDefault="00CB512D" w:rsidP="00EE72AA">
            <w:pPr>
              <w:jc w:val="center"/>
              <w:rPr>
                <w:rFonts w:ascii="Arial" w:hAnsi="Arial" w:cs="Arial"/>
                <w:bCs/>
                <w:color w:val="0070C0"/>
                <w:sz w:val="20"/>
              </w:rPr>
            </w:pPr>
            <w:r>
              <w:rPr>
                <w:rFonts w:ascii="Arial" w:hAnsi="Arial" w:cs="Arial"/>
                <w:bCs/>
                <w:color w:val="0070C0"/>
                <w:sz w:val="20"/>
              </w:rPr>
              <w:t>2.8</w:t>
            </w:r>
            <w:r w:rsidRPr="00AF5E02">
              <w:rPr>
                <w:rFonts w:ascii="Arial" w:hAnsi="Arial" w:cs="Arial"/>
                <w:bCs/>
                <w:color w:val="0070C0"/>
                <w:sz w:val="20"/>
              </w:rPr>
              <w:t>%</w:t>
            </w:r>
          </w:p>
        </w:tc>
      </w:tr>
    </w:tbl>
    <w:p w:rsidR="00015D3B" w:rsidRDefault="00015D3B" w:rsidP="007F526E">
      <w:pPr>
        <w:rPr>
          <w:rFonts w:ascii="Verdana" w:hAnsi="Verdana"/>
          <w:sz w:val="20"/>
        </w:rPr>
      </w:pPr>
    </w:p>
    <w:p w:rsidR="00B53741" w:rsidRDefault="00B53741" w:rsidP="007F526E">
      <w:pPr>
        <w:rPr>
          <w:rFonts w:ascii="Verdana" w:hAnsi="Verdana"/>
          <w:sz w:val="20"/>
        </w:rPr>
      </w:pPr>
      <w:r>
        <w:rPr>
          <w:rFonts w:ascii="Arial" w:hAnsi="Arial" w:cs="Arial"/>
          <w:b/>
          <w:color w:val="0D2255"/>
          <w:sz w:val="20"/>
        </w:rPr>
        <w:t>Engine</w:t>
      </w:r>
      <w:r w:rsidRPr="00D62A9D">
        <w:rPr>
          <w:rFonts w:ascii="Arial" w:hAnsi="Arial" w:cs="Arial"/>
          <w:b/>
          <w:color w:val="0D2255"/>
          <w:sz w:val="20"/>
        </w:rPr>
        <w:t xml:space="preserve"> output rolling year total</w:t>
      </w:r>
    </w:p>
    <w:p w:rsidR="00015D3B" w:rsidRPr="00E75134" w:rsidRDefault="00C17E26" w:rsidP="00E75134">
      <w:pPr>
        <w:rPr>
          <w:rFonts w:ascii="Verdana" w:hAnsi="Verdana"/>
          <w:sz w:val="20"/>
        </w:rPr>
      </w:pPr>
      <w:r w:rsidRPr="00C17E26">
        <w:rPr>
          <w:rFonts w:ascii="Verdana" w:hAnsi="Verdana"/>
          <w:noProof/>
          <w:sz w:val="20"/>
        </w:rPr>
        <w:drawing>
          <wp:inline distT="0" distB="0" distL="0" distR="0">
            <wp:extent cx="6146358"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sectPr w:rsidR="00015D3B" w:rsidRPr="00E75134" w:rsidSect="00015D3B">
      <w:headerReference w:type="default" r:id="rId12"/>
      <w:pgSz w:w="12240" w:h="15840" w:code="1"/>
      <w:pgMar w:top="1134" w:right="1077" w:bottom="1134" w:left="1077" w:header="709"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870" w:rsidRDefault="00910870" w:rsidP="007B7D91">
      <w:r>
        <w:separator/>
      </w:r>
    </w:p>
  </w:endnote>
  <w:endnote w:type="continuationSeparator" w:id="0">
    <w:p w:rsidR="00910870" w:rsidRDefault="00910870" w:rsidP="007B7D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7B0" w:rsidRDefault="00EA17B0" w:rsidP="00EA17B0">
    <w:pPr>
      <w:pStyle w:val="Heading1"/>
      <w:ind w:left="0" w:firstLine="0"/>
      <w:rPr>
        <w:rFonts w:ascii="Arial" w:hAnsi="Arial" w:cs="Arial"/>
        <w:color w:val="1074CB"/>
        <w:sz w:val="16"/>
        <w:szCs w:val="16"/>
        <w:u w:val="single"/>
      </w:rPr>
    </w:pPr>
    <w:r>
      <w:rPr>
        <w:rFonts w:ascii="Arial" w:hAnsi="Arial" w:cs="Arial"/>
        <w:color w:val="1074CB"/>
        <w:sz w:val="16"/>
        <w:szCs w:val="16"/>
        <w:u w:val="single"/>
      </w:rPr>
      <w:t>N</w:t>
    </w:r>
    <w:r w:rsidRPr="00A46C84">
      <w:rPr>
        <w:rFonts w:ascii="Arial" w:hAnsi="Arial" w:cs="Arial"/>
        <w:color w:val="1074CB"/>
        <w:sz w:val="16"/>
        <w:szCs w:val="16"/>
        <w:u w:val="single"/>
      </w:rPr>
      <w:t>otes</w:t>
    </w:r>
  </w:p>
  <w:p w:rsidR="00EA17B0" w:rsidRDefault="00EA17B0" w:rsidP="00446AC5">
    <w:pPr>
      <w:pStyle w:val="Heading1"/>
      <w:ind w:left="0" w:firstLine="0"/>
      <w:rPr>
        <w:rFonts w:ascii="Arial" w:hAnsi="Arial" w:cs="Arial"/>
        <w:b w:val="0"/>
        <w:color w:val="1074CB"/>
        <w:sz w:val="16"/>
        <w:szCs w:val="16"/>
      </w:rPr>
    </w:pPr>
    <w:r>
      <w:rPr>
        <w:rFonts w:ascii="Arial" w:hAnsi="Arial" w:cs="Arial"/>
        <w:b w:val="0"/>
        <w:color w:val="1074CB"/>
        <w:sz w:val="16"/>
        <w:szCs w:val="16"/>
      </w:rPr>
      <w:t>Data presented is from a regular survey of selected UK manufacturers: 14 car manufacturers, nine CV and six engine manufacturers.</w:t>
    </w:r>
  </w:p>
  <w:p w:rsidR="00EA17B0" w:rsidRPr="00EA17B0" w:rsidRDefault="00EA17B0" w:rsidP="00EA17B0">
    <w:pPr>
      <w:pStyle w:val="Heading1"/>
      <w:ind w:left="0" w:firstLine="0"/>
      <w:rPr>
        <w:rFonts w:ascii="Arial" w:hAnsi="Arial" w:cs="Arial"/>
        <w:b w:val="0"/>
        <w:color w:val="1074CB"/>
        <w:sz w:val="12"/>
        <w:szCs w:val="12"/>
      </w:rPr>
    </w:pPr>
  </w:p>
  <w:p w:rsidR="00EA17B0" w:rsidRPr="0093616F" w:rsidRDefault="00EA17B0" w:rsidP="00EA17B0">
    <w:pPr>
      <w:pStyle w:val="Heading1"/>
      <w:ind w:left="0" w:firstLine="0"/>
      <w:rPr>
        <w:rFonts w:ascii="Arial" w:hAnsi="Arial" w:cs="Arial"/>
        <w:b w:val="0"/>
        <w:color w:val="1074CB"/>
        <w:sz w:val="16"/>
        <w:szCs w:val="16"/>
      </w:rPr>
    </w:pPr>
    <w:r w:rsidRPr="0098763B">
      <w:rPr>
        <w:rFonts w:ascii="Arial" w:hAnsi="Arial" w:cs="Arial"/>
        <w:b w:val="0"/>
        <w:color w:val="1074CB"/>
        <w:sz w:val="16"/>
        <w:szCs w:val="16"/>
      </w:rPr>
      <w:t xml:space="preserve">The Society of Motor Manufacturers and Traders (SMMT) is one of the largest and most influential trade associations in the UK. It supports the interests of the UK automotive industry at home and abroad, promoting a united position to government, stakeholders and the media. The automotive industry is a vital part of the UK economy accounting for </w:t>
    </w:r>
    <w:r w:rsidRPr="00D62A9D">
      <w:rPr>
        <w:rFonts w:ascii="Arial" w:hAnsi="Arial" w:cs="Arial"/>
        <w:color w:val="1074CB"/>
        <w:sz w:val="16"/>
        <w:szCs w:val="16"/>
      </w:rPr>
      <w:t>£55 billion turnover</w:t>
    </w:r>
    <w:r>
      <w:rPr>
        <w:rFonts w:ascii="Arial" w:hAnsi="Arial" w:cs="Arial"/>
        <w:b w:val="0"/>
        <w:color w:val="1074CB"/>
        <w:sz w:val="16"/>
        <w:szCs w:val="16"/>
      </w:rPr>
      <w:t xml:space="preserve"> and </w:t>
    </w:r>
    <w:r w:rsidRPr="00D62A9D">
      <w:rPr>
        <w:rFonts w:ascii="Arial" w:hAnsi="Arial" w:cs="Arial"/>
        <w:color w:val="1074CB"/>
        <w:sz w:val="16"/>
        <w:szCs w:val="16"/>
      </w:rPr>
      <w:t>£12 billion value added</w:t>
    </w:r>
    <w:r w:rsidRPr="0098763B">
      <w:rPr>
        <w:rFonts w:ascii="Arial" w:hAnsi="Arial" w:cs="Arial"/>
        <w:b w:val="0"/>
        <w:color w:val="1074CB"/>
        <w:sz w:val="16"/>
        <w:szCs w:val="16"/>
      </w:rPr>
      <w:t xml:space="preserve">. With </w:t>
    </w:r>
    <w:r>
      <w:rPr>
        <w:rFonts w:ascii="Arial" w:hAnsi="Arial" w:cs="Arial"/>
        <w:b w:val="0"/>
        <w:color w:val="1074CB"/>
        <w:sz w:val="16"/>
        <w:szCs w:val="16"/>
      </w:rPr>
      <w:t>more than</w:t>
    </w:r>
    <w:r w:rsidRPr="0098763B">
      <w:rPr>
        <w:rFonts w:ascii="Arial" w:hAnsi="Arial" w:cs="Arial"/>
        <w:b w:val="0"/>
        <w:color w:val="1074CB"/>
        <w:sz w:val="16"/>
        <w:szCs w:val="16"/>
      </w:rPr>
      <w:t xml:space="preserve"> </w:t>
    </w:r>
    <w:r w:rsidRPr="00D62A9D">
      <w:rPr>
        <w:rFonts w:ascii="Arial" w:hAnsi="Arial" w:cs="Arial"/>
        <w:color w:val="1074CB"/>
        <w:sz w:val="16"/>
        <w:szCs w:val="16"/>
      </w:rPr>
      <w:t>700,000 jobs</w:t>
    </w:r>
    <w:r w:rsidRPr="0098763B">
      <w:rPr>
        <w:rFonts w:ascii="Arial" w:hAnsi="Arial" w:cs="Arial"/>
        <w:b w:val="0"/>
        <w:color w:val="1074CB"/>
        <w:sz w:val="16"/>
        <w:szCs w:val="16"/>
      </w:rPr>
      <w:t xml:space="preserve"> dependent on the industry, it accounts for </w:t>
    </w:r>
    <w:r w:rsidRPr="00D62A9D">
      <w:rPr>
        <w:rFonts w:ascii="Arial" w:hAnsi="Arial" w:cs="Arial"/>
        <w:color w:val="1074CB"/>
        <w:sz w:val="16"/>
        <w:szCs w:val="16"/>
      </w:rPr>
      <w:t>10% of total exports</w:t>
    </w:r>
    <w:r w:rsidRPr="0098763B">
      <w:rPr>
        <w:rFonts w:ascii="Arial" w:hAnsi="Arial" w:cs="Arial"/>
        <w:b w:val="0"/>
        <w:color w:val="1074CB"/>
        <w:sz w:val="16"/>
        <w:szCs w:val="16"/>
      </w:rPr>
      <w:t xml:space="preserve"> and invests </w:t>
    </w:r>
    <w:r w:rsidRPr="00D62A9D">
      <w:rPr>
        <w:rFonts w:ascii="Arial" w:hAnsi="Arial" w:cs="Arial"/>
        <w:color w:val="1074CB"/>
        <w:sz w:val="16"/>
        <w:szCs w:val="16"/>
      </w:rPr>
      <w:t>£1.3 billion</w:t>
    </w:r>
    <w:r w:rsidRPr="0098763B">
      <w:rPr>
        <w:rFonts w:ascii="Arial" w:hAnsi="Arial" w:cs="Arial"/>
        <w:b w:val="0"/>
        <w:color w:val="1074CB"/>
        <w:sz w:val="16"/>
        <w:szCs w:val="16"/>
      </w:rPr>
      <w:t xml:space="preserve"> each year in automotive R&amp;D. </w:t>
    </w:r>
    <w:r w:rsidRPr="00281847">
      <w:rPr>
        <w:rFonts w:ascii="Arial" w:hAnsi="Arial" w:cs="Arial"/>
        <w:b w:val="0"/>
        <w:color w:val="1074CB"/>
        <w:sz w:val="16"/>
        <w:szCs w:val="16"/>
      </w:rPr>
      <w:t xml:space="preserve">For more details, see SMMT’s Sustainability Report 2012 and Motor Industry Facts 2012 at </w:t>
    </w:r>
    <w:hyperlink r:id="rId1" w:history="1">
      <w:r w:rsidRPr="00281847">
        <w:rPr>
          <w:rStyle w:val="Hyperlink"/>
          <w:rFonts w:ascii="Arial" w:hAnsi="Arial" w:cs="Arial"/>
          <w:sz w:val="16"/>
          <w:szCs w:val="16"/>
        </w:rPr>
        <w:t>www.smmt.co.uk/publications</w:t>
      </w:r>
    </w:hyperlink>
  </w:p>
  <w:p w:rsidR="00EA17B0" w:rsidRPr="00EA17B0" w:rsidRDefault="00EA17B0" w:rsidP="00EA17B0">
    <w:pPr>
      <w:rPr>
        <w:rFonts w:ascii="Arial" w:hAnsi="Arial" w:cs="Arial"/>
        <w:b/>
        <w:color w:val="1074CB"/>
        <w:sz w:val="12"/>
        <w:szCs w:val="12"/>
      </w:rPr>
    </w:pPr>
  </w:p>
  <w:p w:rsidR="00EA17B0" w:rsidRDefault="00EA17B0" w:rsidP="00EA17B0">
    <w:pPr>
      <w:rPr>
        <w:rFonts w:ascii="Arial" w:hAnsi="Arial" w:cs="Arial"/>
        <w:b/>
        <w:color w:val="1074CB"/>
        <w:sz w:val="16"/>
        <w:szCs w:val="16"/>
      </w:rPr>
    </w:pPr>
    <w:r>
      <w:rPr>
        <w:rFonts w:ascii="Arial" w:hAnsi="Arial" w:cs="Arial"/>
        <w:b/>
        <w:color w:val="1074CB"/>
        <w:sz w:val="16"/>
        <w:szCs w:val="16"/>
      </w:rPr>
      <w:t>Media contacts:</w:t>
    </w:r>
  </w:p>
  <w:p w:rsidR="00EA17B0" w:rsidRPr="005B770B" w:rsidRDefault="00EA17B0" w:rsidP="00EA17B0">
    <w:r>
      <w:rPr>
        <w:rFonts w:ascii="Arial" w:hAnsi="Arial" w:cs="Arial"/>
        <w:color w:val="1074CB"/>
        <w:sz w:val="16"/>
        <w:szCs w:val="16"/>
      </w:rPr>
      <w:t>Kayleigh Lawrence</w:t>
    </w:r>
    <w:r>
      <w:rPr>
        <w:rFonts w:ascii="Arial" w:hAnsi="Arial" w:cs="Arial"/>
        <w:color w:val="1074CB"/>
        <w:sz w:val="16"/>
        <w:szCs w:val="16"/>
      </w:rPr>
      <w:tab/>
    </w:r>
    <w:r>
      <w:rPr>
        <w:rFonts w:ascii="Arial" w:hAnsi="Arial" w:cs="Arial"/>
        <w:color w:val="1074CB"/>
        <w:sz w:val="16"/>
        <w:szCs w:val="16"/>
      </w:rPr>
      <w:tab/>
    </w:r>
    <w:r>
      <w:rPr>
        <w:rFonts w:ascii="Arial" w:hAnsi="Arial" w:cs="Arial"/>
        <w:color w:val="1074CB"/>
        <w:sz w:val="16"/>
        <w:szCs w:val="16"/>
      </w:rPr>
      <w:tab/>
      <w:t>020 7344 9222</w:t>
    </w:r>
    <w:r>
      <w:rPr>
        <w:rFonts w:ascii="Arial" w:hAnsi="Arial" w:cs="Arial"/>
        <w:color w:val="1074CB"/>
        <w:sz w:val="16"/>
        <w:szCs w:val="16"/>
      </w:rPr>
      <w:tab/>
    </w:r>
    <w:r>
      <w:rPr>
        <w:rFonts w:ascii="Arial" w:hAnsi="Arial" w:cs="Arial"/>
        <w:color w:val="1074CB"/>
        <w:sz w:val="16"/>
        <w:szCs w:val="16"/>
      </w:rPr>
      <w:tab/>
    </w:r>
    <w:hyperlink r:id="rId2" w:history="1">
      <w:r w:rsidRPr="00FC69B3">
        <w:rPr>
          <w:rStyle w:val="Hyperlink"/>
          <w:rFonts w:ascii="Arial" w:hAnsi="Arial" w:cs="Arial"/>
          <w:sz w:val="16"/>
          <w:szCs w:val="16"/>
        </w:rPr>
        <w:t>klawrence@smmt.co.uk</w:t>
      </w:r>
    </w:hyperlink>
  </w:p>
  <w:p w:rsidR="00EA17B0" w:rsidRDefault="00EA17B0" w:rsidP="00EA17B0">
    <w:pPr>
      <w:rPr>
        <w:rFonts w:ascii="Arial" w:hAnsi="Arial" w:cs="Arial"/>
        <w:color w:val="1074CB"/>
        <w:sz w:val="16"/>
        <w:szCs w:val="16"/>
      </w:rPr>
    </w:pPr>
    <w:r>
      <w:rPr>
        <w:rFonts w:ascii="Arial" w:hAnsi="Arial" w:cs="Arial"/>
        <w:color w:val="1074CB"/>
        <w:sz w:val="16"/>
        <w:szCs w:val="16"/>
      </w:rPr>
      <w:t>Jonathan Visscher</w:t>
    </w:r>
    <w:r>
      <w:rPr>
        <w:rFonts w:ascii="Arial" w:hAnsi="Arial" w:cs="Arial"/>
        <w:color w:val="1074CB"/>
        <w:sz w:val="16"/>
        <w:szCs w:val="16"/>
      </w:rPr>
      <w:tab/>
    </w:r>
    <w:r>
      <w:rPr>
        <w:rFonts w:ascii="Arial" w:hAnsi="Arial" w:cs="Arial"/>
        <w:color w:val="1074CB"/>
        <w:sz w:val="16"/>
        <w:szCs w:val="16"/>
      </w:rPr>
      <w:tab/>
    </w:r>
    <w:r>
      <w:rPr>
        <w:rFonts w:ascii="Arial" w:hAnsi="Arial" w:cs="Arial"/>
        <w:color w:val="1074CB"/>
        <w:sz w:val="16"/>
        <w:szCs w:val="16"/>
      </w:rPr>
      <w:tab/>
      <w:t xml:space="preserve">020 7344 </w:t>
    </w:r>
    <w:r>
      <w:rPr>
        <w:rFonts w:ascii="Arial" w:hAnsi="Arial" w:cs="Arial"/>
        <w:color w:val="1074CB"/>
        <w:sz w:val="16"/>
        <w:szCs w:val="16"/>
      </w:rPr>
      <w:tab/>
      <w:t>9263</w:t>
    </w:r>
    <w:r>
      <w:rPr>
        <w:rFonts w:ascii="Arial" w:hAnsi="Arial" w:cs="Arial"/>
        <w:color w:val="1074CB"/>
        <w:sz w:val="16"/>
        <w:szCs w:val="16"/>
      </w:rPr>
      <w:tab/>
    </w:r>
    <w:r>
      <w:rPr>
        <w:rFonts w:ascii="Arial" w:hAnsi="Arial" w:cs="Arial"/>
        <w:color w:val="1074CB"/>
        <w:sz w:val="16"/>
        <w:szCs w:val="16"/>
      </w:rPr>
      <w:tab/>
    </w:r>
    <w:hyperlink r:id="rId3" w:history="1">
      <w:r w:rsidRPr="007252B7">
        <w:rPr>
          <w:rStyle w:val="Hyperlink"/>
          <w:rFonts w:ascii="Arial" w:hAnsi="Arial" w:cs="Arial"/>
          <w:sz w:val="16"/>
          <w:szCs w:val="16"/>
        </w:rPr>
        <w:t>jvisscher@smmt.co.uk</w:t>
      </w:r>
    </w:hyperlink>
    <w:r>
      <w:rPr>
        <w:rFonts w:ascii="Arial" w:hAnsi="Arial" w:cs="Arial"/>
        <w:color w:val="1074CB"/>
        <w:sz w:val="16"/>
        <w:szCs w:val="16"/>
      </w:rPr>
      <w:t xml:space="preserve"> </w:t>
    </w:r>
  </w:p>
  <w:p w:rsidR="00EA17B0" w:rsidRDefault="00EA17B0" w:rsidP="00EA17B0">
    <w:pPr>
      <w:rPr>
        <w:rFonts w:ascii="Arial" w:hAnsi="Arial" w:cs="Arial"/>
        <w:color w:val="1074CB"/>
        <w:sz w:val="16"/>
        <w:szCs w:val="16"/>
      </w:rPr>
    </w:pPr>
    <w:r>
      <w:rPr>
        <w:rFonts w:ascii="Arial" w:hAnsi="Arial" w:cs="Arial"/>
        <w:color w:val="1074CB"/>
        <w:sz w:val="16"/>
        <w:szCs w:val="16"/>
      </w:rPr>
      <w:t>Keith Lewis</w:t>
    </w:r>
    <w:r>
      <w:rPr>
        <w:rFonts w:ascii="Arial" w:hAnsi="Arial" w:cs="Arial"/>
        <w:color w:val="1074CB"/>
        <w:sz w:val="16"/>
        <w:szCs w:val="16"/>
      </w:rPr>
      <w:tab/>
    </w:r>
    <w:r>
      <w:rPr>
        <w:rFonts w:ascii="Arial" w:hAnsi="Arial" w:cs="Arial"/>
        <w:color w:val="1074CB"/>
        <w:sz w:val="16"/>
        <w:szCs w:val="16"/>
      </w:rPr>
      <w:tab/>
    </w:r>
    <w:r>
      <w:rPr>
        <w:rFonts w:ascii="Arial" w:hAnsi="Arial" w:cs="Arial"/>
        <w:color w:val="1074CB"/>
        <w:sz w:val="16"/>
        <w:szCs w:val="16"/>
      </w:rPr>
      <w:tab/>
      <w:t>020 7344 9226</w:t>
    </w:r>
    <w:r>
      <w:rPr>
        <w:rFonts w:ascii="Arial" w:hAnsi="Arial" w:cs="Arial"/>
        <w:color w:val="1074CB"/>
        <w:sz w:val="16"/>
        <w:szCs w:val="16"/>
      </w:rPr>
      <w:tab/>
    </w:r>
    <w:r>
      <w:rPr>
        <w:rFonts w:ascii="Arial" w:hAnsi="Arial" w:cs="Arial"/>
        <w:color w:val="1074CB"/>
        <w:sz w:val="16"/>
        <w:szCs w:val="16"/>
      </w:rPr>
      <w:tab/>
    </w:r>
    <w:hyperlink r:id="rId4" w:history="1">
      <w:r w:rsidRPr="007252B7">
        <w:rPr>
          <w:rStyle w:val="Hyperlink"/>
          <w:rFonts w:ascii="Arial" w:hAnsi="Arial" w:cs="Arial"/>
          <w:sz w:val="16"/>
          <w:szCs w:val="16"/>
        </w:rPr>
        <w:t>klewis@smmt.co.uk</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870" w:rsidRDefault="00910870" w:rsidP="007B7D91">
      <w:r>
        <w:separator/>
      </w:r>
    </w:p>
  </w:footnote>
  <w:footnote w:type="continuationSeparator" w:id="0">
    <w:p w:rsidR="00910870" w:rsidRDefault="00910870" w:rsidP="007B7D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7B0" w:rsidRDefault="00EA17B0" w:rsidP="00EA17B0">
    <w:pPr>
      <w:rPr>
        <w:rStyle w:val="Strong"/>
        <w:rFonts w:ascii="Arial" w:hAnsi="Arial" w:cs="Arial"/>
        <w:color w:val="1074CB"/>
        <w:sz w:val="20"/>
      </w:rPr>
    </w:pPr>
    <w:r>
      <w:rPr>
        <w:rStyle w:val="Strong"/>
        <w:rFonts w:ascii="Arial" w:hAnsi="Arial" w:cs="Arial"/>
        <w:color w:val="1074CB"/>
        <w:sz w:val="20"/>
      </w:rPr>
      <w:t xml:space="preserve">                                                                                  </w:t>
    </w:r>
  </w:p>
  <w:p w:rsidR="00EA17B0" w:rsidRDefault="00EA17B0" w:rsidP="00EA17B0">
    <w:pPr>
      <w:jc w:val="right"/>
      <w:rPr>
        <w:rStyle w:val="Strong"/>
        <w:rFonts w:ascii="Arial" w:hAnsi="Arial" w:cs="Arial"/>
        <w:color w:val="1074CB"/>
        <w:sz w:val="20"/>
      </w:rPr>
    </w:pPr>
    <w:r>
      <w:rPr>
        <w:rFonts w:ascii="Arial" w:hAnsi="Arial" w:cs="Arial"/>
        <w:b/>
        <w:bCs/>
        <w:noProof/>
        <w:color w:val="1074CB"/>
        <w:sz w:val="20"/>
      </w:rPr>
      <w:drawing>
        <wp:anchor distT="0" distB="0" distL="114300" distR="114300" simplePos="0" relativeHeight="251664384" behindDoc="0" locked="0" layoutInCell="1" allowOverlap="1">
          <wp:simplePos x="0" y="0"/>
          <wp:positionH relativeFrom="column">
            <wp:posOffset>4114902</wp:posOffset>
          </wp:positionH>
          <wp:positionV relativeFrom="paragraph">
            <wp:posOffset>254</wp:posOffset>
          </wp:positionV>
          <wp:extent cx="1963369" cy="746151"/>
          <wp:effectExtent l="19050" t="0" r="0" b="0"/>
          <wp:wrapNone/>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1963369" cy="746151"/>
                  </a:xfrm>
                  <a:prstGeom prst="rect">
                    <a:avLst/>
                  </a:prstGeom>
                  <a:noFill/>
                  <a:ln w="9525">
                    <a:noFill/>
                    <a:miter lim="800000"/>
                    <a:headEnd/>
                    <a:tailEnd/>
                  </a:ln>
                </pic:spPr>
              </pic:pic>
            </a:graphicData>
          </a:graphic>
        </wp:anchor>
      </w:drawing>
    </w:r>
  </w:p>
  <w:p w:rsidR="00EA17B0" w:rsidRDefault="00EA17B0" w:rsidP="00EA17B0">
    <w:pPr>
      <w:rPr>
        <w:rStyle w:val="Strong"/>
        <w:rFonts w:ascii="Arial" w:hAnsi="Arial" w:cs="Arial"/>
        <w:color w:val="1074CB"/>
        <w:sz w:val="20"/>
      </w:rPr>
    </w:pPr>
  </w:p>
  <w:p w:rsidR="00EA17B0" w:rsidRDefault="00EA17B0" w:rsidP="00EA17B0">
    <w:pPr>
      <w:jc w:val="right"/>
      <w:rPr>
        <w:rStyle w:val="Strong"/>
        <w:rFonts w:ascii="Arial" w:hAnsi="Arial" w:cs="Arial"/>
        <w:color w:val="1074CB"/>
        <w:sz w:val="20"/>
      </w:rPr>
    </w:pPr>
  </w:p>
  <w:p w:rsidR="00EA17B0" w:rsidRDefault="00EA17B0" w:rsidP="00EA17B0">
    <w:pPr>
      <w:jc w:val="right"/>
      <w:rPr>
        <w:rStyle w:val="Strong"/>
        <w:rFonts w:ascii="Arial" w:hAnsi="Arial" w:cs="Arial"/>
        <w:color w:val="1074CB"/>
        <w:sz w:val="20"/>
      </w:rPr>
    </w:pPr>
  </w:p>
  <w:p w:rsidR="00EA17B0" w:rsidRDefault="00EA17B0" w:rsidP="00EA17B0">
    <w:pPr>
      <w:jc w:val="right"/>
      <w:rPr>
        <w:rStyle w:val="Strong"/>
        <w:rFonts w:ascii="Arial" w:hAnsi="Arial" w:cs="Arial"/>
        <w:color w:val="1074CB"/>
        <w:sz w:val="20"/>
      </w:rPr>
    </w:pPr>
  </w:p>
  <w:p w:rsidR="00EA17B0" w:rsidRDefault="00EA17B0" w:rsidP="00EA17B0">
    <w:pPr>
      <w:jc w:val="right"/>
      <w:rPr>
        <w:rStyle w:val="Strong"/>
        <w:rFonts w:ascii="Arial" w:hAnsi="Arial" w:cs="Arial"/>
        <w:color w:val="1074CB"/>
        <w:sz w:val="20"/>
      </w:rPr>
    </w:pPr>
    <w:r>
      <w:rPr>
        <w:rStyle w:val="Strong"/>
        <w:rFonts w:ascii="Arial" w:hAnsi="Arial" w:cs="Arial"/>
        <w:color w:val="1074CB"/>
        <w:sz w:val="20"/>
      </w:rPr>
      <w:t>Note to broadcasters: SMMT has an ISDN studio</w:t>
    </w:r>
  </w:p>
  <w:p w:rsidR="00EA17B0" w:rsidRPr="00D22872" w:rsidRDefault="00EA17B0" w:rsidP="00EA17B0">
    <w:pPr>
      <w:pStyle w:val="Heading1"/>
      <w:ind w:right="142"/>
      <w:rPr>
        <w:rFonts w:ascii="Arial" w:eastAsiaTheme="minorEastAsia" w:hAnsi="Arial" w:cs="Arial"/>
        <w:bCs/>
        <w:color w:val="1074C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7B0" w:rsidRDefault="00EA17B0" w:rsidP="007B7D91">
    <w:pPr>
      <w:jc w:val="right"/>
      <w:rPr>
        <w:rStyle w:val="Strong"/>
        <w:rFonts w:ascii="Arial" w:hAnsi="Arial" w:cs="Arial"/>
        <w:color w:val="1074CB"/>
        <w:sz w:val="20"/>
      </w:rPr>
    </w:pPr>
    <w:r>
      <w:rPr>
        <w:rFonts w:ascii="Arial" w:hAnsi="Arial" w:cs="Arial"/>
        <w:b/>
        <w:bCs/>
        <w:noProof/>
        <w:color w:val="1074CB"/>
        <w:sz w:val="20"/>
      </w:rPr>
      <w:drawing>
        <wp:anchor distT="0" distB="0" distL="114300" distR="114300" simplePos="0" relativeHeight="251662336" behindDoc="0" locked="0" layoutInCell="1" allowOverlap="1">
          <wp:simplePos x="0" y="0"/>
          <wp:positionH relativeFrom="column">
            <wp:posOffset>4483210</wp:posOffset>
          </wp:positionH>
          <wp:positionV relativeFrom="paragraph">
            <wp:posOffset>-156016</wp:posOffset>
          </wp:positionV>
          <wp:extent cx="1968777" cy="739471"/>
          <wp:effectExtent l="19050" t="0" r="0" b="0"/>
          <wp:wrapNone/>
          <wp:docPr id="14"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1968777" cy="739471"/>
                  </a:xfrm>
                  <a:prstGeom prst="rect">
                    <a:avLst/>
                  </a:prstGeom>
                  <a:noFill/>
                  <a:ln w="9525">
                    <a:noFill/>
                    <a:miter lim="800000"/>
                    <a:headEnd/>
                    <a:tailEnd/>
                  </a:ln>
                </pic:spPr>
              </pic:pic>
            </a:graphicData>
          </a:graphic>
        </wp:anchor>
      </w:drawing>
    </w:r>
  </w:p>
  <w:p w:rsidR="00EA17B0" w:rsidRDefault="00EA17B0" w:rsidP="007B7D91">
    <w:pPr>
      <w:jc w:val="right"/>
      <w:rPr>
        <w:rStyle w:val="Strong"/>
        <w:rFonts w:ascii="Arial" w:hAnsi="Arial" w:cs="Arial"/>
        <w:color w:val="1074CB"/>
        <w:sz w:val="20"/>
      </w:rPr>
    </w:pPr>
  </w:p>
  <w:p w:rsidR="00EA17B0" w:rsidRDefault="00EA17B0" w:rsidP="007B7D91">
    <w:pPr>
      <w:jc w:val="right"/>
      <w:rPr>
        <w:rStyle w:val="Strong"/>
        <w:rFonts w:ascii="Arial" w:hAnsi="Arial" w:cs="Arial"/>
        <w:color w:val="1074CB"/>
        <w:sz w:val="20"/>
      </w:rPr>
    </w:pPr>
  </w:p>
  <w:p w:rsidR="00EA17B0" w:rsidRDefault="00EA17B0" w:rsidP="007B7D91">
    <w:pPr>
      <w:jc w:val="right"/>
      <w:rPr>
        <w:rStyle w:val="Strong"/>
        <w:rFonts w:ascii="Arial" w:hAnsi="Arial" w:cs="Arial"/>
        <w:color w:val="1074CB"/>
        <w:sz w:val="20"/>
      </w:rPr>
    </w:pPr>
  </w:p>
  <w:p w:rsidR="00EA17B0" w:rsidRDefault="00EA17B0" w:rsidP="007B7D91">
    <w:pPr>
      <w:jc w:val="right"/>
      <w:rPr>
        <w:rStyle w:val="Strong"/>
        <w:rFonts w:ascii="Arial" w:hAnsi="Arial" w:cs="Arial"/>
        <w:color w:val="1074CB"/>
        <w:sz w:val="20"/>
      </w:rPr>
    </w:pPr>
    <w:r>
      <w:rPr>
        <w:rStyle w:val="Strong"/>
        <w:rFonts w:ascii="Arial" w:hAnsi="Arial" w:cs="Arial"/>
        <w:color w:val="1074CB"/>
        <w:sz w:val="20"/>
      </w:rPr>
      <w:t>Note to broadcasters: SMMT has an ISDN studio</w:t>
    </w:r>
  </w:p>
  <w:p w:rsidR="00EA17B0" w:rsidRPr="00015D3B" w:rsidRDefault="00EA17B0" w:rsidP="007B7D91">
    <w:pPr>
      <w:pStyle w:val="Heading1"/>
      <w:ind w:right="142"/>
      <w:rPr>
        <w:rFonts w:ascii="Arial" w:eastAsiaTheme="minorEastAsia" w:hAnsi="Arial" w:cs="Arial"/>
        <w:bCs/>
        <w:color w:val="1074C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6FBD"/>
    <w:multiLevelType w:val="hybridMultilevel"/>
    <w:tmpl w:val="10E6B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20D321C"/>
    <w:multiLevelType w:val="hybridMultilevel"/>
    <w:tmpl w:val="435462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7B7D91"/>
    <w:rsid w:val="00007ACB"/>
    <w:rsid w:val="00015D3B"/>
    <w:rsid w:val="00017AB7"/>
    <w:rsid w:val="00074C39"/>
    <w:rsid w:val="000818A7"/>
    <w:rsid w:val="000F4585"/>
    <w:rsid w:val="0010253B"/>
    <w:rsid w:val="001404E6"/>
    <w:rsid w:val="0014383D"/>
    <w:rsid w:val="00144913"/>
    <w:rsid w:val="001B28BA"/>
    <w:rsid w:val="00240A59"/>
    <w:rsid w:val="0027731C"/>
    <w:rsid w:val="00326E74"/>
    <w:rsid w:val="003448D3"/>
    <w:rsid w:val="00387380"/>
    <w:rsid w:val="003E262D"/>
    <w:rsid w:val="00446AC5"/>
    <w:rsid w:val="00551532"/>
    <w:rsid w:val="005C04E7"/>
    <w:rsid w:val="005E1693"/>
    <w:rsid w:val="007443F2"/>
    <w:rsid w:val="0075300C"/>
    <w:rsid w:val="007B14C4"/>
    <w:rsid w:val="007B7D91"/>
    <w:rsid w:val="007C4F0A"/>
    <w:rsid w:val="007F526E"/>
    <w:rsid w:val="00853732"/>
    <w:rsid w:val="008A4A1B"/>
    <w:rsid w:val="008A6748"/>
    <w:rsid w:val="008E5840"/>
    <w:rsid w:val="008E5F57"/>
    <w:rsid w:val="009030E4"/>
    <w:rsid w:val="00910870"/>
    <w:rsid w:val="00985336"/>
    <w:rsid w:val="00A3414C"/>
    <w:rsid w:val="00AF5E02"/>
    <w:rsid w:val="00B01A93"/>
    <w:rsid w:val="00B53741"/>
    <w:rsid w:val="00B64BF5"/>
    <w:rsid w:val="00BA1403"/>
    <w:rsid w:val="00C15C3F"/>
    <w:rsid w:val="00C17E26"/>
    <w:rsid w:val="00CB512D"/>
    <w:rsid w:val="00CC6F26"/>
    <w:rsid w:val="00D1523E"/>
    <w:rsid w:val="00D7102E"/>
    <w:rsid w:val="00E75134"/>
    <w:rsid w:val="00EA17B0"/>
    <w:rsid w:val="00EB48C4"/>
    <w:rsid w:val="00FB364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D91"/>
    <w:pPr>
      <w:spacing w:after="0" w:line="240" w:lineRule="auto"/>
    </w:pPr>
    <w:rPr>
      <w:rFonts w:ascii="Times" w:eastAsia="Times" w:hAnsi="Times" w:cs="Times New Roman"/>
      <w:sz w:val="24"/>
      <w:szCs w:val="20"/>
      <w:lang w:val="en-GB" w:eastAsia="en-GB"/>
    </w:rPr>
  </w:style>
  <w:style w:type="paragraph" w:styleId="Heading1">
    <w:name w:val="heading 1"/>
    <w:basedOn w:val="Normal"/>
    <w:next w:val="Normal"/>
    <w:link w:val="Heading1Char"/>
    <w:qFormat/>
    <w:rsid w:val="007B7D91"/>
    <w:pPr>
      <w:keepNext/>
      <w:widowControl w:val="0"/>
      <w:autoSpaceDE w:val="0"/>
      <w:autoSpaceDN w:val="0"/>
      <w:adjustRightInd w:val="0"/>
      <w:ind w:left="720" w:hanging="720"/>
      <w:outlineLvl w:val="0"/>
    </w:pPr>
    <w:rPr>
      <w:rFonts w:ascii="Arial Bold" w:eastAsia="Times New Roman" w:hAnsi="Arial Bold"/>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7D91"/>
    <w:pPr>
      <w:tabs>
        <w:tab w:val="center" w:pos="4513"/>
        <w:tab w:val="right" w:pos="9026"/>
      </w:tabs>
    </w:pPr>
  </w:style>
  <w:style w:type="character" w:customStyle="1" w:styleId="HeaderChar">
    <w:name w:val="Header Char"/>
    <w:basedOn w:val="DefaultParagraphFont"/>
    <w:link w:val="Header"/>
    <w:uiPriority w:val="99"/>
    <w:rsid w:val="007B7D91"/>
    <w:rPr>
      <w:lang w:val="en-GB"/>
    </w:rPr>
  </w:style>
  <w:style w:type="paragraph" w:styleId="Footer">
    <w:name w:val="footer"/>
    <w:basedOn w:val="Normal"/>
    <w:link w:val="FooterChar"/>
    <w:uiPriority w:val="99"/>
    <w:semiHidden/>
    <w:unhideWhenUsed/>
    <w:rsid w:val="007B7D91"/>
    <w:pPr>
      <w:tabs>
        <w:tab w:val="center" w:pos="4513"/>
        <w:tab w:val="right" w:pos="9026"/>
      </w:tabs>
    </w:pPr>
  </w:style>
  <w:style w:type="character" w:customStyle="1" w:styleId="FooterChar">
    <w:name w:val="Footer Char"/>
    <w:basedOn w:val="DefaultParagraphFont"/>
    <w:link w:val="Footer"/>
    <w:uiPriority w:val="99"/>
    <w:semiHidden/>
    <w:rsid w:val="007B7D91"/>
    <w:rPr>
      <w:lang w:val="en-GB"/>
    </w:rPr>
  </w:style>
  <w:style w:type="character" w:customStyle="1" w:styleId="Heading1Char">
    <w:name w:val="Heading 1 Char"/>
    <w:basedOn w:val="DefaultParagraphFont"/>
    <w:link w:val="Heading1"/>
    <w:rsid w:val="007B7D91"/>
    <w:rPr>
      <w:rFonts w:ascii="Arial Bold" w:eastAsia="Times New Roman" w:hAnsi="Arial Bold" w:cs="Times New Roman"/>
      <w:b/>
      <w:sz w:val="20"/>
      <w:szCs w:val="20"/>
      <w:lang w:val="en-GB" w:eastAsia="en-GB"/>
    </w:rPr>
  </w:style>
  <w:style w:type="character" w:styleId="Strong">
    <w:name w:val="Strong"/>
    <w:basedOn w:val="DefaultParagraphFont"/>
    <w:qFormat/>
    <w:rsid w:val="007B7D91"/>
    <w:rPr>
      <w:b/>
      <w:bCs/>
    </w:rPr>
  </w:style>
  <w:style w:type="paragraph" w:styleId="PlainText">
    <w:name w:val="Plain Text"/>
    <w:basedOn w:val="Normal"/>
    <w:link w:val="PlainTextChar"/>
    <w:uiPriority w:val="99"/>
    <w:unhideWhenUsed/>
    <w:rsid w:val="007B7D91"/>
    <w:rPr>
      <w:rFonts w:ascii="Arial" w:eastAsiaTheme="minorHAnsi" w:hAnsi="Arial" w:cstheme="minorBidi"/>
      <w:sz w:val="20"/>
      <w:szCs w:val="21"/>
      <w:lang w:eastAsia="en-US"/>
    </w:rPr>
  </w:style>
  <w:style w:type="character" w:customStyle="1" w:styleId="PlainTextChar">
    <w:name w:val="Plain Text Char"/>
    <w:basedOn w:val="DefaultParagraphFont"/>
    <w:link w:val="PlainText"/>
    <w:uiPriority w:val="99"/>
    <w:rsid w:val="007B7D91"/>
    <w:rPr>
      <w:rFonts w:ascii="Arial" w:hAnsi="Arial"/>
      <w:sz w:val="20"/>
      <w:szCs w:val="21"/>
      <w:lang w:val="en-GB"/>
    </w:rPr>
  </w:style>
  <w:style w:type="paragraph" w:styleId="ListParagraph">
    <w:name w:val="List Paragraph"/>
    <w:basedOn w:val="Normal"/>
    <w:uiPriority w:val="34"/>
    <w:qFormat/>
    <w:rsid w:val="007B7D91"/>
    <w:pPr>
      <w:ind w:left="720"/>
      <w:contextualSpacing/>
    </w:pPr>
  </w:style>
  <w:style w:type="character" w:styleId="Hyperlink">
    <w:name w:val="Hyperlink"/>
    <w:basedOn w:val="DefaultParagraphFont"/>
    <w:rsid w:val="007B7D91"/>
    <w:rPr>
      <w:color w:val="0000FF"/>
      <w:u w:val="single"/>
    </w:rPr>
  </w:style>
  <w:style w:type="paragraph" w:styleId="BalloonText">
    <w:name w:val="Balloon Text"/>
    <w:basedOn w:val="Normal"/>
    <w:link w:val="BalloonTextChar"/>
    <w:uiPriority w:val="99"/>
    <w:semiHidden/>
    <w:unhideWhenUsed/>
    <w:rsid w:val="007B7D91"/>
    <w:rPr>
      <w:rFonts w:ascii="Tahoma" w:hAnsi="Tahoma" w:cs="Tahoma"/>
      <w:sz w:val="16"/>
      <w:szCs w:val="16"/>
    </w:rPr>
  </w:style>
  <w:style w:type="character" w:customStyle="1" w:styleId="BalloonTextChar">
    <w:name w:val="Balloon Text Char"/>
    <w:basedOn w:val="DefaultParagraphFont"/>
    <w:link w:val="BalloonText"/>
    <w:uiPriority w:val="99"/>
    <w:semiHidden/>
    <w:rsid w:val="007B7D91"/>
    <w:rPr>
      <w:rFonts w:ascii="Tahoma" w:eastAsia="Times" w:hAnsi="Tahoma" w:cs="Tahoma"/>
      <w:sz w:val="16"/>
      <w:szCs w:val="16"/>
      <w:lang w:val="en-GB" w:eastAsia="en-GB"/>
    </w:rPr>
  </w:style>
  <w:style w:type="character" w:styleId="CommentReference">
    <w:name w:val="annotation reference"/>
    <w:basedOn w:val="DefaultParagraphFont"/>
    <w:uiPriority w:val="99"/>
    <w:semiHidden/>
    <w:unhideWhenUsed/>
    <w:rsid w:val="00E75134"/>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jvisscher@smmt.co.uk" TargetMode="External"/><Relationship Id="rId2" Type="http://schemas.openxmlformats.org/officeDocument/2006/relationships/hyperlink" Target="mailto:klawrence@smmt.co.uk" TargetMode="External"/><Relationship Id="rId1" Type="http://schemas.openxmlformats.org/officeDocument/2006/relationships/hyperlink" Target="http://www.smmt.co.uk/publications" TargetMode="External"/><Relationship Id="rId4" Type="http://schemas.openxmlformats.org/officeDocument/2006/relationships/hyperlink" Target="mailto:klewis@smm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GPS-SRV06\SMMTData\PPVL\TEAMS\ECONOMICS\UKASSEMBLY\ANALY-MONITOR\PR-HEADLINE-CARCVOUT2012.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PS-SRV06\SMMTData\PPVL\TEAMS\ECONOMICS\UKASSEMBLY\ANALY-MONITOR\PR-HEADLINE-CARCVOUT2012.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PS-SRV06\SMMTData\PPVL\TEAMS\ECONOMICS\UKASSEMBLY\ENGINES\UK%20engine%20production%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plotArea>
      <c:layout>
        <c:manualLayout>
          <c:layoutTarget val="inner"/>
          <c:xMode val="edge"/>
          <c:yMode val="edge"/>
          <c:x val="0.11114133470552591"/>
          <c:y val="0.13010425780110821"/>
          <c:w val="0.77321651641383904"/>
          <c:h val="0.74479386391532065"/>
        </c:manualLayout>
      </c:layout>
      <c:lineChart>
        <c:grouping val="standard"/>
        <c:ser>
          <c:idx val="0"/>
          <c:order val="0"/>
          <c:tx>
            <c:strRef>
              <c:f>'PR-12MONTH-charts'!$B$4</c:f>
              <c:strCache>
                <c:ptCount val="1"/>
                <c:pt idx="0">
                  <c:v>Total Car</c:v>
                </c:pt>
              </c:strCache>
            </c:strRef>
          </c:tx>
          <c:spPr>
            <a:ln>
              <a:solidFill>
                <a:schemeClr val="tx2">
                  <a:lumMod val="75000"/>
                </a:schemeClr>
              </a:solidFill>
            </a:ln>
          </c:spPr>
          <c:marker>
            <c:symbol val="none"/>
          </c:marker>
          <c:cat>
            <c:numRef>
              <c:f>'PR-12MONTH-charts'!$C$3:$BV$3</c:f>
              <c:numCache>
                <c:formatCode>General</c:formatCode>
                <c:ptCount val="72"/>
                <c:pt idx="0">
                  <c:v>2008</c:v>
                </c:pt>
                <c:pt idx="12">
                  <c:v>2009</c:v>
                </c:pt>
                <c:pt idx="24">
                  <c:v>2010</c:v>
                </c:pt>
                <c:pt idx="36">
                  <c:v>2011</c:v>
                </c:pt>
                <c:pt idx="48">
                  <c:v>2012</c:v>
                </c:pt>
                <c:pt idx="60">
                  <c:v>2013</c:v>
                </c:pt>
              </c:numCache>
            </c:numRef>
          </c:cat>
          <c:val>
            <c:numRef>
              <c:f>'PR-12MONTH-charts'!$C$4:$BV$4</c:f>
              <c:numCache>
                <c:formatCode>General</c:formatCode>
                <c:ptCount val="72"/>
                <c:pt idx="0">
                  <c:v>1559.021</c:v>
                </c:pt>
                <c:pt idx="1">
                  <c:v>1589.1929999999998</c:v>
                </c:pt>
                <c:pt idx="2">
                  <c:v>1578.221</c:v>
                </c:pt>
                <c:pt idx="3">
                  <c:v>1610.53</c:v>
                </c:pt>
                <c:pt idx="4">
                  <c:v>1600.8989999999999</c:v>
                </c:pt>
                <c:pt idx="5">
                  <c:v>1594.8639999999998</c:v>
                </c:pt>
                <c:pt idx="6">
                  <c:v>1596.2080000000001</c:v>
                </c:pt>
                <c:pt idx="7">
                  <c:v>1578.866</c:v>
                </c:pt>
                <c:pt idx="8">
                  <c:v>1582.1889999999999</c:v>
                </c:pt>
                <c:pt idx="9">
                  <c:v>1544.019</c:v>
                </c:pt>
                <c:pt idx="10">
                  <c:v>1495.3869999999999</c:v>
                </c:pt>
                <c:pt idx="11">
                  <c:v>1446.6189999999999</c:v>
                </c:pt>
                <c:pt idx="12">
                  <c:v>1359.3789999999999</c:v>
                </c:pt>
                <c:pt idx="13">
                  <c:v>1273.3329999999999</c:v>
                </c:pt>
                <c:pt idx="14">
                  <c:v>1208.098</c:v>
                </c:pt>
                <c:pt idx="15">
                  <c:v>1123.6299999999999</c:v>
                </c:pt>
                <c:pt idx="16">
                  <c:v>1072.518</c:v>
                </c:pt>
                <c:pt idx="17">
                  <c:v>1032.768</c:v>
                </c:pt>
                <c:pt idx="18">
                  <c:v>1009.3649999999974</c:v>
                </c:pt>
                <c:pt idx="19">
                  <c:v>983.24400000000003</c:v>
                </c:pt>
                <c:pt idx="20">
                  <c:v>960.25400000000002</c:v>
                </c:pt>
                <c:pt idx="21">
                  <c:v>952.62300000000005</c:v>
                </c:pt>
                <c:pt idx="22">
                  <c:v>967.96699999999748</c:v>
                </c:pt>
                <c:pt idx="23">
                  <c:v>999.45999999999947</c:v>
                </c:pt>
                <c:pt idx="24">
                  <c:v>1039.2460000000001</c:v>
                </c:pt>
                <c:pt idx="25">
                  <c:v>1076.7239999999999</c:v>
                </c:pt>
                <c:pt idx="26">
                  <c:v>1132.5170000000001</c:v>
                </c:pt>
                <c:pt idx="27">
                  <c:v>1162.549</c:v>
                </c:pt>
                <c:pt idx="28">
                  <c:v>1199.1599999999999</c:v>
                </c:pt>
                <c:pt idx="29">
                  <c:v>1225.3799999999999</c:v>
                </c:pt>
                <c:pt idx="30">
                  <c:v>1214.5050000000001</c:v>
                </c:pt>
                <c:pt idx="31">
                  <c:v>1235.6499999999999</c:v>
                </c:pt>
                <c:pt idx="32">
                  <c:v>1242.5819999999999</c:v>
                </c:pt>
                <c:pt idx="33">
                  <c:v>1248.953</c:v>
                </c:pt>
                <c:pt idx="34">
                  <c:v>1261.4349999999999</c:v>
                </c:pt>
                <c:pt idx="35">
                  <c:v>1270.444</c:v>
                </c:pt>
                <c:pt idx="36">
                  <c:v>1279.4490000000001</c:v>
                </c:pt>
                <c:pt idx="37">
                  <c:v>1294.1769999999999</c:v>
                </c:pt>
                <c:pt idx="38">
                  <c:v>1311.607</c:v>
                </c:pt>
                <c:pt idx="39">
                  <c:v>1299.6229999999998</c:v>
                </c:pt>
                <c:pt idx="40">
                  <c:v>1294.538</c:v>
                </c:pt>
                <c:pt idx="41">
                  <c:v>1296.636</c:v>
                </c:pt>
                <c:pt idx="42">
                  <c:v>1297.9290000000001</c:v>
                </c:pt>
                <c:pt idx="43">
                  <c:v>1306.297</c:v>
                </c:pt>
                <c:pt idx="44">
                  <c:v>1315.8</c:v>
                </c:pt>
                <c:pt idx="45">
                  <c:v>1331.6559999999999</c:v>
                </c:pt>
                <c:pt idx="46">
                  <c:v>1342.337</c:v>
                </c:pt>
                <c:pt idx="47">
                  <c:v>1343.81</c:v>
                </c:pt>
                <c:pt idx="48">
                  <c:v>1361.165</c:v>
                </c:pt>
                <c:pt idx="49">
                  <c:v>1387.665</c:v>
                </c:pt>
                <c:pt idx="50">
                  <c:v>1388.0050000000001</c:v>
                </c:pt>
                <c:pt idx="51">
                  <c:v>1396.0509999999999</c:v>
                </c:pt>
                <c:pt idx="52">
                  <c:v>1437.9170000000001</c:v>
                </c:pt>
                <c:pt idx="53">
                  <c:v>1437.0739999999998</c:v>
                </c:pt>
                <c:pt idx="54">
                  <c:v>1459.3709999999999</c:v>
                </c:pt>
                <c:pt idx="55">
                  <c:v>1451.6979999999999</c:v>
                </c:pt>
                <c:pt idx="56">
                  <c:v>1443.876</c:v>
                </c:pt>
                <c:pt idx="57">
                  <c:v>1452.25</c:v>
                </c:pt>
                <c:pt idx="58">
                  <c:v>1458.9639999999999</c:v>
                </c:pt>
                <c:pt idx="59">
                  <c:v>1464.9060000000011</c:v>
                </c:pt>
                <c:pt idx="60">
                  <c:v>1466.4050000000011</c:v>
                </c:pt>
              </c:numCache>
            </c:numRef>
          </c:val>
        </c:ser>
        <c:ser>
          <c:idx val="1"/>
          <c:order val="1"/>
          <c:tx>
            <c:strRef>
              <c:f>'PR-12MONTH-charts'!$B$5</c:f>
              <c:strCache>
                <c:ptCount val="1"/>
                <c:pt idx="0">
                  <c:v>Car Exports</c:v>
                </c:pt>
              </c:strCache>
            </c:strRef>
          </c:tx>
          <c:spPr>
            <a:ln>
              <a:solidFill>
                <a:schemeClr val="tx2">
                  <a:lumMod val="40000"/>
                  <a:lumOff val="60000"/>
                </a:schemeClr>
              </a:solidFill>
            </a:ln>
          </c:spPr>
          <c:marker>
            <c:symbol val="none"/>
          </c:marker>
          <c:cat>
            <c:numRef>
              <c:f>'PR-12MONTH-charts'!$C$3:$BV$3</c:f>
              <c:numCache>
                <c:formatCode>General</c:formatCode>
                <c:ptCount val="72"/>
                <c:pt idx="0">
                  <c:v>2008</c:v>
                </c:pt>
                <c:pt idx="12">
                  <c:v>2009</c:v>
                </c:pt>
                <c:pt idx="24">
                  <c:v>2010</c:v>
                </c:pt>
                <c:pt idx="36">
                  <c:v>2011</c:v>
                </c:pt>
                <c:pt idx="48">
                  <c:v>2012</c:v>
                </c:pt>
                <c:pt idx="60">
                  <c:v>2013</c:v>
                </c:pt>
              </c:numCache>
            </c:numRef>
          </c:cat>
          <c:val>
            <c:numRef>
              <c:f>'PR-12MONTH-charts'!$C$5:$BV$5</c:f>
              <c:numCache>
                <c:formatCode>General</c:formatCode>
                <c:ptCount val="72"/>
                <c:pt idx="0">
                  <c:v>1202.5839999999998</c:v>
                </c:pt>
                <c:pt idx="1">
                  <c:v>1228.625</c:v>
                </c:pt>
                <c:pt idx="2">
                  <c:v>1226.4100000000001</c:v>
                </c:pt>
                <c:pt idx="3">
                  <c:v>1252.585</c:v>
                </c:pt>
                <c:pt idx="4">
                  <c:v>1242.4749999999999</c:v>
                </c:pt>
                <c:pt idx="5">
                  <c:v>1234.6959999999999</c:v>
                </c:pt>
                <c:pt idx="6">
                  <c:v>1234.9680000000001</c:v>
                </c:pt>
                <c:pt idx="7">
                  <c:v>1225.3579999999999</c:v>
                </c:pt>
                <c:pt idx="8">
                  <c:v>1231.2439999999999</c:v>
                </c:pt>
                <c:pt idx="9">
                  <c:v>1201.3009999999999</c:v>
                </c:pt>
                <c:pt idx="10">
                  <c:v>1165.7170000000001</c:v>
                </c:pt>
                <c:pt idx="11">
                  <c:v>1128.586</c:v>
                </c:pt>
                <c:pt idx="12">
                  <c:v>1067.8409999999999</c:v>
                </c:pt>
                <c:pt idx="13">
                  <c:v>1003.4599999999994</c:v>
                </c:pt>
                <c:pt idx="14">
                  <c:v>951.97</c:v>
                </c:pt>
                <c:pt idx="15">
                  <c:v>887.52599999999939</c:v>
                </c:pt>
                <c:pt idx="16">
                  <c:v>848.56499999999949</c:v>
                </c:pt>
                <c:pt idx="17">
                  <c:v>819.971</c:v>
                </c:pt>
                <c:pt idx="18">
                  <c:v>801.24800000000005</c:v>
                </c:pt>
                <c:pt idx="19">
                  <c:v>778.755</c:v>
                </c:pt>
                <c:pt idx="20">
                  <c:v>743.75099999999998</c:v>
                </c:pt>
                <c:pt idx="21">
                  <c:v>737.03599999999949</c:v>
                </c:pt>
                <c:pt idx="22">
                  <c:v>742.12099999999998</c:v>
                </c:pt>
                <c:pt idx="23">
                  <c:v>762.23400000000004</c:v>
                </c:pt>
                <c:pt idx="24">
                  <c:v>784.01499999999999</c:v>
                </c:pt>
                <c:pt idx="25">
                  <c:v>807.88</c:v>
                </c:pt>
                <c:pt idx="26">
                  <c:v>846.79900000000055</c:v>
                </c:pt>
                <c:pt idx="27">
                  <c:v>862.95899999999949</c:v>
                </c:pt>
                <c:pt idx="28">
                  <c:v>883.37900000000002</c:v>
                </c:pt>
                <c:pt idx="29">
                  <c:v>895.63599999999997</c:v>
                </c:pt>
                <c:pt idx="30">
                  <c:v>886.52199999999948</c:v>
                </c:pt>
                <c:pt idx="31">
                  <c:v>905.96299999999746</c:v>
                </c:pt>
                <c:pt idx="32">
                  <c:v>922.69299999999998</c:v>
                </c:pt>
                <c:pt idx="33">
                  <c:v>928.33599999999797</c:v>
                </c:pt>
                <c:pt idx="34">
                  <c:v>946.99900000000002</c:v>
                </c:pt>
                <c:pt idx="35">
                  <c:v>961.42</c:v>
                </c:pt>
                <c:pt idx="36">
                  <c:v>982.45899999999949</c:v>
                </c:pt>
                <c:pt idx="37">
                  <c:v>1005.0119999999994</c:v>
                </c:pt>
                <c:pt idx="38">
                  <c:v>1029.3819999999998</c:v>
                </c:pt>
                <c:pt idx="39">
                  <c:v>1030.5829999999999</c:v>
                </c:pt>
                <c:pt idx="40">
                  <c:v>1038.749</c:v>
                </c:pt>
                <c:pt idx="41">
                  <c:v>1051.087</c:v>
                </c:pt>
                <c:pt idx="42">
                  <c:v>1062.3429999999998</c:v>
                </c:pt>
                <c:pt idx="43">
                  <c:v>1072.626</c:v>
                </c:pt>
                <c:pt idx="44">
                  <c:v>1092.9190000000001</c:v>
                </c:pt>
                <c:pt idx="45">
                  <c:v>1111.2160000000001</c:v>
                </c:pt>
                <c:pt idx="46">
                  <c:v>1124.2280000000001</c:v>
                </c:pt>
                <c:pt idx="47">
                  <c:v>1124.6759999999999</c:v>
                </c:pt>
                <c:pt idx="48">
                  <c:v>1136.7739999999999</c:v>
                </c:pt>
                <c:pt idx="49">
                  <c:v>1156.9939999999999</c:v>
                </c:pt>
                <c:pt idx="50">
                  <c:v>1154.95</c:v>
                </c:pt>
                <c:pt idx="51">
                  <c:v>1162.258</c:v>
                </c:pt>
                <c:pt idx="52">
                  <c:v>1199.8119999999999</c:v>
                </c:pt>
                <c:pt idx="53">
                  <c:v>1199.9050000000011</c:v>
                </c:pt>
                <c:pt idx="54">
                  <c:v>1217.319</c:v>
                </c:pt>
                <c:pt idx="55">
                  <c:v>1211.8429999999998</c:v>
                </c:pt>
                <c:pt idx="56">
                  <c:v>1201.8389999999999</c:v>
                </c:pt>
                <c:pt idx="57">
                  <c:v>1207.1309999999999</c:v>
                </c:pt>
                <c:pt idx="58">
                  <c:v>1208.587</c:v>
                </c:pt>
                <c:pt idx="59">
                  <c:v>1211.7660000000001</c:v>
                </c:pt>
                <c:pt idx="60">
                  <c:v>1207.6869999999999</c:v>
                </c:pt>
              </c:numCache>
            </c:numRef>
          </c:val>
        </c:ser>
        <c:marker val="1"/>
        <c:axId val="60467456"/>
        <c:axId val="64246528"/>
      </c:lineChart>
      <c:catAx>
        <c:axId val="60467456"/>
        <c:scaling>
          <c:orientation val="minMax"/>
        </c:scaling>
        <c:axPos val="b"/>
        <c:numFmt formatCode="General" sourceLinked="1"/>
        <c:tickLblPos val="nextTo"/>
        <c:txPr>
          <a:bodyPr rot="60000" vert="horz"/>
          <a:lstStyle/>
          <a:p>
            <a:pPr>
              <a:defRPr sz="1000" b="0" i="0" u="none" strike="noStrike" baseline="0">
                <a:solidFill>
                  <a:srgbClr val="000000"/>
                </a:solidFill>
                <a:latin typeface="Arial"/>
                <a:ea typeface="Arial"/>
                <a:cs typeface="Arial"/>
              </a:defRPr>
            </a:pPr>
            <a:endParaRPr lang="en-US"/>
          </a:p>
        </c:txPr>
        <c:crossAx val="64246528"/>
        <c:crosses val="autoZero"/>
        <c:auto val="1"/>
        <c:lblAlgn val="ctr"/>
        <c:lblOffset val="100"/>
        <c:tickMarkSkip val="12"/>
      </c:catAx>
      <c:valAx>
        <c:axId val="64246528"/>
        <c:scaling>
          <c:orientation val="minMax"/>
          <c:min val="600"/>
        </c:scaling>
        <c:axPos val="l"/>
        <c:majorGridlines/>
        <c:title>
          <c:tx>
            <c:rich>
              <a:bodyPr/>
              <a:lstStyle/>
              <a:p>
                <a:pPr>
                  <a:defRPr sz="1000" b="0" i="0" u="none" strike="noStrike" baseline="0">
                    <a:solidFill>
                      <a:srgbClr val="000000"/>
                    </a:solidFill>
                    <a:latin typeface="Arial"/>
                    <a:ea typeface="Arial"/>
                    <a:cs typeface="Arial"/>
                  </a:defRPr>
                </a:pPr>
                <a:r>
                  <a:rPr lang="en-GB"/>
                  <a:t>'000s</a:t>
                </a:r>
              </a:p>
            </c:rich>
          </c:tx>
          <c:layout/>
        </c:title>
        <c:numFmt formatCode="General" sourceLinked="1"/>
        <c:tickLblPos val="nextTo"/>
        <c:txPr>
          <a:bodyPr rot="0" vert="horz"/>
          <a:lstStyle/>
          <a:p>
            <a:pPr>
              <a:defRPr sz="1000" b="0" i="0" u="none" strike="noStrike" baseline="0">
                <a:solidFill>
                  <a:srgbClr val="000000"/>
                </a:solidFill>
                <a:latin typeface="Arial"/>
                <a:ea typeface="Arial"/>
                <a:cs typeface="Arial"/>
              </a:defRPr>
            </a:pPr>
            <a:endParaRPr lang="en-US"/>
          </a:p>
        </c:txPr>
        <c:crossAx val="60467456"/>
        <c:crosses val="autoZero"/>
        <c:crossBetween val="between"/>
      </c:valAx>
    </c:plotArea>
    <c:legend>
      <c:legendPos val="r"/>
      <c:layout>
        <c:manualLayout>
          <c:xMode val="edge"/>
          <c:yMode val="edge"/>
          <c:x val="4.6204769379026719E-2"/>
          <c:y val="1.7857173997583048E-2"/>
          <c:w val="0.93729675026025638"/>
          <c:h val="0.10000017438646502"/>
        </c:manualLayout>
      </c:layout>
      <c:txPr>
        <a:bodyPr/>
        <a:lstStyle/>
        <a:p>
          <a:pPr>
            <a:defRPr sz="1000" b="0" i="0" u="none" strike="noStrike" baseline="0">
              <a:solidFill>
                <a:srgbClr val="000000"/>
              </a:solidFill>
              <a:latin typeface="Arial"/>
              <a:ea typeface="Arial"/>
              <a:cs typeface="Arial"/>
            </a:defRPr>
          </a:pPr>
          <a:endParaRPr lang="en-US"/>
        </a:p>
      </c:txPr>
    </c:legend>
    <c:plotVisOnly val="1"/>
    <c:dispBlanksAs val="gap"/>
  </c:chart>
  <c:spPr>
    <a:ln>
      <a:noFill/>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plotArea>
      <c:layout>
        <c:manualLayout>
          <c:layoutTarget val="inner"/>
          <c:xMode val="edge"/>
          <c:yMode val="edge"/>
          <c:x val="9.609965758897128E-2"/>
          <c:y val="0.13010425780110821"/>
          <c:w val="0.84410845229820608"/>
          <c:h val="0.71952136191309424"/>
        </c:manualLayout>
      </c:layout>
      <c:lineChart>
        <c:grouping val="standard"/>
        <c:ser>
          <c:idx val="0"/>
          <c:order val="0"/>
          <c:tx>
            <c:strRef>
              <c:f>'PR-12MONTH-charts'!$B$9</c:f>
              <c:strCache>
                <c:ptCount val="1"/>
                <c:pt idx="0">
                  <c:v>Total CV</c:v>
                </c:pt>
              </c:strCache>
            </c:strRef>
          </c:tx>
          <c:spPr>
            <a:ln>
              <a:solidFill>
                <a:schemeClr val="tx2">
                  <a:lumMod val="75000"/>
                </a:schemeClr>
              </a:solidFill>
            </a:ln>
          </c:spPr>
          <c:marker>
            <c:symbol val="none"/>
          </c:marker>
          <c:cat>
            <c:numRef>
              <c:f>'PR-12MONTH-charts'!$C$8:$BV$8</c:f>
              <c:numCache>
                <c:formatCode>General</c:formatCode>
                <c:ptCount val="72"/>
                <c:pt idx="0">
                  <c:v>2008</c:v>
                </c:pt>
                <c:pt idx="12">
                  <c:v>2009</c:v>
                </c:pt>
                <c:pt idx="24">
                  <c:v>2010</c:v>
                </c:pt>
                <c:pt idx="36">
                  <c:v>2011</c:v>
                </c:pt>
                <c:pt idx="48">
                  <c:v>2012</c:v>
                </c:pt>
                <c:pt idx="60">
                  <c:v>2013</c:v>
                </c:pt>
              </c:numCache>
            </c:numRef>
          </c:cat>
          <c:val>
            <c:numRef>
              <c:f>'PR-12MONTH-charts'!$C$9:$BV$9</c:f>
              <c:numCache>
                <c:formatCode>General</c:formatCode>
                <c:ptCount val="72"/>
                <c:pt idx="0">
                  <c:v>216.93200000000004</c:v>
                </c:pt>
                <c:pt idx="1">
                  <c:v>220.09</c:v>
                </c:pt>
                <c:pt idx="2">
                  <c:v>218.60499999999999</c:v>
                </c:pt>
                <c:pt idx="3">
                  <c:v>224.066</c:v>
                </c:pt>
                <c:pt idx="4">
                  <c:v>224.81300000000002</c:v>
                </c:pt>
                <c:pt idx="5">
                  <c:v>227.24299999999999</c:v>
                </c:pt>
                <c:pt idx="6">
                  <c:v>234.255</c:v>
                </c:pt>
                <c:pt idx="7">
                  <c:v>230.57899999999998</c:v>
                </c:pt>
                <c:pt idx="8">
                  <c:v>231.30100000000004</c:v>
                </c:pt>
                <c:pt idx="9">
                  <c:v>222.191</c:v>
                </c:pt>
                <c:pt idx="10">
                  <c:v>211.12800000000001</c:v>
                </c:pt>
                <c:pt idx="11">
                  <c:v>202.89600000000004</c:v>
                </c:pt>
                <c:pt idx="12">
                  <c:v>190.40700000000001</c:v>
                </c:pt>
                <c:pt idx="13">
                  <c:v>175.62800000000001</c:v>
                </c:pt>
                <c:pt idx="14">
                  <c:v>164.89700000000047</c:v>
                </c:pt>
                <c:pt idx="15">
                  <c:v>150.56800000000001</c:v>
                </c:pt>
                <c:pt idx="16">
                  <c:v>137.55800000000065</c:v>
                </c:pt>
                <c:pt idx="17">
                  <c:v>124.563</c:v>
                </c:pt>
                <c:pt idx="18">
                  <c:v>112.142</c:v>
                </c:pt>
                <c:pt idx="19">
                  <c:v>107.607</c:v>
                </c:pt>
                <c:pt idx="20">
                  <c:v>96.647999999999996</c:v>
                </c:pt>
                <c:pt idx="21">
                  <c:v>91.477000000000004</c:v>
                </c:pt>
                <c:pt idx="22">
                  <c:v>89.697999999999993</c:v>
                </c:pt>
                <c:pt idx="23">
                  <c:v>90.678999999999988</c:v>
                </c:pt>
                <c:pt idx="24">
                  <c:v>91.483999999999995</c:v>
                </c:pt>
                <c:pt idx="25">
                  <c:v>95.84</c:v>
                </c:pt>
                <c:pt idx="26">
                  <c:v>100.812</c:v>
                </c:pt>
                <c:pt idx="27">
                  <c:v>103.93400000000022</c:v>
                </c:pt>
                <c:pt idx="28">
                  <c:v>109.98699999999999</c:v>
                </c:pt>
                <c:pt idx="29">
                  <c:v>112.111</c:v>
                </c:pt>
                <c:pt idx="30">
                  <c:v>113.232</c:v>
                </c:pt>
                <c:pt idx="31">
                  <c:v>114.29600000000002</c:v>
                </c:pt>
                <c:pt idx="32">
                  <c:v>115.91900000000012</c:v>
                </c:pt>
                <c:pt idx="33">
                  <c:v>119.65799999999999</c:v>
                </c:pt>
                <c:pt idx="34">
                  <c:v>121.60799999999999</c:v>
                </c:pt>
                <c:pt idx="35">
                  <c:v>123.01900000000002</c:v>
                </c:pt>
                <c:pt idx="36">
                  <c:v>123.83</c:v>
                </c:pt>
                <c:pt idx="37">
                  <c:v>123.527</c:v>
                </c:pt>
                <c:pt idx="38">
                  <c:v>122.748</c:v>
                </c:pt>
                <c:pt idx="39">
                  <c:v>120.604</c:v>
                </c:pt>
                <c:pt idx="40">
                  <c:v>120.06399999999999</c:v>
                </c:pt>
                <c:pt idx="41">
                  <c:v>119.833</c:v>
                </c:pt>
                <c:pt idx="42">
                  <c:v>119.26300000000002</c:v>
                </c:pt>
                <c:pt idx="43">
                  <c:v>119.81100000000002</c:v>
                </c:pt>
                <c:pt idx="44">
                  <c:v>120.518</c:v>
                </c:pt>
                <c:pt idx="45">
                  <c:v>120.181</c:v>
                </c:pt>
                <c:pt idx="46">
                  <c:v>120.425</c:v>
                </c:pt>
                <c:pt idx="47">
                  <c:v>120.18899999999998</c:v>
                </c:pt>
                <c:pt idx="48">
                  <c:v>120.066</c:v>
                </c:pt>
                <c:pt idx="49">
                  <c:v>119.798</c:v>
                </c:pt>
                <c:pt idx="50">
                  <c:v>117.40300000000002</c:v>
                </c:pt>
                <c:pt idx="51">
                  <c:v>117.68300000000001</c:v>
                </c:pt>
                <c:pt idx="52">
                  <c:v>116.923</c:v>
                </c:pt>
                <c:pt idx="53">
                  <c:v>114.86499999999999</c:v>
                </c:pt>
                <c:pt idx="54">
                  <c:v>114.742</c:v>
                </c:pt>
                <c:pt idx="55">
                  <c:v>115.91700000000033</c:v>
                </c:pt>
                <c:pt idx="56">
                  <c:v>113.47799999999999</c:v>
                </c:pt>
                <c:pt idx="57">
                  <c:v>114.04</c:v>
                </c:pt>
                <c:pt idx="58">
                  <c:v>113.634</c:v>
                </c:pt>
                <c:pt idx="59">
                  <c:v>112.039</c:v>
                </c:pt>
                <c:pt idx="60">
                  <c:v>110.01700000000002</c:v>
                </c:pt>
              </c:numCache>
            </c:numRef>
          </c:val>
        </c:ser>
        <c:ser>
          <c:idx val="1"/>
          <c:order val="1"/>
          <c:tx>
            <c:strRef>
              <c:f>'PR-12MONTH-charts'!$B$10</c:f>
              <c:strCache>
                <c:ptCount val="1"/>
                <c:pt idx="0">
                  <c:v>CV Exports</c:v>
                </c:pt>
              </c:strCache>
            </c:strRef>
          </c:tx>
          <c:spPr>
            <a:ln>
              <a:solidFill>
                <a:schemeClr val="tx2">
                  <a:lumMod val="40000"/>
                  <a:lumOff val="60000"/>
                </a:schemeClr>
              </a:solidFill>
            </a:ln>
          </c:spPr>
          <c:marker>
            <c:symbol val="none"/>
          </c:marker>
          <c:cat>
            <c:numRef>
              <c:f>'PR-12MONTH-charts'!$C$8:$BV$8</c:f>
              <c:numCache>
                <c:formatCode>General</c:formatCode>
                <c:ptCount val="72"/>
                <c:pt idx="0">
                  <c:v>2008</c:v>
                </c:pt>
                <c:pt idx="12">
                  <c:v>2009</c:v>
                </c:pt>
                <c:pt idx="24">
                  <c:v>2010</c:v>
                </c:pt>
                <c:pt idx="36">
                  <c:v>2011</c:v>
                </c:pt>
                <c:pt idx="48">
                  <c:v>2012</c:v>
                </c:pt>
                <c:pt idx="60">
                  <c:v>2013</c:v>
                </c:pt>
              </c:numCache>
            </c:numRef>
          </c:cat>
          <c:val>
            <c:numRef>
              <c:f>'PR-12MONTH-charts'!$C$10:$BV$10</c:f>
              <c:numCache>
                <c:formatCode>General</c:formatCode>
                <c:ptCount val="72"/>
                <c:pt idx="0">
                  <c:v>132.43900000000002</c:v>
                </c:pt>
                <c:pt idx="1">
                  <c:v>134.09800000000001</c:v>
                </c:pt>
                <c:pt idx="2">
                  <c:v>133.68700000000001</c:v>
                </c:pt>
                <c:pt idx="3">
                  <c:v>137.15700000000001</c:v>
                </c:pt>
                <c:pt idx="4">
                  <c:v>138.565</c:v>
                </c:pt>
                <c:pt idx="5">
                  <c:v>140.45400000000001</c:v>
                </c:pt>
                <c:pt idx="6">
                  <c:v>143.67099999999999</c:v>
                </c:pt>
                <c:pt idx="7">
                  <c:v>141.946</c:v>
                </c:pt>
                <c:pt idx="8">
                  <c:v>142.72899999999998</c:v>
                </c:pt>
                <c:pt idx="9">
                  <c:v>136.85100000000065</c:v>
                </c:pt>
                <c:pt idx="10">
                  <c:v>130.52600000000001</c:v>
                </c:pt>
                <c:pt idx="11">
                  <c:v>125.611</c:v>
                </c:pt>
                <c:pt idx="12">
                  <c:v>119.71899999999999</c:v>
                </c:pt>
                <c:pt idx="13">
                  <c:v>112.473</c:v>
                </c:pt>
                <c:pt idx="14">
                  <c:v>106.93700000000022</c:v>
                </c:pt>
                <c:pt idx="15">
                  <c:v>98.334000000000003</c:v>
                </c:pt>
                <c:pt idx="16">
                  <c:v>90.127999999999986</c:v>
                </c:pt>
                <c:pt idx="17">
                  <c:v>82.698999999999998</c:v>
                </c:pt>
                <c:pt idx="18">
                  <c:v>76.718000000000004</c:v>
                </c:pt>
                <c:pt idx="19">
                  <c:v>73.986999999999995</c:v>
                </c:pt>
                <c:pt idx="20">
                  <c:v>68.596999999999994</c:v>
                </c:pt>
                <c:pt idx="21">
                  <c:v>67.10499999999999</c:v>
                </c:pt>
                <c:pt idx="22">
                  <c:v>65.796000000000006</c:v>
                </c:pt>
                <c:pt idx="23">
                  <c:v>66.453999999999994</c:v>
                </c:pt>
                <c:pt idx="24">
                  <c:v>67.141999999999996</c:v>
                </c:pt>
                <c:pt idx="25">
                  <c:v>70.181999999999988</c:v>
                </c:pt>
                <c:pt idx="26">
                  <c:v>72.653999999999982</c:v>
                </c:pt>
                <c:pt idx="27">
                  <c:v>73.804999999999993</c:v>
                </c:pt>
                <c:pt idx="28">
                  <c:v>77.438000000000002</c:v>
                </c:pt>
                <c:pt idx="29">
                  <c:v>78.872999999999948</c:v>
                </c:pt>
                <c:pt idx="30">
                  <c:v>79.634999999999991</c:v>
                </c:pt>
                <c:pt idx="31">
                  <c:v>80.062000000000012</c:v>
                </c:pt>
                <c:pt idx="32">
                  <c:v>81.004999999999995</c:v>
                </c:pt>
                <c:pt idx="33">
                  <c:v>82.897999999999996</c:v>
                </c:pt>
                <c:pt idx="34">
                  <c:v>83.736000000000004</c:v>
                </c:pt>
                <c:pt idx="35">
                  <c:v>85.546999999999997</c:v>
                </c:pt>
                <c:pt idx="36">
                  <c:v>84.194999999999993</c:v>
                </c:pt>
                <c:pt idx="37">
                  <c:v>83.001000000000005</c:v>
                </c:pt>
                <c:pt idx="38">
                  <c:v>82.183999999999983</c:v>
                </c:pt>
                <c:pt idx="39">
                  <c:v>80.667999999999992</c:v>
                </c:pt>
                <c:pt idx="40">
                  <c:v>79.090999999999994</c:v>
                </c:pt>
                <c:pt idx="41">
                  <c:v>76.480999999999995</c:v>
                </c:pt>
                <c:pt idx="42">
                  <c:v>75.248000000000005</c:v>
                </c:pt>
                <c:pt idx="43">
                  <c:v>75.232000000000014</c:v>
                </c:pt>
                <c:pt idx="44">
                  <c:v>74.678999999999988</c:v>
                </c:pt>
                <c:pt idx="45">
                  <c:v>72.906999999999996</c:v>
                </c:pt>
                <c:pt idx="46">
                  <c:v>71.468999999999994</c:v>
                </c:pt>
                <c:pt idx="47">
                  <c:v>69.375999999999948</c:v>
                </c:pt>
                <c:pt idx="48">
                  <c:v>69.414000000000357</c:v>
                </c:pt>
                <c:pt idx="49">
                  <c:v>68.712999999999994</c:v>
                </c:pt>
                <c:pt idx="50">
                  <c:v>66.611000000000004</c:v>
                </c:pt>
                <c:pt idx="51">
                  <c:v>67.027000000000001</c:v>
                </c:pt>
                <c:pt idx="52">
                  <c:v>67.058999999999983</c:v>
                </c:pt>
                <c:pt idx="53">
                  <c:v>67.63</c:v>
                </c:pt>
                <c:pt idx="54">
                  <c:v>66.906000000000006</c:v>
                </c:pt>
                <c:pt idx="55">
                  <c:v>67.298000000000002</c:v>
                </c:pt>
                <c:pt idx="56">
                  <c:v>65.501999999999995</c:v>
                </c:pt>
                <c:pt idx="57">
                  <c:v>65.566000000000003</c:v>
                </c:pt>
                <c:pt idx="58">
                  <c:v>65.024000000000001</c:v>
                </c:pt>
                <c:pt idx="59">
                  <c:v>63.733000000000011</c:v>
                </c:pt>
                <c:pt idx="60">
                  <c:v>61.580999999999996</c:v>
                </c:pt>
              </c:numCache>
            </c:numRef>
          </c:val>
        </c:ser>
        <c:marker val="1"/>
        <c:axId val="58003456"/>
        <c:axId val="58004992"/>
      </c:lineChart>
      <c:catAx>
        <c:axId val="58003456"/>
        <c:scaling>
          <c:orientation val="minMax"/>
        </c:scaling>
        <c:axPos val="b"/>
        <c:numFmt formatCode="General" sourceLinked="1"/>
        <c:tickLblPos val="nextTo"/>
        <c:txPr>
          <a:bodyPr rot="60000" vert="horz"/>
          <a:lstStyle/>
          <a:p>
            <a:pPr>
              <a:defRPr sz="1000" b="0" i="0" u="none" strike="noStrike" baseline="0">
                <a:solidFill>
                  <a:srgbClr val="000000"/>
                </a:solidFill>
                <a:latin typeface="Arial"/>
                <a:ea typeface="Arial"/>
                <a:cs typeface="Arial"/>
              </a:defRPr>
            </a:pPr>
            <a:endParaRPr lang="en-US"/>
          </a:p>
        </c:txPr>
        <c:crossAx val="58004992"/>
        <c:crosses val="autoZero"/>
        <c:auto val="1"/>
        <c:lblAlgn val="ctr"/>
        <c:lblOffset val="100"/>
        <c:tickMarkSkip val="12"/>
      </c:catAx>
      <c:valAx>
        <c:axId val="58004992"/>
        <c:scaling>
          <c:orientation val="minMax"/>
          <c:max val="250"/>
          <c:min val="50"/>
        </c:scaling>
        <c:axPos val="l"/>
        <c:majorGridlines/>
        <c:title>
          <c:tx>
            <c:rich>
              <a:bodyPr/>
              <a:lstStyle/>
              <a:p>
                <a:pPr>
                  <a:defRPr sz="1000" b="0" i="0" u="none" strike="noStrike" baseline="0">
                    <a:solidFill>
                      <a:srgbClr val="000000"/>
                    </a:solidFill>
                    <a:latin typeface="Arial"/>
                    <a:ea typeface="Arial"/>
                    <a:cs typeface="Arial"/>
                  </a:defRPr>
                </a:pPr>
                <a:r>
                  <a:rPr lang="en-GB"/>
                  <a:t>'000s</a:t>
                </a:r>
              </a:p>
            </c:rich>
          </c:tx>
          <c:layout/>
        </c:title>
        <c:numFmt formatCode="General" sourceLinked="1"/>
        <c:tickLblPos val="nextTo"/>
        <c:txPr>
          <a:bodyPr rot="0" vert="horz"/>
          <a:lstStyle/>
          <a:p>
            <a:pPr>
              <a:defRPr sz="1000" b="0" i="0" u="none" strike="noStrike" baseline="0">
                <a:solidFill>
                  <a:srgbClr val="000000"/>
                </a:solidFill>
                <a:latin typeface="Arial"/>
                <a:ea typeface="Arial"/>
                <a:cs typeface="Arial"/>
              </a:defRPr>
            </a:pPr>
            <a:endParaRPr lang="en-US"/>
          </a:p>
        </c:txPr>
        <c:crossAx val="58003456"/>
        <c:crosses val="autoZero"/>
        <c:crossBetween val="between"/>
        <c:majorUnit val="50"/>
      </c:valAx>
    </c:plotArea>
    <c:legend>
      <c:legendPos val="r"/>
      <c:layout>
        <c:manualLayout>
          <c:xMode val="edge"/>
          <c:yMode val="edge"/>
          <c:x val="4.8110127087786884E-2"/>
          <c:y val="2.8571478396132787E-2"/>
          <c:w val="0.93814747821184463"/>
          <c:h val="0.10000017438646502"/>
        </c:manualLayout>
      </c:layout>
      <c:txPr>
        <a:bodyPr/>
        <a:lstStyle/>
        <a:p>
          <a:pPr>
            <a:defRPr sz="1000" b="0" i="0" u="none" strike="noStrike" baseline="0">
              <a:solidFill>
                <a:srgbClr val="000000"/>
              </a:solidFill>
              <a:latin typeface="Arial"/>
              <a:ea typeface="Arial"/>
              <a:cs typeface="Arial"/>
            </a:defRPr>
          </a:pPr>
          <a:endParaRPr lang="en-US"/>
        </a:p>
      </c:txPr>
    </c:legend>
    <c:plotVisOnly val="1"/>
    <c:dispBlanksAs val="gap"/>
  </c:chart>
  <c:spPr>
    <a:ln>
      <a:noFill/>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GB"/>
  <c:chart>
    <c:plotArea>
      <c:layout>
        <c:manualLayout>
          <c:layoutTarget val="inner"/>
          <c:xMode val="edge"/>
          <c:yMode val="edge"/>
          <c:x val="9.9362907269638395E-2"/>
          <c:y val="9.7696850393700865E-2"/>
          <c:w val="0.85841859520711261"/>
          <c:h val="0.78632327209098862"/>
        </c:manualLayout>
      </c:layout>
      <c:lineChart>
        <c:grouping val="standard"/>
        <c:ser>
          <c:idx val="0"/>
          <c:order val="0"/>
          <c:tx>
            <c:strRef>
              <c:f>chart!$B$2</c:f>
              <c:strCache>
                <c:ptCount val="1"/>
                <c:pt idx="0">
                  <c:v>Total</c:v>
                </c:pt>
              </c:strCache>
            </c:strRef>
          </c:tx>
          <c:spPr>
            <a:ln w="38100">
              <a:solidFill>
                <a:srgbClr val="0D2255"/>
              </a:solidFill>
            </a:ln>
          </c:spPr>
          <c:marker>
            <c:symbol val="none"/>
          </c:marker>
          <c:cat>
            <c:strRef>
              <c:f>chart!$C$1:$AX$1</c:f>
              <c:strCache>
                <c:ptCount val="48"/>
                <c:pt idx="0">
                  <c:v>2010</c:v>
                </c:pt>
                <c:pt idx="1">
                  <c:v>F</c:v>
                </c:pt>
                <c:pt idx="2">
                  <c:v>M</c:v>
                </c:pt>
                <c:pt idx="3">
                  <c:v>A</c:v>
                </c:pt>
                <c:pt idx="4">
                  <c:v>M</c:v>
                </c:pt>
                <c:pt idx="5">
                  <c:v>J</c:v>
                </c:pt>
                <c:pt idx="6">
                  <c:v>J</c:v>
                </c:pt>
                <c:pt idx="7">
                  <c:v>A</c:v>
                </c:pt>
                <c:pt idx="8">
                  <c:v>S</c:v>
                </c:pt>
                <c:pt idx="9">
                  <c:v>O</c:v>
                </c:pt>
                <c:pt idx="10">
                  <c:v>N</c:v>
                </c:pt>
                <c:pt idx="11">
                  <c:v>D</c:v>
                </c:pt>
                <c:pt idx="12">
                  <c:v>2011</c:v>
                </c:pt>
                <c:pt idx="13">
                  <c:v>F</c:v>
                </c:pt>
                <c:pt idx="14">
                  <c:v>M</c:v>
                </c:pt>
                <c:pt idx="15">
                  <c:v>A</c:v>
                </c:pt>
                <c:pt idx="16">
                  <c:v>M</c:v>
                </c:pt>
                <c:pt idx="17">
                  <c:v>J</c:v>
                </c:pt>
                <c:pt idx="18">
                  <c:v>J</c:v>
                </c:pt>
                <c:pt idx="19">
                  <c:v>A</c:v>
                </c:pt>
                <c:pt idx="20">
                  <c:v>S</c:v>
                </c:pt>
                <c:pt idx="21">
                  <c:v>O</c:v>
                </c:pt>
                <c:pt idx="22">
                  <c:v>N</c:v>
                </c:pt>
                <c:pt idx="23">
                  <c:v>D</c:v>
                </c:pt>
                <c:pt idx="24">
                  <c:v>2012</c:v>
                </c:pt>
                <c:pt idx="25">
                  <c:v>F</c:v>
                </c:pt>
                <c:pt idx="26">
                  <c:v>M</c:v>
                </c:pt>
                <c:pt idx="27">
                  <c:v>A</c:v>
                </c:pt>
                <c:pt idx="28">
                  <c:v>M</c:v>
                </c:pt>
                <c:pt idx="29">
                  <c:v>J</c:v>
                </c:pt>
                <c:pt idx="30">
                  <c:v>J</c:v>
                </c:pt>
                <c:pt idx="31">
                  <c:v>A</c:v>
                </c:pt>
                <c:pt idx="32">
                  <c:v>S</c:v>
                </c:pt>
                <c:pt idx="33">
                  <c:v>O</c:v>
                </c:pt>
                <c:pt idx="34">
                  <c:v>N</c:v>
                </c:pt>
                <c:pt idx="35">
                  <c:v>D</c:v>
                </c:pt>
                <c:pt idx="36">
                  <c:v>2013</c:v>
                </c:pt>
                <c:pt idx="37">
                  <c:v>F</c:v>
                </c:pt>
                <c:pt idx="38">
                  <c:v>M</c:v>
                </c:pt>
                <c:pt idx="39">
                  <c:v>A</c:v>
                </c:pt>
                <c:pt idx="40">
                  <c:v>M</c:v>
                </c:pt>
                <c:pt idx="41">
                  <c:v>J</c:v>
                </c:pt>
                <c:pt idx="42">
                  <c:v>J</c:v>
                </c:pt>
                <c:pt idx="43">
                  <c:v>A</c:v>
                </c:pt>
                <c:pt idx="44">
                  <c:v>S</c:v>
                </c:pt>
                <c:pt idx="45">
                  <c:v>O</c:v>
                </c:pt>
                <c:pt idx="46">
                  <c:v>N</c:v>
                </c:pt>
                <c:pt idx="47">
                  <c:v>D</c:v>
                </c:pt>
              </c:strCache>
            </c:strRef>
          </c:cat>
          <c:val>
            <c:numRef>
              <c:f>chart!$C$2:$AX$2</c:f>
              <c:numCache>
                <c:formatCode>#,##0.00</c:formatCode>
                <c:ptCount val="48"/>
                <c:pt idx="0">
                  <c:v>2.0936689999999984</c:v>
                </c:pt>
                <c:pt idx="1">
                  <c:v>2.1673529999999999</c:v>
                </c:pt>
                <c:pt idx="2">
                  <c:v>2.2385760000000001</c:v>
                </c:pt>
                <c:pt idx="3">
                  <c:v>2.2937710000000013</c:v>
                </c:pt>
                <c:pt idx="4">
                  <c:v>2.3481730000000001</c:v>
                </c:pt>
                <c:pt idx="5">
                  <c:v>2.3845499999999986</c:v>
                </c:pt>
                <c:pt idx="6">
                  <c:v>2.3782029999999983</c:v>
                </c:pt>
                <c:pt idx="7">
                  <c:v>2.3936139999999986</c:v>
                </c:pt>
                <c:pt idx="8">
                  <c:v>2.3966309999999988</c:v>
                </c:pt>
                <c:pt idx="9">
                  <c:v>2.3848429999999983</c:v>
                </c:pt>
                <c:pt idx="10">
                  <c:v>2.388887</c:v>
                </c:pt>
                <c:pt idx="11">
                  <c:v>2.386717</c:v>
                </c:pt>
                <c:pt idx="12">
                  <c:v>2.4098589999999978</c:v>
                </c:pt>
                <c:pt idx="13">
                  <c:v>2.4301189999999986</c:v>
                </c:pt>
                <c:pt idx="14">
                  <c:v>2.44537</c:v>
                </c:pt>
                <c:pt idx="15">
                  <c:v>2.4359329999999986</c:v>
                </c:pt>
                <c:pt idx="16">
                  <c:v>2.4441280000000001</c:v>
                </c:pt>
                <c:pt idx="17">
                  <c:v>2.445913</c:v>
                </c:pt>
                <c:pt idx="18">
                  <c:v>2.44516</c:v>
                </c:pt>
                <c:pt idx="19">
                  <c:v>2.4618569999999989</c:v>
                </c:pt>
                <c:pt idx="20">
                  <c:v>2.4769179999999986</c:v>
                </c:pt>
                <c:pt idx="21">
                  <c:v>2.5022799999999985</c:v>
                </c:pt>
                <c:pt idx="22">
                  <c:v>2.5061089999999986</c:v>
                </c:pt>
                <c:pt idx="23">
                  <c:v>2.504054</c:v>
                </c:pt>
                <c:pt idx="24">
                  <c:v>2.5191719999999997</c:v>
                </c:pt>
                <c:pt idx="25">
                  <c:v>2.5322879999999985</c:v>
                </c:pt>
                <c:pt idx="26">
                  <c:v>2.5165689999999983</c:v>
                </c:pt>
                <c:pt idx="27">
                  <c:v>2.5188459999999973</c:v>
                </c:pt>
                <c:pt idx="28">
                  <c:v>2.5475650000000001</c:v>
                </c:pt>
                <c:pt idx="29">
                  <c:v>2.5113129999999986</c:v>
                </c:pt>
                <c:pt idx="30">
                  <c:v>2.5116759999999982</c:v>
                </c:pt>
                <c:pt idx="31">
                  <c:v>2.5281989999999999</c:v>
                </c:pt>
                <c:pt idx="32">
                  <c:v>2.4969809999999986</c:v>
                </c:pt>
                <c:pt idx="33">
                  <c:v>2.4997439999999989</c:v>
                </c:pt>
                <c:pt idx="34">
                  <c:v>2.4965789999999983</c:v>
                </c:pt>
                <c:pt idx="35">
                  <c:v>2.495371</c:v>
                </c:pt>
                <c:pt idx="36">
                  <c:v>2.483603</c:v>
                </c:pt>
              </c:numCache>
            </c:numRef>
          </c:val>
        </c:ser>
        <c:ser>
          <c:idx val="1"/>
          <c:order val="1"/>
          <c:tx>
            <c:strRef>
              <c:f>chart!$B$3</c:f>
              <c:strCache>
                <c:ptCount val="1"/>
                <c:pt idx="0">
                  <c:v>Export</c:v>
                </c:pt>
              </c:strCache>
            </c:strRef>
          </c:tx>
          <c:spPr>
            <a:ln w="25400">
              <a:solidFill>
                <a:srgbClr val="8EB4E3"/>
              </a:solidFill>
            </a:ln>
          </c:spPr>
          <c:marker>
            <c:symbol val="none"/>
          </c:marker>
          <c:cat>
            <c:strRef>
              <c:f>chart!$C$1:$AX$1</c:f>
              <c:strCache>
                <c:ptCount val="48"/>
                <c:pt idx="0">
                  <c:v>2010</c:v>
                </c:pt>
                <c:pt idx="1">
                  <c:v>F</c:v>
                </c:pt>
                <c:pt idx="2">
                  <c:v>M</c:v>
                </c:pt>
                <c:pt idx="3">
                  <c:v>A</c:v>
                </c:pt>
                <c:pt idx="4">
                  <c:v>M</c:v>
                </c:pt>
                <c:pt idx="5">
                  <c:v>J</c:v>
                </c:pt>
                <c:pt idx="6">
                  <c:v>J</c:v>
                </c:pt>
                <c:pt idx="7">
                  <c:v>A</c:v>
                </c:pt>
                <c:pt idx="8">
                  <c:v>S</c:v>
                </c:pt>
                <c:pt idx="9">
                  <c:v>O</c:v>
                </c:pt>
                <c:pt idx="10">
                  <c:v>N</c:v>
                </c:pt>
                <c:pt idx="11">
                  <c:v>D</c:v>
                </c:pt>
                <c:pt idx="12">
                  <c:v>2011</c:v>
                </c:pt>
                <c:pt idx="13">
                  <c:v>F</c:v>
                </c:pt>
                <c:pt idx="14">
                  <c:v>M</c:v>
                </c:pt>
                <c:pt idx="15">
                  <c:v>A</c:v>
                </c:pt>
                <c:pt idx="16">
                  <c:v>M</c:v>
                </c:pt>
                <c:pt idx="17">
                  <c:v>J</c:v>
                </c:pt>
                <c:pt idx="18">
                  <c:v>J</c:v>
                </c:pt>
                <c:pt idx="19">
                  <c:v>A</c:v>
                </c:pt>
                <c:pt idx="20">
                  <c:v>S</c:v>
                </c:pt>
                <c:pt idx="21">
                  <c:v>O</c:v>
                </c:pt>
                <c:pt idx="22">
                  <c:v>N</c:v>
                </c:pt>
                <c:pt idx="23">
                  <c:v>D</c:v>
                </c:pt>
                <c:pt idx="24">
                  <c:v>2012</c:v>
                </c:pt>
                <c:pt idx="25">
                  <c:v>F</c:v>
                </c:pt>
                <c:pt idx="26">
                  <c:v>M</c:v>
                </c:pt>
                <c:pt idx="27">
                  <c:v>A</c:v>
                </c:pt>
                <c:pt idx="28">
                  <c:v>M</c:v>
                </c:pt>
                <c:pt idx="29">
                  <c:v>J</c:v>
                </c:pt>
                <c:pt idx="30">
                  <c:v>J</c:v>
                </c:pt>
                <c:pt idx="31">
                  <c:v>A</c:v>
                </c:pt>
                <c:pt idx="32">
                  <c:v>S</c:v>
                </c:pt>
                <c:pt idx="33">
                  <c:v>O</c:v>
                </c:pt>
                <c:pt idx="34">
                  <c:v>N</c:v>
                </c:pt>
                <c:pt idx="35">
                  <c:v>D</c:v>
                </c:pt>
                <c:pt idx="36">
                  <c:v>2013</c:v>
                </c:pt>
                <c:pt idx="37">
                  <c:v>F</c:v>
                </c:pt>
                <c:pt idx="38">
                  <c:v>M</c:v>
                </c:pt>
                <c:pt idx="39">
                  <c:v>A</c:v>
                </c:pt>
                <c:pt idx="40">
                  <c:v>M</c:v>
                </c:pt>
                <c:pt idx="41">
                  <c:v>J</c:v>
                </c:pt>
                <c:pt idx="42">
                  <c:v>J</c:v>
                </c:pt>
                <c:pt idx="43">
                  <c:v>A</c:v>
                </c:pt>
                <c:pt idx="44">
                  <c:v>S</c:v>
                </c:pt>
                <c:pt idx="45">
                  <c:v>O</c:v>
                </c:pt>
                <c:pt idx="46">
                  <c:v>N</c:v>
                </c:pt>
                <c:pt idx="47">
                  <c:v>D</c:v>
                </c:pt>
              </c:strCache>
            </c:strRef>
          </c:cat>
          <c:val>
            <c:numRef>
              <c:f>chart!$C$3:$AX$3</c:f>
              <c:numCache>
                <c:formatCode>#,##0.00</c:formatCode>
                <c:ptCount val="48"/>
                <c:pt idx="0">
                  <c:v>1.5503020000000001</c:v>
                </c:pt>
                <c:pt idx="1">
                  <c:v>1.6003270000000001</c:v>
                </c:pt>
                <c:pt idx="2">
                  <c:v>1.6457299999999992</c:v>
                </c:pt>
                <c:pt idx="3">
                  <c:v>1.681225</c:v>
                </c:pt>
                <c:pt idx="4">
                  <c:v>1.7095739999999993</c:v>
                </c:pt>
                <c:pt idx="5">
                  <c:v>1.7311929999999998</c:v>
                </c:pt>
                <c:pt idx="6">
                  <c:v>1.7318269999999993</c:v>
                </c:pt>
                <c:pt idx="7">
                  <c:v>1.7392089999999998</c:v>
                </c:pt>
                <c:pt idx="8">
                  <c:v>1.738567</c:v>
                </c:pt>
                <c:pt idx="9">
                  <c:v>1.728032</c:v>
                </c:pt>
                <c:pt idx="10">
                  <c:v>1.7272879999999999</c:v>
                </c:pt>
                <c:pt idx="11">
                  <c:v>1.7214899999999993</c:v>
                </c:pt>
                <c:pt idx="12">
                  <c:v>1.7377219999999991</c:v>
                </c:pt>
                <c:pt idx="13">
                  <c:v>1.7388399999999993</c:v>
                </c:pt>
                <c:pt idx="14">
                  <c:v>1.7454379999999998</c:v>
                </c:pt>
                <c:pt idx="15">
                  <c:v>1.748977</c:v>
                </c:pt>
                <c:pt idx="16">
                  <c:v>1.763055</c:v>
                </c:pt>
                <c:pt idx="17">
                  <c:v>1.7659529999999999</c:v>
                </c:pt>
                <c:pt idx="18">
                  <c:v>1.77037</c:v>
                </c:pt>
                <c:pt idx="19">
                  <c:v>1.7770820000000001</c:v>
                </c:pt>
                <c:pt idx="20">
                  <c:v>1.7800259999999999</c:v>
                </c:pt>
                <c:pt idx="21">
                  <c:v>1.7821819999999999</c:v>
                </c:pt>
                <c:pt idx="22">
                  <c:v>1.773782</c:v>
                </c:pt>
                <c:pt idx="23">
                  <c:v>1.758397</c:v>
                </c:pt>
                <c:pt idx="24">
                  <c:v>1.7521239999999998</c:v>
                </c:pt>
                <c:pt idx="25">
                  <c:v>1.7459959999999992</c:v>
                </c:pt>
                <c:pt idx="26">
                  <c:v>1.7228899999999998</c:v>
                </c:pt>
                <c:pt idx="27">
                  <c:v>1.697802</c:v>
                </c:pt>
                <c:pt idx="28">
                  <c:v>1.686644</c:v>
                </c:pt>
                <c:pt idx="29">
                  <c:v>1.6401820000000007</c:v>
                </c:pt>
                <c:pt idx="30">
                  <c:v>1.6186020000000001</c:v>
                </c:pt>
                <c:pt idx="31">
                  <c:v>1.61758</c:v>
                </c:pt>
                <c:pt idx="32">
                  <c:v>1.5791739999999999</c:v>
                </c:pt>
                <c:pt idx="33">
                  <c:v>1.569083</c:v>
                </c:pt>
                <c:pt idx="34">
                  <c:v>1.556332</c:v>
                </c:pt>
                <c:pt idx="35">
                  <c:v>1.554208</c:v>
                </c:pt>
                <c:pt idx="36">
                  <c:v>1.5401309999999999</c:v>
                </c:pt>
              </c:numCache>
            </c:numRef>
          </c:val>
        </c:ser>
        <c:marker val="1"/>
        <c:axId val="58183040"/>
        <c:axId val="58344576"/>
      </c:lineChart>
      <c:catAx>
        <c:axId val="58183040"/>
        <c:scaling>
          <c:orientation val="minMax"/>
        </c:scaling>
        <c:axPos val="b"/>
        <c:tickLblPos val="nextTo"/>
        <c:crossAx val="58344576"/>
        <c:crosses val="autoZero"/>
        <c:auto val="1"/>
        <c:lblAlgn val="ctr"/>
        <c:lblOffset val="100"/>
        <c:tickLblSkip val="12"/>
        <c:tickMarkSkip val="12"/>
      </c:catAx>
      <c:valAx>
        <c:axId val="58344576"/>
        <c:scaling>
          <c:orientation val="minMax"/>
          <c:max val="2.6"/>
          <c:min val="1.4"/>
        </c:scaling>
        <c:axPos val="l"/>
        <c:majorGridlines/>
        <c:title>
          <c:tx>
            <c:rich>
              <a:bodyPr rot="-5400000" vert="horz"/>
              <a:lstStyle/>
              <a:p>
                <a:pPr>
                  <a:defRPr/>
                </a:pPr>
                <a:r>
                  <a:rPr lang="en-US" b="0"/>
                  <a:t>Millions</a:t>
                </a:r>
              </a:p>
            </c:rich>
          </c:tx>
          <c:layout>
            <c:manualLayout>
              <c:xMode val="edge"/>
              <c:yMode val="edge"/>
              <c:x val="1.0541557305336855E-2"/>
              <c:y val="0.40222404491105285"/>
            </c:manualLayout>
          </c:layout>
        </c:title>
        <c:numFmt formatCode="#,##0.0" sourceLinked="0"/>
        <c:tickLblPos val="nextTo"/>
        <c:crossAx val="58183040"/>
        <c:crosses val="autoZero"/>
        <c:crossBetween val="between"/>
        <c:majorUnit val="0.2"/>
      </c:valAx>
    </c:plotArea>
    <c:legend>
      <c:legendPos val="r"/>
      <c:layout>
        <c:manualLayout>
          <c:xMode val="edge"/>
          <c:yMode val="edge"/>
          <c:x val="0.2654939722027258"/>
          <c:y val="4.2457713619130965E-3"/>
          <c:w val="0.4849444444444449"/>
          <c:h val="9.7989938757655284E-2"/>
        </c:manualLayout>
      </c:layout>
    </c:legend>
    <c:plotVisOnly val="1"/>
    <c:dispBlanksAs val="gap"/>
  </c:chart>
  <c:spPr>
    <a:ln>
      <a:noFill/>
    </a:ln>
  </c:spPr>
  <c:txPr>
    <a:bodyPr/>
    <a:lstStyle/>
    <a:p>
      <a:pPr>
        <a:defRPr>
          <a:latin typeface="Arial" pitchFamily="34" charset="0"/>
          <a:cs typeface="Arial" pitchFamily="34"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visscj</dc:creator>
  <cp:lastModifiedBy>visscj</cp:lastModifiedBy>
  <cp:revision>2</cp:revision>
  <dcterms:created xsi:type="dcterms:W3CDTF">2013-02-21T09:28:00Z</dcterms:created>
  <dcterms:modified xsi:type="dcterms:W3CDTF">2013-02-21T09:28:00Z</dcterms:modified>
</cp:coreProperties>
</file>