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E2" w:rsidRPr="00176BC5" w:rsidRDefault="00C078E2" w:rsidP="00C078E2">
      <w:pPr>
        <w:pStyle w:val="Heading1"/>
        <w:ind w:right="142"/>
        <w:rPr>
          <w:rFonts w:ascii="Arial" w:eastAsiaTheme="minorEastAsia" w:hAnsi="Arial" w:cs="Arial"/>
          <w:bCs/>
          <w:color w:val="1074CB"/>
          <w:sz w:val="44"/>
          <w:szCs w:val="44"/>
        </w:rPr>
      </w:pPr>
      <w:r w:rsidRPr="005C2E16">
        <w:rPr>
          <w:rFonts w:ascii="Arial" w:eastAsiaTheme="minorEastAsia" w:hAnsi="Arial" w:cs="Arial"/>
          <w:bCs/>
          <w:color w:val="1074CB"/>
          <w:sz w:val="44"/>
          <w:szCs w:val="44"/>
        </w:rPr>
        <w:t>SMMT AUTOMOTIVE MANUFACTURING</w:t>
      </w:r>
    </w:p>
    <w:p w:rsidR="00C078E2" w:rsidRDefault="00C078E2" w:rsidP="00C078E2">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 xml:space="preserve">16 August </w:t>
      </w:r>
      <w:r w:rsidRPr="00176BC5">
        <w:rPr>
          <w:rFonts w:ascii="Arial" w:eastAsiaTheme="minorEastAsia" w:hAnsi="Arial" w:cs="Arial"/>
          <w:b w:val="0"/>
          <w:bCs/>
          <w:color w:val="1074CB"/>
          <w:sz w:val="44"/>
          <w:szCs w:val="44"/>
        </w:rPr>
        <w:t>201</w:t>
      </w:r>
      <w:r>
        <w:rPr>
          <w:rFonts w:ascii="Arial" w:eastAsiaTheme="minorEastAsia" w:hAnsi="Arial" w:cs="Arial"/>
          <w:b w:val="0"/>
          <w:bCs/>
          <w:color w:val="1074CB"/>
          <w:sz w:val="44"/>
          <w:szCs w:val="44"/>
        </w:rPr>
        <w:t>2</w:t>
      </w:r>
      <w:r w:rsidRPr="00176BC5">
        <w:rPr>
          <w:rFonts w:ascii="Arial" w:eastAsiaTheme="minorEastAsia" w:hAnsi="Arial" w:cs="Arial"/>
          <w:b w:val="0"/>
          <w:bCs/>
          <w:color w:val="1074CB"/>
          <w:sz w:val="44"/>
          <w:szCs w:val="44"/>
        </w:rPr>
        <w:t xml:space="preserve"> </w:t>
      </w:r>
      <w:r w:rsidRPr="00176BC5">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July 2012</w:t>
      </w:r>
      <w:r w:rsidRPr="00176BC5">
        <w:rPr>
          <w:rFonts w:ascii="Arial" w:eastAsiaTheme="minorEastAsia" w:hAnsi="Arial" w:cs="Arial"/>
          <w:b w:val="0"/>
          <w:bCs/>
          <w:color w:val="1074CB"/>
          <w:sz w:val="32"/>
          <w:szCs w:val="32"/>
        </w:rPr>
        <w:t>)</w:t>
      </w:r>
    </w:p>
    <w:p w:rsidR="00C078E2" w:rsidRPr="009F32FF" w:rsidRDefault="00C078E2" w:rsidP="00C078E2">
      <w:pPr>
        <w:rPr>
          <w:sz w:val="8"/>
          <w:szCs w:val="8"/>
        </w:rPr>
      </w:pPr>
    </w:p>
    <w:p w:rsidR="00C078E2" w:rsidRPr="001A5B1A" w:rsidRDefault="00C078E2" w:rsidP="00C078E2">
      <w:pPr>
        <w:pStyle w:val="Heading1"/>
        <w:ind w:left="0" w:right="142" w:firstLine="0"/>
        <w:rPr>
          <w:rFonts w:ascii="Arial" w:eastAsiaTheme="minorEastAsia" w:hAnsi="Arial" w:cs="Arial"/>
          <w:b w:val="0"/>
          <w:bCs/>
          <w:color w:val="1074CB"/>
        </w:rPr>
      </w:pPr>
      <w:r w:rsidRPr="001A5B1A">
        <w:rPr>
          <w:rFonts w:ascii="Arial" w:eastAsiaTheme="minorEastAsia" w:hAnsi="Arial" w:cs="Arial"/>
          <w:b w:val="0"/>
          <w:bCs/>
          <w:color w:val="1074CB"/>
        </w:rPr>
        <w:t>NEWS RELEASE NUMBER</w:t>
      </w:r>
      <w:r>
        <w:rPr>
          <w:rFonts w:ascii="Arial" w:eastAsiaTheme="minorEastAsia" w:hAnsi="Arial" w:cs="Arial"/>
          <w:b w:val="0"/>
          <w:bCs/>
          <w:color w:val="1074CB"/>
        </w:rPr>
        <w:t>:</w:t>
      </w:r>
      <w:r w:rsidRPr="001A5B1A">
        <w:rPr>
          <w:rFonts w:ascii="Arial" w:eastAsiaTheme="minorEastAsia" w:hAnsi="Arial" w:cs="Arial"/>
          <w:b w:val="0"/>
          <w:bCs/>
          <w:color w:val="1074CB"/>
        </w:rPr>
        <w:t xml:space="preserve"> </w:t>
      </w:r>
      <w:r w:rsidR="004E2EB6">
        <w:rPr>
          <w:rFonts w:ascii="Arial" w:eastAsiaTheme="minorEastAsia" w:hAnsi="Arial" w:cs="Arial"/>
          <w:b w:val="0"/>
          <w:bCs/>
          <w:color w:val="1074CB"/>
        </w:rPr>
        <w:t>5057</w:t>
      </w:r>
      <w:r w:rsidRPr="001A5B1A">
        <w:rPr>
          <w:rFonts w:ascii="Arial" w:eastAsiaTheme="minorEastAsia" w:hAnsi="Arial" w:cs="Arial"/>
          <w:b w:val="0"/>
          <w:bCs/>
          <w:color w:val="1074CB"/>
        </w:rPr>
        <w:t xml:space="preserve">                                                           FOR RELEASE</w:t>
      </w:r>
      <w:r>
        <w:rPr>
          <w:rFonts w:ascii="Arial" w:eastAsiaTheme="minorEastAsia" w:hAnsi="Arial" w:cs="Arial"/>
          <w:b w:val="0"/>
          <w:bCs/>
          <w:color w:val="1074CB"/>
        </w:rPr>
        <w:t>:</w:t>
      </w:r>
      <w:r w:rsidRPr="001A5B1A">
        <w:rPr>
          <w:rFonts w:ascii="Arial" w:eastAsiaTheme="minorEastAsia" w:hAnsi="Arial" w:cs="Arial"/>
          <w:b w:val="0"/>
          <w:bCs/>
          <w:color w:val="1074CB"/>
        </w:rPr>
        <w:t xml:space="preserve"> IMMEDIATE</w:t>
      </w:r>
    </w:p>
    <w:p w:rsidR="00C078E2" w:rsidRPr="00176BC5" w:rsidRDefault="00305DC2" w:rsidP="00C078E2">
      <w:pPr>
        <w:pStyle w:val="Heading1"/>
        <w:ind w:left="0" w:right="142" w:firstLine="0"/>
        <w:rPr>
          <w:rFonts w:ascii="Arial" w:eastAsiaTheme="minorEastAsia" w:hAnsi="Arial" w:cs="Arial"/>
          <w:bCs/>
          <w:color w:val="1074CB"/>
        </w:rPr>
      </w:pPr>
      <w:r>
        <w:rPr>
          <w:rFonts w:ascii="Arial" w:eastAsiaTheme="minorEastAsia" w:hAnsi="Arial" w:cs="Arial"/>
          <w:bCs/>
          <w:noProof/>
          <w:color w:val="1074CB"/>
        </w:rPr>
        <w:pict>
          <v:line id="_x0000_s1028" style="position:absolute;z-index:251660288" from=".55pt,3.1pt" to="455.9pt,3.1pt" strokecolor="#1074cb"/>
        </w:pict>
      </w:r>
    </w:p>
    <w:p w:rsidR="00C078E2" w:rsidRPr="00176BC5" w:rsidRDefault="00C078E2" w:rsidP="00C078E2">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UK vehicle manufacturing soars 20% in July 2012</w:t>
      </w:r>
    </w:p>
    <w:p w:rsidR="00C078E2" w:rsidRPr="00C078E2" w:rsidRDefault="00C078E2" w:rsidP="00C078E2">
      <w:pPr>
        <w:ind w:right="283"/>
        <w:rPr>
          <w:sz w:val="8"/>
          <w:szCs w:val="8"/>
        </w:rPr>
      </w:pPr>
    </w:p>
    <w:p w:rsidR="00C078E2" w:rsidRDefault="00C078E2" w:rsidP="00C078E2">
      <w:pPr>
        <w:numPr>
          <w:ilvl w:val="0"/>
          <w:numId w:val="1"/>
        </w:numPr>
        <w:spacing w:line="288" w:lineRule="auto"/>
        <w:rPr>
          <w:rFonts w:ascii="Arial" w:hAnsi="Arial" w:cs="Arial"/>
          <w:sz w:val="20"/>
        </w:rPr>
      </w:pPr>
      <w:r w:rsidRPr="00CB5253">
        <w:rPr>
          <w:rFonts w:ascii="Arial" w:hAnsi="Arial" w:cs="Arial"/>
          <w:sz w:val="20"/>
        </w:rPr>
        <w:t xml:space="preserve">Car </w:t>
      </w:r>
      <w:r>
        <w:rPr>
          <w:rFonts w:ascii="Arial" w:hAnsi="Arial" w:cs="Arial"/>
          <w:sz w:val="20"/>
        </w:rPr>
        <w:t>output</w:t>
      </w:r>
      <w:r w:rsidRPr="00CB5253">
        <w:rPr>
          <w:rFonts w:ascii="Arial" w:hAnsi="Arial" w:cs="Arial"/>
          <w:sz w:val="20"/>
        </w:rPr>
        <w:t xml:space="preserve"> </w:t>
      </w:r>
      <w:r>
        <w:rPr>
          <w:rFonts w:ascii="Arial" w:hAnsi="Arial" w:cs="Arial"/>
          <w:sz w:val="20"/>
        </w:rPr>
        <w:t>rose for the 13</w:t>
      </w:r>
      <w:r w:rsidRPr="00D611DB">
        <w:rPr>
          <w:rFonts w:ascii="Arial" w:hAnsi="Arial" w:cs="Arial"/>
          <w:sz w:val="20"/>
          <w:vertAlign w:val="superscript"/>
        </w:rPr>
        <w:t>th</w:t>
      </w:r>
      <w:r>
        <w:rPr>
          <w:rFonts w:ascii="Arial" w:hAnsi="Arial" w:cs="Arial"/>
          <w:sz w:val="20"/>
        </w:rPr>
        <w:t xml:space="preserve"> consecutive month, up 22.2% in July and 15.1% for the year-to-date.</w:t>
      </w:r>
    </w:p>
    <w:p w:rsidR="00C078E2" w:rsidRPr="00CB5253" w:rsidRDefault="00C078E2" w:rsidP="00C078E2">
      <w:pPr>
        <w:numPr>
          <w:ilvl w:val="0"/>
          <w:numId w:val="1"/>
        </w:numPr>
        <w:spacing w:line="288" w:lineRule="auto"/>
        <w:rPr>
          <w:rFonts w:ascii="Arial" w:hAnsi="Arial" w:cs="Arial"/>
          <w:sz w:val="20"/>
        </w:rPr>
      </w:pPr>
      <w:r>
        <w:rPr>
          <w:rFonts w:ascii="Arial" w:hAnsi="Arial" w:cs="Arial"/>
          <w:sz w:val="20"/>
        </w:rPr>
        <w:t>CV output stabilised down 1.3% in the month with a 7.7% fall for the first seven months.</w:t>
      </w:r>
    </w:p>
    <w:p w:rsidR="00C078E2" w:rsidRPr="00CB5253" w:rsidRDefault="00C078E2" w:rsidP="00C078E2">
      <w:pPr>
        <w:numPr>
          <w:ilvl w:val="0"/>
          <w:numId w:val="1"/>
        </w:numPr>
        <w:spacing w:line="288" w:lineRule="auto"/>
        <w:rPr>
          <w:rFonts w:ascii="Arial" w:hAnsi="Arial" w:cs="Arial"/>
          <w:sz w:val="20"/>
        </w:rPr>
      </w:pPr>
      <w:r w:rsidRPr="00CB5253">
        <w:rPr>
          <w:rFonts w:ascii="Arial" w:hAnsi="Arial" w:cs="Arial"/>
          <w:sz w:val="20"/>
        </w:rPr>
        <w:t>UK</w:t>
      </w:r>
      <w:r>
        <w:rPr>
          <w:rFonts w:ascii="Arial" w:hAnsi="Arial" w:cs="Arial"/>
          <w:sz w:val="20"/>
        </w:rPr>
        <w:t xml:space="preserve"> engine production was up 0.3% over the year, with a narrow 1.9% downturn in the month.</w:t>
      </w:r>
    </w:p>
    <w:p w:rsidR="00C078E2" w:rsidRPr="00C078E2" w:rsidRDefault="00C078E2" w:rsidP="00C078E2">
      <w:pPr>
        <w:pStyle w:val="PlainText"/>
        <w:spacing w:line="120" w:lineRule="auto"/>
        <w:rPr>
          <w:rFonts w:eastAsia="Times" w:cs="Arial"/>
          <w:sz w:val="8"/>
          <w:szCs w:val="8"/>
          <w:lang w:eastAsia="en-GB"/>
        </w:rPr>
      </w:pPr>
    </w:p>
    <w:p w:rsidR="00C078E2" w:rsidRDefault="00C078E2" w:rsidP="00C078E2">
      <w:pPr>
        <w:rPr>
          <w:rFonts w:ascii="Arial" w:hAnsi="Arial" w:cs="Arial"/>
          <w:sz w:val="20"/>
        </w:rPr>
      </w:pPr>
      <w:r>
        <w:rPr>
          <w:rFonts w:ascii="Arial" w:hAnsi="Arial" w:cs="Arial"/>
          <w:sz w:val="20"/>
        </w:rPr>
        <w:t>"Car manufacturing continued to perform well, with output up more than 22% for the month and 15% for the year-to-date," said Paul Everitt, SMMT Chief Executive. "While uncertainty in Europe remains a challenge, the £6 billion investment committed to the UK in the last two years delivers long-term growth opportunities and the latest figures show that our products have enormous global appeal."</w:t>
      </w:r>
    </w:p>
    <w:p w:rsidR="00C078E2" w:rsidRPr="00C078E2" w:rsidRDefault="00C078E2" w:rsidP="00C078E2">
      <w:pPr>
        <w:rPr>
          <w:rFonts w:ascii="Arial" w:hAnsi="Arial" w:cs="Arial"/>
          <w:sz w:val="12"/>
          <w:szCs w:val="12"/>
        </w:rPr>
      </w:pPr>
    </w:p>
    <w:tbl>
      <w:tblPr>
        <w:tblW w:w="9082" w:type="dxa"/>
        <w:tblBorders>
          <w:left w:val="single" w:sz="4" w:space="0" w:color="548DD4" w:themeColor="text2" w:themeTint="99"/>
          <w:right w:val="single" w:sz="4" w:space="0" w:color="548DD4" w:themeColor="text2" w:themeTint="99"/>
          <w:insideV w:val="single" w:sz="4" w:space="0" w:color="548DD4" w:themeColor="text2" w:themeTint="99"/>
        </w:tblBorders>
        <w:tblLook w:val="04A0"/>
      </w:tblPr>
      <w:tblGrid>
        <w:gridCol w:w="1017"/>
        <w:gridCol w:w="867"/>
        <w:gridCol w:w="1264"/>
        <w:gridCol w:w="1032"/>
        <w:gridCol w:w="1284"/>
        <w:gridCol w:w="867"/>
        <w:gridCol w:w="867"/>
        <w:gridCol w:w="867"/>
        <w:gridCol w:w="1017"/>
      </w:tblGrid>
      <w:tr w:rsidR="00C078E2" w:rsidRPr="00307829" w:rsidTr="00F2512F">
        <w:trPr>
          <w:trHeight w:val="288"/>
        </w:trPr>
        <w:tc>
          <w:tcPr>
            <w:tcW w:w="0" w:type="auto"/>
            <w:tcBorders>
              <w:left w:val="nil"/>
            </w:tcBorders>
            <w:shd w:val="clear" w:color="auto" w:fill="auto"/>
            <w:noWrap/>
            <w:hideMark/>
          </w:tcPr>
          <w:p w:rsidR="00C078E2" w:rsidRPr="00BE2914" w:rsidRDefault="00C078E2" w:rsidP="00F2512F">
            <w:pPr>
              <w:rPr>
                <w:rFonts w:ascii="Arial" w:hAnsi="Arial" w:cs="Arial"/>
                <w:b/>
                <w:bCs/>
                <w:color w:val="1074CB"/>
                <w:sz w:val="18"/>
                <w:szCs w:val="18"/>
              </w:rPr>
            </w:pPr>
            <w:r>
              <w:rPr>
                <w:rFonts w:ascii="Arial" w:hAnsi="Arial" w:cs="Arial"/>
                <w:b/>
                <w:bCs/>
                <w:color w:val="1074CB"/>
                <w:sz w:val="18"/>
                <w:szCs w:val="18"/>
              </w:rPr>
              <w:t>SMMT</w:t>
            </w:r>
          </w:p>
        </w:tc>
        <w:tc>
          <w:tcPr>
            <w:tcW w:w="2131" w:type="dxa"/>
            <w:gridSpan w:val="2"/>
            <w:shd w:val="clear" w:color="auto" w:fill="auto"/>
            <w:noWrap/>
            <w:hideMark/>
          </w:tcPr>
          <w:p w:rsidR="00C078E2" w:rsidRPr="00BE2914" w:rsidRDefault="00C078E2" w:rsidP="00F2512F">
            <w:pPr>
              <w:jc w:val="center"/>
              <w:rPr>
                <w:rFonts w:ascii="Arial" w:hAnsi="Arial" w:cs="Arial"/>
                <w:b/>
                <w:bCs/>
                <w:color w:val="1074CB"/>
                <w:sz w:val="18"/>
                <w:szCs w:val="18"/>
              </w:rPr>
            </w:pPr>
            <w:r w:rsidRPr="00BE2914">
              <w:rPr>
                <w:rFonts w:ascii="Arial" w:hAnsi="Arial" w:cs="Arial"/>
                <w:b/>
                <w:bCs/>
                <w:color w:val="1074CB"/>
                <w:sz w:val="18"/>
                <w:szCs w:val="18"/>
              </w:rPr>
              <w:t>Cars</w:t>
            </w:r>
          </w:p>
        </w:tc>
        <w:tc>
          <w:tcPr>
            <w:tcW w:w="2316" w:type="dxa"/>
            <w:gridSpan w:val="2"/>
            <w:shd w:val="clear" w:color="auto" w:fill="auto"/>
            <w:noWrap/>
            <w:hideMark/>
          </w:tcPr>
          <w:p w:rsidR="00C078E2" w:rsidRPr="00BE2914" w:rsidRDefault="00C078E2" w:rsidP="00F2512F">
            <w:pPr>
              <w:jc w:val="center"/>
              <w:rPr>
                <w:rFonts w:ascii="Arial" w:hAnsi="Arial" w:cs="Arial"/>
                <w:b/>
                <w:bCs/>
                <w:color w:val="1074CB"/>
                <w:sz w:val="18"/>
                <w:szCs w:val="18"/>
              </w:rPr>
            </w:pPr>
            <w:r w:rsidRPr="00BE2914">
              <w:rPr>
                <w:rFonts w:ascii="Arial" w:hAnsi="Arial" w:cs="Arial"/>
                <w:b/>
                <w:bCs/>
                <w:color w:val="1074CB"/>
                <w:sz w:val="18"/>
                <w:szCs w:val="18"/>
              </w:rPr>
              <w:t>Commercial Vehicles</w:t>
            </w:r>
          </w:p>
        </w:tc>
        <w:tc>
          <w:tcPr>
            <w:tcW w:w="0" w:type="auto"/>
            <w:gridSpan w:val="2"/>
            <w:shd w:val="clear" w:color="auto" w:fill="auto"/>
            <w:noWrap/>
            <w:hideMark/>
          </w:tcPr>
          <w:p w:rsidR="00C078E2" w:rsidRPr="00BE2914" w:rsidRDefault="00C078E2" w:rsidP="00F2512F">
            <w:pPr>
              <w:jc w:val="center"/>
              <w:rPr>
                <w:rFonts w:ascii="Arial" w:hAnsi="Arial" w:cs="Arial"/>
                <w:b/>
                <w:bCs/>
                <w:color w:val="1074CB"/>
                <w:sz w:val="18"/>
                <w:szCs w:val="18"/>
              </w:rPr>
            </w:pPr>
            <w:r w:rsidRPr="00BE2914">
              <w:rPr>
                <w:rFonts w:ascii="Arial" w:hAnsi="Arial" w:cs="Arial"/>
                <w:b/>
                <w:bCs/>
                <w:color w:val="1074CB"/>
                <w:sz w:val="18"/>
                <w:szCs w:val="18"/>
              </w:rPr>
              <w:t>Total Vehicles</w:t>
            </w:r>
          </w:p>
        </w:tc>
        <w:tc>
          <w:tcPr>
            <w:tcW w:w="1884" w:type="dxa"/>
            <w:gridSpan w:val="2"/>
            <w:tcBorders>
              <w:right w:val="nil"/>
            </w:tcBorders>
            <w:shd w:val="clear" w:color="auto" w:fill="auto"/>
          </w:tcPr>
          <w:p w:rsidR="00C078E2" w:rsidRPr="00BE2914" w:rsidRDefault="00C078E2" w:rsidP="00F2512F">
            <w:pPr>
              <w:jc w:val="center"/>
              <w:rPr>
                <w:rFonts w:ascii="Arial" w:hAnsi="Arial" w:cs="Arial"/>
                <w:b/>
                <w:bCs/>
                <w:color w:val="1074CB"/>
                <w:sz w:val="18"/>
                <w:szCs w:val="18"/>
              </w:rPr>
            </w:pPr>
            <w:r w:rsidRPr="00BE2914">
              <w:rPr>
                <w:rFonts w:ascii="Arial" w:hAnsi="Arial" w:cs="Arial"/>
                <w:b/>
                <w:bCs/>
                <w:color w:val="1074CB"/>
                <w:sz w:val="18"/>
                <w:szCs w:val="18"/>
              </w:rPr>
              <w:t>Total Engines</w:t>
            </w:r>
          </w:p>
        </w:tc>
      </w:tr>
      <w:tr w:rsidR="00C078E2" w:rsidRPr="00307829" w:rsidTr="00F2512F">
        <w:trPr>
          <w:trHeight w:val="288"/>
        </w:trPr>
        <w:tc>
          <w:tcPr>
            <w:tcW w:w="0" w:type="auto"/>
            <w:tcBorders>
              <w:left w:val="nil"/>
            </w:tcBorders>
            <w:shd w:val="clear" w:color="auto" w:fill="auto"/>
            <w:noWrap/>
            <w:hideMark/>
          </w:tcPr>
          <w:p w:rsidR="00C078E2" w:rsidRPr="00BE2914" w:rsidRDefault="00C078E2" w:rsidP="00F2512F">
            <w:pPr>
              <w:rPr>
                <w:rFonts w:ascii="Arial" w:hAnsi="Arial" w:cs="Arial"/>
                <w:b/>
                <w:bCs/>
                <w:color w:val="1074CB"/>
                <w:sz w:val="18"/>
                <w:szCs w:val="18"/>
              </w:rPr>
            </w:pPr>
            <w:r>
              <w:rPr>
                <w:rFonts w:ascii="Arial" w:hAnsi="Arial" w:cs="Arial"/>
                <w:b/>
                <w:bCs/>
                <w:color w:val="1074CB"/>
                <w:sz w:val="18"/>
                <w:szCs w:val="18"/>
              </w:rPr>
              <w:t>Data.</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Jul-12</w:t>
            </w:r>
          </w:p>
        </w:tc>
        <w:tc>
          <w:tcPr>
            <w:tcW w:w="1264" w:type="dxa"/>
            <w:tcBorders>
              <w:lef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YTD-12</w:t>
            </w:r>
          </w:p>
        </w:tc>
        <w:tc>
          <w:tcPr>
            <w:tcW w:w="1032" w:type="dxa"/>
            <w:tcBorders>
              <w:righ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Jul-12</w:t>
            </w:r>
          </w:p>
        </w:tc>
        <w:tc>
          <w:tcPr>
            <w:tcW w:w="1284" w:type="dxa"/>
            <w:tcBorders>
              <w:lef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YTD-12</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Jul-12</w:t>
            </w:r>
          </w:p>
        </w:tc>
        <w:tc>
          <w:tcPr>
            <w:tcW w:w="0" w:type="auto"/>
            <w:tcBorders>
              <w:lef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YTD-12</w:t>
            </w:r>
          </w:p>
        </w:tc>
        <w:tc>
          <w:tcPr>
            <w:tcW w:w="867" w:type="dxa"/>
            <w:tcBorders>
              <w:right w:val="nil"/>
            </w:tcBorders>
            <w:shd w:val="clear" w:color="auto" w:fill="auto"/>
            <w:vAlign w:val="bottom"/>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Jul-12</w:t>
            </w:r>
          </w:p>
        </w:tc>
        <w:tc>
          <w:tcPr>
            <w:tcW w:w="1017" w:type="dxa"/>
            <w:tcBorders>
              <w:left w:val="nil"/>
              <w:right w:val="nil"/>
            </w:tcBorders>
            <w:shd w:val="clear" w:color="auto" w:fill="auto"/>
            <w:vAlign w:val="bottom"/>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YTD-12</w:t>
            </w:r>
          </w:p>
        </w:tc>
      </w:tr>
      <w:tr w:rsidR="00C078E2" w:rsidRPr="002C57DA" w:rsidTr="00F2512F">
        <w:trPr>
          <w:trHeight w:val="288"/>
        </w:trPr>
        <w:tc>
          <w:tcPr>
            <w:tcW w:w="0" w:type="auto"/>
            <w:tcBorders>
              <w:left w:val="nil"/>
            </w:tcBorders>
            <w:shd w:val="clear" w:color="auto" w:fill="auto"/>
            <w:noWrap/>
            <w:vAlign w:val="center"/>
            <w:hideMark/>
          </w:tcPr>
          <w:p w:rsidR="00C078E2" w:rsidRPr="002C57DA" w:rsidRDefault="00C078E2" w:rsidP="00F2512F">
            <w:pPr>
              <w:rPr>
                <w:rFonts w:ascii="Arial" w:hAnsi="Arial" w:cs="Arial"/>
                <w:bCs/>
                <w:color w:val="1074CB"/>
                <w:sz w:val="18"/>
                <w:szCs w:val="18"/>
              </w:rPr>
            </w:pPr>
            <w:r w:rsidRPr="002C57DA">
              <w:rPr>
                <w:rFonts w:ascii="Arial" w:hAnsi="Arial" w:cs="Arial"/>
                <w:bCs/>
                <w:color w:val="1074CB"/>
                <w:sz w:val="18"/>
                <w:szCs w:val="18"/>
              </w:rPr>
              <w:t>Total</w:t>
            </w:r>
          </w:p>
        </w:tc>
        <w:tc>
          <w:tcPr>
            <w:tcW w:w="0" w:type="auto"/>
            <w:tcBorders>
              <w:right w:val="nil"/>
            </w:tcBorders>
            <w:shd w:val="clear" w:color="auto" w:fill="auto"/>
            <w:noWrap/>
            <w:vAlign w:val="bottom"/>
            <w:hideMark/>
          </w:tcPr>
          <w:p w:rsidR="00C078E2" w:rsidRPr="002C57DA" w:rsidRDefault="00C078E2" w:rsidP="00F2512F">
            <w:pPr>
              <w:jc w:val="center"/>
              <w:rPr>
                <w:rFonts w:ascii="Arial" w:hAnsi="Arial" w:cs="Arial"/>
                <w:bCs/>
                <w:color w:val="0070C0"/>
                <w:sz w:val="18"/>
                <w:szCs w:val="18"/>
              </w:rPr>
            </w:pPr>
            <w:r w:rsidRPr="002C57DA">
              <w:rPr>
                <w:rFonts w:ascii="Arial" w:hAnsi="Arial" w:cs="Arial"/>
                <w:bCs/>
                <w:color w:val="0070C0"/>
                <w:sz w:val="18"/>
                <w:szCs w:val="18"/>
              </w:rPr>
              <w:t>119,</w:t>
            </w:r>
            <w:r>
              <w:rPr>
                <w:rFonts w:ascii="Arial" w:hAnsi="Arial" w:cs="Arial"/>
                <w:bCs/>
                <w:color w:val="0070C0"/>
                <w:sz w:val="18"/>
                <w:szCs w:val="18"/>
              </w:rPr>
              <w:t>882</w:t>
            </w:r>
          </w:p>
        </w:tc>
        <w:tc>
          <w:tcPr>
            <w:tcW w:w="1264" w:type="dxa"/>
            <w:tcBorders>
              <w:left w:val="nil"/>
            </w:tcBorders>
            <w:shd w:val="clear" w:color="auto" w:fill="auto"/>
            <w:noWrap/>
            <w:vAlign w:val="bottom"/>
            <w:hideMark/>
          </w:tcPr>
          <w:p w:rsidR="00C078E2" w:rsidRPr="002C57DA" w:rsidRDefault="00C078E2" w:rsidP="00F2512F">
            <w:pPr>
              <w:jc w:val="center"/>
              <w:rPr>
                <w:rFonts w:ascii="Arial" w:hAnsi="Arial" w:cs="Arial"/>
                <w:bCs/>
                <w:color w:val="0070C0"/>
                <w:sz w:val="18"/>
                <w:szCs w:val="18"/>
              </w:rPr>
            </w:pPr>
            <w:r>
              <w:rPr>
                <w:rFonts w:ascii="Arial" w:hAnsi="Arial" w:cs="Arial"/>
                <w:bCs/>
                <w:color w:val="0070C0"/>
                <w:sz w:val="18"/>
                <w:szCs w:val="18"/>
              </w:rPr>
              <w:t>875</w:t>
            </w:r>
            <w:r w:rsidRPr="002C57DA">
              <w:rPr>
                <w:rFonts w:ascii="Arial" w:hAnsi="Arial" w:cs="Arial"/>
                <w:bCs/>
                <w:color w:val="0070C0"/>
                <w:sz w:val="18"/>
                <w:szCs w:val="18"/>
              </w:rPr>
              <w:t>,</w:t>
            </w:r>
            <w:r>
              <w:rPr>
                <w:rFonts w:ascii="Arial" w:hAnsi="Arial" w:cs="Arial"/>
                <w:bCs/>
                <w:color w:val="0070C0"/>
                <w:sz w:val="18"/>
                <w:szCs w:val="18"/>
              </w:rPr>
              <w:t>998</w:t>
            </w:r>
          </w:p>
        </w:tc>
        <w:tc>
          <w:tcPr>
            <w:tcW w:w="1032" w:type="dxa"/>
            <w:tcBorders>
              <w:right w:val="nil"/>
            </w:tcBorders>
            <w:shd w:val="clear" w:color="auto" w:fill="auto"/>
            <w:noWrap/>
            <w:vAlign w:val="bottom"/>
            <w:hideMark/>
          </w:tcPr>
          <w:p w:rsidR="00C078E2" w:rsidRPr="002C57DA" w:rsidRDefault="00C078E2" w:rsidP="00F2512F">
            <w:pPr>
              <w:jc w:val="center"/>
              <w:rPr>
                <w:rFonts w:ascii="Arial" w:hAnsi="Arial" w:cs="Arial"/>
                <w:bCs/>
                <w:color w:val="0070C0"/>
                <w:sz w:val="18"/>
                <w:szCs w:val="18"/>
              </w:rPr>
            </w:pPr>
            <w:r>
              <w:rPr>
                <w:rFonts w:ascii="Arial" w:hAnsi="Arial" w:cs="Arial"/>
                <w:bCs/>
                <w:color w:val="0070C0"/>
                <w:sz w:val="18"/>
                <w:szCs w:val="18"/>
              </w:rPr>
              <w:t>9</w:t>
            </w:r>
            <w:r w:rsidRPr="002C57DA">
              <w:rPr>
                <w:rFonts w:ascii="Arial" w:hAnsi="Arial" w:cs="Arial"/>
                <w:bCs/>
                <w:color w:val="0070C0"/>
                <w:sz w:val="18"/>
                <w:szCs w:val="18"/>
              </w:rPr>
              <w:t>,</w:t>
            </w:r>
            <w:r>
              <w:rPr>
                <w:rFonts w:ascii="Arial" w:hAnsi="Arial" w:cs="Arial"/>
                <w:bCs/>
                <w:color w:val="0070C0"/>
                <w:sz w:val="18"/>
                <w:szCs w:val="18"/>
              </w:rPr>
              <w:t>004</w:t>
            </w:r>
          </w:p>
        </w:tc>
        <w:tc>
          <w:tcPr>
            <w:tcW w:w="1284" w:type="dxa"/>
            <w:tcBorders>
              <w:left w:val="nil"/>
            </w:tcBorders>
            <w:shd w:val="clear" w:color="auto" w:fill="auto"/>
            <w:noWrap/>
            <w:vAlign w:val="bottom"/>
            <w:hideMark/>
          </w:tcPr>
          <w:p w:rsidR="00C078E2" w:rsidRPr="002C57DA" w:rsidRDefault="00C078E2" w:rsidP="00F2512F">
            <w:pPr>
              <w:jc w:val="center"/>
              <w:rPr>
                <w:rFonts w:ascii="Arial" w:hAnsi="Arial" w:cs="Arial"/>
                <w:bCs/>
                <w:color w:val="0070C0"/>
                <w:sz w:val="18"/>
                <w:szCs w:val="18"/>
              </w:rPr>
            </w:pPr>
            <w:r w:rsidRPr="002C57DA">
              <w:rPr>
                <w:rFonts w:ascii="Arial" w:hAnsi="Arial" w:cs="Arial"/>
                <w:bCs/>
                <w:color w:val="0070C0"/>
                <w:sz w:val="18"/>
                <w:szCs w:val="18"/>
              </w:rPr>
              <w:t>6</w:t>
            </w:r>
            <w:r>
              <w:rPr>
                <w:rFonts w:ascii="Arial" w:hAnsi="Arial" w:cs="Arial"/>
                <w:bCs/>
                <w:color w:val="0070C0"/>
                <w:sz w:val="18"/>
                <w:szCs w:val="18"/>
              </w:rPr>
              <w:t>5</w:t>
            </w:r>
            <w:r w:rsidRPr="002C57DA">
              <w:rPr>
                <w:rFonts w:ascii="Arial" w:hAnsi="Arial" w:cs="Arial"/>
                <w:bCs/>
                <w:color w:val="0070C0"/>
                <w:sz w:val="18"/>
                <w:szCs w:val="18"/>
              </w:rPr>
              <w:t>,</w:t>
            </w:r>
            <w:r>
              <w:rPr>
                <w:rFonts w:ascii="Arial" w:hAnsi="Arial" w:cs="Arial"/>
                <w:bCs/>
                <w:color w:val="0070C0"/>
                <w:sz w:val="18"/>
                <w:szCs w:val="18"/>
              </w:rPr>
              <w:t>100</w:t>
            </w:r>
          </w:p>
        </w:tc>
        <w:tc>
          <w:tcPr>
            <w:tcW w:w="0" w:type="auto"/>
            <w:tcBorders>
              <w:right w:val="nil"/>
            </w:tcBorders>
            <w:shd w:val="clear" w:color="auto" w:fill="auto"/>
            <w:noWrap/>
            <w:vAlign w:val="bottom"/>
            <w:hideMark/>
          </w:tcPr>
          <w:p w:rsidR="00C078E2" w:rsidRPr="002C57DA" w:rsidRDefault="00C078E2" w:rsidP="00F2512F">
            <w:pPr>
              <w:jc w:val="center"/>
              <w:rPr>
                <w:rFonts w:ascii="Arial" w:hAnsi="Arial" w:cs="Arial"/>
                <w:bCs/>
                <w:color w:val="0070C0"/>
                <w:sz w:val="18"/>
                <w:szCs w:val="18"/>
              </w:rPr>
            </w:pPr>
            <w:r w:rsidRPr="002C57DA">
              <w:rPr>
                <w:rFonts w:ascii="Arial" w:hAnsi="Arial" w:cs="Arial"/>
                <w:bCs/>
                <w:color w:val="0070C0"/>
                <w:sz w:val="18"/>
                <w:szCs w:val="18"/>
              </w:rPr>
              <w:t>12</w:t>
            </w:r>
            <w:r>
              <w:rPr>
                <w:rFonts w:ascii="Arial" w:hAnsi="Arial" w:cs="Arial"/>
                <w:bCs/>
                <w:color w:val="0070C0"/>
                <w:sz w:val="18"/>
                <w:szCs w:val="18"/>
              </w:rPr>
              <w:t>8</w:t>
            </w:r>
            <w:r w:rsidRPr="002C57DA">
              <w:rPr>
                <w:rFonts w:ascii="Arial" w:hAnsi="Arial" w:cs="Arial"/>
                <w:bCs/>
                <w:color w:val="0070C0"/>
                <w:sz w:val="18"/>
                <w:szCs w:val="18"/>
              </w:rPr>
              <w:t>,</w:t>
            </w:r>
            <w:r>
              <w:rPr>
                <w:rFonts w:ascii="Arial" w:hAnsi="Arial" w:cs="Arial"/>
                <w:bCs/>
                <w:color w:val="0070C0"/>
                <w:sz w:val="18"/>
                <w:szCs w:val="18"/>
              </w:rPr>
              <w:t>886</w:t>
            </w:r>
          </w:p>
        </w:tc>
        <w:tc>
          <w:tcPr>
            <w:tcW w:w="0" w:type="auto"/>
            <w:tcBorders>
              <w:left w:val="nil"/>
            </w:tcBorders>
            <w:shd w:val="clear" w:color="auto" w:fill="auto"/>
            <w:noWrap/>
            <w:vAlign w:val="bottom"/>
            <w:hideMark/>
          </w:tcPr>
          <w:p w:rsidR="00C078E2" w:rsidRPr="002C57DA" w:rsidRDefault="00C078E2" w:rsidP="00F2512F">
            <w:pPr>
              <w:jc w:val="center"/>
              <w:rPr>
                <w:rFonts w:ascii="Arial" w:hAnsi="Arial" w:cs="Arial"/>
                <w:bCs/>
                <w:color w:val="0070C0"/>
                <w:sz w:val="18"/>
                <w:szCs w:val="18"/>
              </w:rPr>
            </w:pPr>
            <w:r>
              <w:rPr>
                <w:rFonts w:ascii="Arial" w:hAnsi="Arial" w:cs="Arial"/>
                <w:bCs/>
                <w:color w:val="0070C0"/>
                <w:sz w:val="18"/>
                <w:szCs w:val="18"/>
              </w:rPr>
              <w:t>941</w:t>
            </w:r>
            <w:r w:rsidRPr="002C57DA">
              <w:rPr>
                <w:rFonts w:ascii="Arial" w:hAnsi="Arial" w:cs="Arial"/>
                <w:bCs/>
                <w:color w:val="0070C0"/>
                <w:sz w:val="18"/>
                <w:szCs w:val="18"/>
              </w:rPr>
              <w:t>,</w:t>
            </w:r>
            <w:r>
              <w:rPr>
                <w:rFonts w:ascii="Arial" w:hAnsi="Arial" w:cs="Arial"/>
                <w:bCs/>
                <w:color w:val="0070C0"/>
                <w:sz w:val="18"/>
                <w:szCs w:val="18"/>
              </w:rPr>
              <w:t>098</w:t>
            </w:r>
          </w:p>
        </w:tc>
        <w:tc>
          <w:tcPr>
            <w:tcW w:w="867" w:type="dxa"/>
            <w:tcBorders>
              <w:right w:val="nil"/>
            </w:tcBorders>
            <w:shd w:val="clear" w:color="auto" w:fill="auto"/>
            <w:vAlign w:val="bottom"/>
          </w:tcPr>
          <w:p w:rsidR="00C078E2" w:rsidRPr="002C57DA" w:rsidRDefault="00C078E2" w:rsidP="00F2512F">
            <w:pPr>
              <w:jc w:val="center"/>
              <w:rPr>
                <w:rFonts w:ascii="Arial" w:hAnsi="Arial" w:cs="Arial"/>
                <w:bCs/>
                <w:color w:val="0070C0"/>
                <w:sz w:val="18"/>
                <w:szCs w:val="18"/>
              </w:rPr>
            </w:pPr>
            <w:r>
              <w:rPr>
                <w:rFonts w:ascii="Arial" w:hAnsi="Arial" w:cs="Arial"/>
                <w:bCs/>
                <w:color w:val="0070C0"/>
                <w:sz w:val="18"/>
                <w:szCs w:val="18"/>
              </w:rPr>
              <w:t>180</w:t>
            </w:r>
            <w:r w:rsidRPr="002C57DA">
              <w:rPr>
                <w:rFonts w:ascii="Arial" w:hAnsi="Arial" w:cs="Arial"/>
                <w:bCs/>
                <w:color w:val="0070C0"/>
                <w:sz w:val="18"/>
                <w:szCs w:val="18"/>
              </w:rPr>
              <w:t>,1</w:t>
            </w:r>
            <w:r>
              <w:rPr>
                <w:rFonts w:ascii="Arial" w:hAnsi="Arial" w:cs="Arial"/>
                <w:bCs/>
                <w:color w:val="0070C0"/>
                <w:sz w:val="18"/>
                <w:szCs w:val="18"/>
              </w:rPr>
              <w:t>09</w:t>
            </w:r>
          </w:p>
        </w:tc>
        <w:tc>
          <w:tcPr>
            <w:tcW w:w="1017" w:type="dxa"/>
            <w:tcBorders>
              <w:left w:val="nil"/>
              <w:right w:val="nil"/>
            </w:tcBorders>
            <w:shd w:val="clear" w:color="auto" w:fill="auto"/>
            <w:vAlign w:val="bottom"/>
          </w:tcPr>
          <w:p w:rsidR="00C078E2" w:rsidRPr="002C57DA" w:rsidRDefault="00C078E2" w:rsidP="00F2512F">
            <w:pPr>
              <w:jc w:val="center"/>
              <w:rPr>
                <w:rFonts w:ascii="Arial" w:hAnsi="Arial" w:cs="Arial"/>
                <w:bCs/>
                <w:color w:val="0070C0"/>
                <w:sz w:val="18"/>
                <w:szCs w:val="18"/>
              </w:rPr>
            </w:pPr>
            <w:r w:rsidRPr="002C57DA">
              <w:rPr>
                <w:rFonts w:ascii="Arial" w:hAnsi="Arial" w:cs="Arial"/>
                <w:bCs/>
                <w:color w:val="0070C0"/>
                <w:sz w:val="18"/>
                <w:szCs w:val="18"/>
              </w:rPr>
              <w:t>1,</w:t>
            </w:r>
            <w:r>
              <w:rPr>
                <w:rFonts w:ascii="Arial" w:hAnsi="Arial" w:cs="Arial"/>
                <w:bCs/>
                <w:color w:val="0070C0"/>
                <w:sz w:val="18"/>
                <w:szCs w:val="18"/>
              </w:rPr>
              <w:t>51</w:t>
            </w:r>
            <w:r w:rsidRPr="002C57DA">
              <w:rPr>
                <w:rFonts w:ascii="Arial" w:hAnsi="Arial" w:cs="Arial"/>
                <w:bCs/>
                <w:color w:val="0070C0"/>
                <w:sz w:val="18"/>
                <w:szCs w:val="18"/>
              </w:rPr>
              <w:t>6,</w:t>
            </w:r>
            <w:r>
              <w:rPr>
                <w:rFonts w:ascii="Arial" w:hAnsi="Arial" w:cs="Arial"/>
                <w:bCs/>
                <w:color w:val="0070C0"/>
                <w:sz w:val="18"/>
                <w:szCs w:val="18"/>
              </w:rPr>
              <w:t>388</w:t>
            </w:r>
          </w:p>
        </w:tc>
      </w:tr>
      <w:tr w:rsidR="00C078E2" w:rsidRPr="00307829" w:rsidTr="00F2512F">
        <w:trPr>
          <w:trHeight w:val="288"/>
        </w:trPr>
        <w:tc>
          <w:tcPr>
            <w:tcW w:w="0" w:type="auto"/>
            <w:tcBorders>
              <w:left w:val="nil"/>
            </w:tcBorders>
            <w:shd w:val="clear" w:color="auto" w:fill="auto"/>
            <w:noWrap/>
            <w:vAlign w:val="center"/>
            <w:hideMark/>
          </w:tcPr>
          <w:p w:rsidR="00C078E2" w:rsidRPr="00BE2914" w:rsidRDefault="00C078E2" w:rsidP="00F2512F">
            <w:pPr>
              <w:rPr>
                <w:rFonts w:ascii="Arial" w:hAnsi="Arial" w:cs="Arial"/>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22.2%</w:t>
            </w:r>
          </w:p>
        </w:tc>
        <w:tc>
          <w:tcPr>
            <w:tcW w:w="1264" w:type="dxa"/>
            <w:tcBorders>
              <w:lef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15.1%</w:t>
            </w:r>
          </w:p>
        </w:tc>
        <w:tc>
          <w:tcPr>
            <w:tcW w:w="1032" w:type="dxa"/>
            <w:tcBorders>
              <w:righ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-1.3%</w:t>
            </w:r>
          </w:p>
        </w:tc>
        <w:tc>
          <w:tcPr>
            <w:tcW w:w="1284" w:type="dxa"/>
            <w:tcBorders>
              <w:lef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-7.7%</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20.2%</w:t>
            </w:r>
          </w:p>
        </w:tc>
        <w:tc>
          <w:tcPr>
            <w:tcW w:w="0" w:type="auto"/>
            <w:tcBorders>
              <w:lef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13.2%</w:t>
            </w:r>
          </w:p>
        </w:tc>
        <w:tc>
          <w:tcPr>
            <w:tcW w:w="867" w:type="dxa"/>
            <w:tcBorders>
              <w:right w:val="nil"/>
            </w:tcBorders>
            <w:shd w:val="clear" w:color="auto" w:fill="auto"/>
            <w:vAlign w:val="bottom"/>
          </w:tcPr>
          <w:p w:rsidR="00C078E2" w:rsidRDefault="00C078E2" w:rsidP="00F2512F">
            <w:pPr>
              <w:jc w:val="center"/>
              <w:rPr>
                <w:rFonts w:ascii="Arial" w:hAnsi="Arial" w:cs="Arial"/>
                <w:color w:val="0070C0"/>
                <w:sz w:val="18"/>
                <w:szCs w:val="18"/>
              </w:rPr>
            </w:pPr>
            <w:r>
              <w:rPr>
                <w:rFonts w:ascii="Arial" w:hAnsi="Arial" w:cs="Arial"/>
                <w:color w:val="0070C0"/>
                <w:sz w:val="18"/>
                <w:szCs w:val="18"/>
              </w:rPr>
              <w:t>-1.9%</w:t>
            </w:r>
          </w:p>
        </w:tc>
        <w:tc>
          <w:tcPr>
            <w:tcW w:w="1017" w:type="dxa"/>
            <w:tcBorders>
              <w:left w:val="nil"/>
              <w:right w:val="nil"/>
            </w:tcBorders>
            <w:shd w:val="clear" w:color="auto" w:fill="auto"/>
            <w:vAlign w:val="bottom"/>
          </w:tcPr>
          <w:p w:rsidR="00C078E2" w:rsidRDefault="00C078E2" w:rsidP="00F2512F">
            <w:pPr>
              <w:jc w:val="center"/>
              <w:rPr>
                <w:rFonts w:ascii="Arial" w:hAnsi="Arial" w:cs="Arial"/>
                <w:color w:val="0070C0"/>
                <w:sz w:val="18"/>
                <w:szCs w:val="18"/>
              </w:rPr>
            </w:pPr>
            <w:r>
              <w:rPr>
                <w:rFonts w:ascii="Arial" w:hAnsi="Arial" w:cs="Arial"/>
                <w:color w:val="0070C0"/>
                <w:sz w:val="18"/>
                <w:szCs w:val="18"/>
              </w:rPr>
              <w:t>0.3%</w:t>
            </w:r>
          </w:p>
        </w:tc>
      </w:tr>
      <w:tr w:rsidR="00C078E2" w:rsidRPr="00307829" w:rsidTr="00F2512F">
        <w:trPr>
          <w:trHeight w:val="288"/>
        </w:trPr>
        <w:tc>
          <w:tcPr>
            <w:tcW w:w="0" w:type="auto"/>
            <w:tcBorders>
              <w:left w:val="nil"/>
            </w:tcBorders>
            <w:shd w:val="clear" w:color="auto" w:fill="auto"/>
            <w:noWrap/>
            <w:vAlign w:val="center"/>
            <w:hideMark/>
          </w:tcPr>
          <w:p w:rsidR="00C078E2" w:rsidRPr="00BE2914" w:rsidRDefault="00C078E2" w:rsidP="00F2512F">
            <w:pP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94,490</w:t>
            </w:r>
          </w:p>
        </w:tc>
        <w:tc>
          <w:tcPr>
            <w:tcW w:w="1264" w:type="dxa"/>
            <w:tcBorders>
              <w:lef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719,804</w:t>
            </w:r>
          </w:p>
        </w:tc>
        <w:tc>
          <w:tcPr>
            <w:tcW w:w="1032" w:type="dxa"/>
            <w:tcBorders>
              <w:righ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4,642</w:t>
            </w:r>
          </w:p>
        </w:tc>
        <w:tc>
          <w:tcPr>
            <w:tcW w:w="1284" w:type="dxa"/>
            <w:tcBorders>
              <w:lef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38,830</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99,132</w:t>
            </w:r>
          </w:p>
        </w:tc>
        <w:tc>
          <w:tcPr>
            <w:tcW w:w="0" w:type="auto"/>
            <w:tcBorders>
              <w:lef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758,634</w:t>
            </w:r>
          </w:p>
        </w:tc>
        <w:tc>
          <w:tcPr>
            <w:tcW w:w="867" w:type="dxa"/>
            <w:tcBorders>
              <w:right w:val="nil"/>
            </w:tcBorders>
            <w:shd w:val="clear" w:color="auto" w:fill="auto"/>
            <w:vAlign w:val="bottom"/>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111,416</w:t>
            </w:r>
          </w:p>
        </w:tc>
        <w:tc>
          <w:tcPr>
            <w:tcW w:w="1017" w:type="dxa"/>
            <w:tcBorders>
              <w:left w:val="nil"/>
              <w:right w:val="nil"/>
            </w:tcBorders>
            <w:shd w:val="clear" w:color="auto" w:fill="auto"/>
            <w:vAlign w:val="bottom"/>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963,418</w:t>
            </w:r>
          </w:p>
        </w:tc>
      </w:tr>
      <w:tr w:rsidR="00C078E2" w:rsidRPr="00307829" w:rsidTr="00F2512F">
        <w:trPr>
          <w:trHeight w:val="288"/>
        </w:trPr>
        <w:tc>
          <w:tcPr>
            <w:tcW w:w="0" w:type="auto"/>
            <w:tcBorders>
              <w:left w:val="nil"/>
            </w:tcBorders>
            <w:shd w:val="clear" w:color="auto" w:fill="auto"/>
            <w:noWrap/>
            <w:vAlign w:val="center"/>
            <w:hideMark/>
          </w:tcPr>
          <w:p w:rsidR="00C078E2" w:rsidRPr="00BE2914" w:rsidRDefault="00C078E2" w:rsidP="00F2512F">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15.3%</w:t>
            </w:r>
          </w:p>
        </w:tc>
        <w:tc>
          <w:tcPr>
            <w:tcW w:w="1264" w:type="dxa"/>
            <w:tcBorders>
              <w:lef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13.9%</w:t>
            </w:r>
          </w:p>
        </w:tc>
        <w:tc>
          <w:tcPr>
            <w:tcW w:w="1032" w:type="dxa"/>
            <w:tcBorders>
              <w:righ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-13.5%</w:t>
            </w:r>
          </w:p>
        </w:tc>
        <w:tc>
          <w:tcPr>
            <w:tcW w:w="1284" w:type="dxa"/>
            <w:tcBorders>
              <w:lef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-6.0%</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13.5%</w:t>
            </w:r>
          </w:p>
        </w:tc>
        <w:tc>
          <w:tcPr>
            <w:tcW w:w="0" w:type="auto"/>
            <w:tcBorders>
              <w:lef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12.7%</w:t>
            </w:r>
          </w:p>
        </w:tc>
        <w:tc>
          <w:tcPr>
            <w:tcW w:w="867" w:type="dxa"/>
            <w:tcBorders>
              <w:right w:val="nil"/>
            </w:tcBorders>
            <w:shd w:val="clear" w:color="auto" w:fill="auto"/>
            <w:vAlign w:val="bottom"/>
          </w:tcPr>
          <w:p w:rsidR="00C078E2" w:rsidRDefault="00C078E2" w:rsidP="00F2512F">
            <w:pPr>
              <w:jc w:val="center"/>
              <w:rPr>
                <w:rFonts w:ascii="Arial" w:hAnsi="Arial" w:cs="Arial"/>
                <w:color w:val="0070C0"/>
                <w:sz w:val="18"/>
                <w:szCs w:val="18"/>
              </w:rPr>
            </w:pPr>
            <w:r>
              <w:rPr>
                <w:rFonts w:ascii="Arial" w:hAnsi="Arial" w:cs="Arial"/>
                <w:color w:val="0070C0"/>
                <w:sz w:val="18"/>
                <w:szCs w:val="18"/>
              </w:rPr>
              <w:t>-17.6%</w:t>
            </w:r>
          </w:p>
        </w:tc>
        <w:tc>
          <w:tcPr>
            <w:tcW w:w="1017" w:type="dxa"/>
            <w:tcBorders>
              <w:left w:val="nil"/>
              <w:right w:val="nil"/>
            </w:tcBorders>
            <w:shd w:val="clear" w:color="auto" w:fill="auto"/>
            <w:vAlign w:val="bottom"/>
          </w:tcPr>
          <w:p w:rsidR="00C078E2" w:rsidRDefault="00C078E2" w:rsidP="00F2512F">
            <w:pPr>
              <w:jc w:val="center"/>
              <w:rPr>
                <w:rFonts w:ascii="Arial" w:hAnsi="Arial" w:cs="Arial"/>
                <w:color w:val="0070C0"/>
                <w:sz w:val="18"/>
                <w:szCs w:val="18"/>
              </w:rPr>
            </w:pPr>
            <w:r>
              <w:rPr>
                <w:rFonts w:ascii="Arial" w:hAnsi="Arial" w:cs="Arial"/>
                <w:color w:val="0070C0"/>
                <w:sz w:val="18"/>
                <w:szCs w:val="18"/>
              </w:rPr>
              <w:t>-12.9%</w:t>
            </w:r>
          </w:p>
        </w:tc>
      </w:tr>
      <w:tr w:rsidR="00C078E2" w:rsidRPr="00307829" w:rsidTr="00F2512F">
        <w:trPr>
          <w:trHeight w:val="288"/>
        </w:trPr>
        <w:tc>
          <w:tcPr>
            <w:tcW w:w="0" w:type="auto"/>
            <w:tcBorders>
              <w:left w:val="nil"/>
            </w:tcBorders>
            <w:shd w:val="clear" w:color="auto" w:fill="auto"/>
            <w:noWrap/>
            <w:vAlign w:val="center"/>
            <w:hideMark/>
          </w:tcPr>
          <w:p w:rsidR="00C078E2" w:rsidRPr="00BE2914" w:rsidRDefault="00C078E2" w:rsidP="00F2512F">
            <w:pPr>
              <w:rPr>
                <w:rFonts w:ascii="Arial" w:hAnsi="Arial" w:cs="Arial"/>
                <w:color w:val="1074CB"/>
                <w:sz w:val="18"/>
                <w:szCs w:val="18"/>
              </w:rPr>
            </w:pPr>
            <w:r w:rsidRPr="00BE2914">
              <w:rPr>
                <w:rFonts w:ascii="Arial" w:hAnsi="Arial" w:cs="Arial"/>
                <w:color w:val="1074CB"/>
                <w:sz w:val="18"/>
                <w:szCs w:val="18"/>
              </w:rPr>
              <w:t>% of total</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78.8%</w:t>
            </w:r>
          </w:p>
        </w:tc>
        <w:tc>
          <w:tcPr>
            <w:tcW w:w="1264" w:type="dxa"/>
            <w:tcBorders>
              <w:left w:val="nil"/>
            </w:tcBorders>
            <w:shd w:val="clear" w:color="auto" w:fill="auto"/>
            <w:noWrap/>
            <w:vAlign w:val="bottom"/>
            <w:hideMark/>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82.2%</w:t>
            </w:r>
          </w:p>
        </w:tc>
        <w:tc>
          <w:tcPr>
            <w:tcW w:w="1032" w:type="dxa"/>
            <w:tcBorders>
              <w:right w:val="nil"/>
            </w:tcBorders>
            <w:shd w:val="clear" w:color="auto" w:fill="auto"/>
            <w:noWrap/>
            <w:vAlign w:val="bottom"/>
            <w:hideMark/>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51.6%</w:t>
            </w:r>
          </w:p>
        </w:tc>
        <w:tc>
          <w:tcPr>
            <w:tcW w:w="1284" w:type="dxa"/>
            <w:tcBorders>
              <w:left w:val="nil"/>
            </w:tcBorders>
            <w:shd w:val="clear" w:color="auto" w:fill="auto"/>
            <w:noWrap/>
            <w:vAlign w:val="bottom"/>
            <w:hideMark/>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59.6%</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76.9%</w:t>
            </w:r>
          </w:p>
        </w:tc>
        <w:tc>
          <w:tcPr>
            <w:tcW w:w="0" w:type="auto"/>
            <w:tcBorders>
              <w:left w:val="nil"/>
            </w:tcBorders>
            <w:shd w:val="clear" w:color="auto" w:fill="auto"/>
            <w:noWrap/>
            <w:vAlign w:val="bottom"/>
            <w:hideMark/>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80.6%</w:t>
            </w:r>
          </w:p>
        </w:tc>
        <w:tc>
          <w:tcPr>
            <w:tcW w:w="867" w:type="dxa"/>
            <w:tcBorders>
              <w:right w:val="nil"/>
            </w:tcBorders>
            <w:shd w:val="clear" w:color="auto" w:fill="auto"/>
            <w:vAlign w:val="bottom"/>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61.9%</w:t>
            </w:r>
          </w:p>
        </w:tc>
        <w:tc>
          <w:tcPr>
            <w:tcW w:w="1017" w:type="dxa"/>
            <w:tcBorders>
              <w:left w:val="nil"/>
              <w:right w:val="nil"/>
            </w:tcBorders>
            <w:shd w:val="clear" w:color="auto" w:fill="auto"/>
            <w:vAlign w:val="bottom"/>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63.5%</w:t>
            </w:r>
          </w:p>
        </w:tc>
      </w:tr>
      <w:tr w:rsidR="00C078E2" w:rsidRPr="00307829" w:rsidTr="00F2512F">
        <w:trPr>
          <w:trHeight w:val="288"/>
        </w:trPr>
        <w:tc>
          <w:tcPr>
            <w:tcW w:w="0" w:type="auto"/>
            <w:tcBorders>
              <w:left w:val="nil"/>
            </w:tcBorders>
            <w:shd w:val="clear" w:color="auto" w:fill="auto"/>
            <w:noWrap/>
            <w:vAlign w:val="center"/>
            <w:hideMark/>
          </w:tcPr>
          <w:p w:rsidR="00C078E2" w:rsidRPr="00BE2914" w:rsidRDefault="00C078E2" w:rsidP="00F2512F">
            <w:pPr>
              <w:rPr>
                <w:rFonts w:ascii="Arial" w:hAnsi="Arial" w:cs="Arial"/>
                <w:b/>
                <w:bCs/>
                <w:color w:val="1074CB"/>
                <w:sz w:val="18"/>
                <w:szCs w:val="18"/>
              </w:rPr>
            </w:pPr>
            <w:r w:rsidRPr="00BE2914">
              <w:rPr>
                <w:rFonts w:ascii="Arial" w:hAnsi="Arial" w:cs="Arial"/>
                <w:b/>
                <w:bCs/>
                <w:color w:val="1074CB"/>
                <w:sz w:val="18"/>
                <w:szCs w:val="18"/>
              </w:rPr>
              <w:t>Home</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25,392</w:t>
            </w:r>
          </w:p>
        </w:tc>
        <w:tc>
          <w:tcPr>
            <w:tcW w:w="1264" w:type="dxa"/>
            <w:tcBorders>
              <w:lef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156,194</w:t>
            </w:r>
          </w:p>
        </w:tc>
        <w:tc>
          <w:tcPr>
            <w:tcW w:w="1032" w:type="dxa"/>
            <w:tcBorders>
              <w:righ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4,362</w:t>
            </w:r>
          </w:p>
        </w:tc>
        <w:tc>
          <w:tcPr>
            <w:tcW w:w="1284" w:type="dxa"/>
            <w:tcBorders>
              <w:lef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26,270</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29,754</w:t>
            </w:r>
          </w:p>
        </w:tc>
        <w:tc>
          <w:tcPr>
            <w:tcW w:w="0" w:type="auto"/>
            <w:tcBorders>
              <w:left w:val="nil"/>
            </w:tcBorders>
            <w:shd w:val="clear" w:color="auto" w:fill="auto"/>
            <w:noWrap/>
            <w:vAlign w:val="bottom"/>
            <w:hideMark/>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182,464</w:t>
            </w:r>
          </w:p>
        </w:tc>
        <w:tc>
          <w:tcPr>
            <w:tcW w:w="867" w:type="dxa"/>
            <w:tcBorders>
              <w:right w:val="nil"/>
            </w:tcBorders>
            <w:shd w:val="clear" w:color="auto" w:fill="auto"/>
            <w:vAlign w:val="bottom"/>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68,693</w:t>
            </w:r>
          </w:p>
        </w:tc>
        <w:tc>
          <w:tcPr>
            <w:tcW w:w="1017" w:type="dxa"/>
            <w:tcBorders>
              <w:left w:val="nil"/>
              <w:right w:val="nil"/>
            </w:tcBorders>
            <w:shd w:val="clear" w:color="auto" w:fill="auto"/>
            <w:vAlign w:val="bottom"/>
          </w:tcPr>
          <w:p w:rsidR="00C078E2" w:rsidRDefault="00C078E2" w:rsidP="00F2512F">
            <w:pPr>
              <w:jc w:val="center"/>
              <w:rPr>
                <w:rFonts w:ascii="Arial" w:hAnsi="Arial" w:cs="Arial"/>
                <w:b/>
                <w:bCs/>
                <w:color w:val="0070C0"/>
                <w:sz w:val="18"/>
                <w:szCs w:val="18"/>
              </w:rPr>
            </w:pPr>
            <w:r>
              <w:rPr>
                <w:rFonts w:ascii="Arial" w:hAnsi="Arial" w:cs="Arial"/>
                <w:b/>
                <w:bCs/>
                <w:color w:val="0070C0"/>
                <w:sz w:val="18"/>
                <w:szCs w:val="18"/>
              </w:rPr>
              <w:t>552,970</w:t>
            </w:r>
          </w:p>
        </w:tc>
      </w:tr>
      <w:tr w:rsidR="00C078E2" w:rsidRPr="00307829" w:rsidTr="00F2512F">
        <w:trPr>
          <w:trHeight w:val="288"/>
        </w:trPr>
        <w:tc>
          <w:tcPr>
            <w:tcW w:w="0" w:type="auto"/>
            <w:tcBorders>
              <w:left w:val="nil"/>
            </w:tcBorders>
            <w:shd w:val="clear" w:color="auto" w:fill="auto"/>
            <w:noWrap/>
            <w:vAlign w:val="center"/>
            <w:hideMark/>
          </w:tcPr>
          <w:p w:rsidR="00C078E2" w:rsidRPr="00BE2914" w:rsidRDefault="00C078E2" w:rsidP="00F2512F">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57.4%</w:t>
            </w:r>
          </w:p>
        </w:tc>
        <w:tc>
          <w:tcPr>
            <w:tcW w:w="1264" w:type="dxa"/>
            <w:tcBorders>
              <w:lef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21.2%</w:t>
            </w:r>
          </w:p>
        </w:tc>
        <w:tc>
          <w:tcPr>
            <w:tcW w:w="1032" w:type="dxa"/>
            <w:tcBorders>
              <w:righ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16.0%</w:t>
            </w:r>
          </w:p>
        </w:tc>
        <w:tc>
          <w:tcPr>
            <w:tcW w:w="1284" w:type="dxa"/>
            <w:tcBorders>
              <w:lef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-10.2%</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49.6%</w:t>
            </w:r>
          </w:p>
        </w:tc>
        <w:tc>
          <w:tcPr>
            <w:tcW w:w="0" w:type="auto"/>
            <w:tcBorders>
              <w:left w:val="nil"/>
            </w:tcBorders>
            <w:shd w:val="clear" w:color="auto" w:fill="auto"/>
            <w:noWrap/>
            <w:vAlign w:val="bottom"/>
            <w:hideMark/>
          </w:tcPr>
          <w:p w:rsidR="00C078E2" w:rsidRDefault="00C078E2" w:rsidP="00F2512F">
            <w:pPr>
              <w:jc w:val="center"/>
              <w:rPr>
                <w:rFonts w:ascii="Arial" w:hAnsi="Arial" w:cs="Arial"/>
                <w:color w:val="0070C0"/>
                <w:sz w:val="18"/>
                <w:szCs w:val="18"/>
              </w:rPr>
            </w:pPr>
            <w:r>
              <w:rPr>
                <w:rFonts w:ascii="Arial" w:hAnsi="Arial" w:cs="Arial"/>
                <w:color w:val="0070C0"/>
                <w:sz w:val="18"/>
                <w:szCs w:val="18"/>
              </w:rPr>
              <w:t>15.4%</w:t>
            </w:r>
          </w:p>
        </w:tc>
        <w:tc>
          <w:tcPr>
            <w:tcW w:w="867" w:type="dxa"/>
            <w:tcBorders>
              <w:right w:val="nil"/>
            </w:tcBorders>
            <w:shd w:val="clear" w:color="auto" w:fill="auto"/>
            <w:vAlign w:val="bottom"/>
          </w:tcPr>
          <w:p w:rsidR="00C078E2" w:rsidRDefault="00C078E2" w:rsidP="00F2512F">
            <w:pPr>
              <w:jc w:val="center"/>
              <w:rPr>
                <w:rFonts w:ascii="Arial" w:hAnsi="Arial" w:cs="Arial"/>
                <w:color w:val="0070C0"/>
                <w:sz w:val="18"/>
                <w:szCs w:val="18"/>
              </w:rPr>
            </w:pPr>
            <w:r>
              <w:rPr>
                <w:rFonts w:ascii="Arial" w:hAnsi="Arial" w:cs="Arial"/>
                <w:color w:val="0070C0"/>
                <w:sz w:val="18"/>
                <w:szCs w:val="18"/>
              </w:rPr>
              <w:t>43.2%</w:t>
            </w:r>
          </w:p>
        </w:tc>
        <w:tc>
          <w:tcPr>
            <w:tcW w:w="1017" w:type="dxa"/>
            <w:tcBorders>
              <w:left w:val="nil"/>
              <w:right w:val="nil"/>
            </w:tcBorders>
            <w:shd w:val="clear" w:color="auto" w:fill="auto"/>
            <w:vAlign w:val="bottom"/>
          </w:tcPr>
          <w:p w:rsidR="00C078E2" w:rsidRDefault="00C078E2" w:rsidP="00F2512F">
            <w:pPr>
              <w:jc w:val="center"/>
              <w:rPr>
                <w:rFonts w:ascii="Arial" w:hAnsi="Arial" w:cs="Arial"/>
                <w:color w:val="0070C0"/>
                <w:sz w:val="18"/>
                <w:szCs w:val="18"/>
              </w:rPr>
            </w:pPr>
            <w:r>
              <w:rPr>
                <w:rFonts w:ascii="Arial" w:hAnsi="Arial" w:cs="Arial"/>
                <w:color w:val="0070C0"/>
                <w:sz w:val="18"/>
                <w:szCs w:val="18"/>
              </w:rPr>
              <w:t>35.9%</w:t>
            </w:r>
          </w:p>
        </w:tc>
      </w:tr>
      <w:tr w:rsidR="00C078E2" w:rsidRPr="00307829" w:rsidTr="00F2512F">
        <w:trPr>
          <w:trHeight w:val="288"/>
        </w:trPr>
        <w:tc>
          <w:tcPr>
            <w:tcW w:w="0" w:type="auto"/>
            <w:tcBorders>
              <w:left w:val="nil"/>
            </w:tcBorders>
            <w:shd w:val="clear" w:color="auto" w:fill="auto"/>
            <w:noWrap/>
            <w:vAlign w:val="center"/>
            <w:hideMark/>
          </w:tcPr>
          <w:p w:rsidR="00C078E2" w:rsidRPr="00BE2914" w:rsidRDefault="00C078E2" w:rsidP="00F2512F">
            <w:pPr>
              <w:rPr>
                <w:rFonts w:ascii="Arial" w:hAnsi="Arial" w:cs="Arial"/>
                <w:color w:val="1074CB"/>
                <w:sz w:val="18"/>
                <w:szCs w:val="18"/>
              </w:rPr>
            </w:pPr>
            <w:r w:rsidRPr="00BE2914">
              <w:rPr>
                <w:rFonts w:ascii="Arial" w:hAnsi="Arial" w:cs="Arial"/>
                <w:color w:val="1074CB"/>
                <w:sz w:val="18"/>
                <w:szCs w:val="18"/>
              </w:rPr>
              <w:t>% of total</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21.2%</w:t>
            </w:r>
          </w:p>
        </w:tc>
        <w:tc>
          <w:tcPr>
            <w:tcW w:w="1264" w:type="dxa"/>
            <w:tcBorders>
              <w:left w:val="nil"/>
            </w:tcBorders>
            <w:shd w:val="clear" w:color="auto" w:fill="auto"/>
            <w:noWrap/>
            <w:vAlign w:val="bottom"/>
            <w:hideMark/>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17.8%</w:t>
            </w:r>
          </w:p>
        </w:tc>
        <w:tc>
          <w:tcPr>
            <w:tcW w:w="1032" w:type="dxa"/>
            <w:tcBorders>
              <w:right w:val="nil"/>
            </w:tcBorders>
            <w:shd w:val="clear" w:color="auto" w:fill="auto"/>
            <w:noWrap/>
            <w:vAlign w:val="bottom"/>
            <w:hideMark/>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48.4%</w:t>
            </w:r>
          </w:p>
        </w:tc>
        <w:tc>
          <w:tcPr>
            <w:tcW w:w="1284" w:type="dxa"/>
            <w:tcBorders>
              <w:left w:val="nil"/>
            </w:tcBorders>
            <w:shd w:val="clear" w:color="auto" w:fill="auto"/>
            <w:noWrap/>
            <w:vAlign w:val="bottom"/>
            <w:hideMark/>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40.4%</w:t>
            </w:r>
          </w:p>
        </w:tc>
        <w:tc>
          <w:tcPr>
            <w:tcW w:w="0" w:type="auto"/>
            <w:tcBorders>
              <w:right w:val="nil"/>
            </w:tcBorders>
            <w:shd w:val="clear" w:color="auto" w:fill="auto"/>
            <w:noWrap/>
            <w:vAlign w:val="bottom"/>
            <w:hideMark/>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23.1%</w:t>
            </w:r>
          </w:p>
        </w:tc>
        <w:tc>
          <w:tcPr>
            <w:tcW w:w="0" w:type="auto"/>
            <w:tcBorders>
              <w:left w:val="nil"/>
            </w:tcBorders>
            <w:shd w:val="clear" w:color="auto" w:fill="auto"/>
            <w:noWrap/>
            <w:vAlign w:val="bottom"/>
            <w:hideMark/>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19.4%</w:t>
            </w:r>
          </w:p>
        </w:tc>
        <w:tc>
          <w:tcPr>
            <w:tcW w:w="867" w:type="dxa"/>
            <w:tcBorders>
              <w:right w:val="nil"/>
            </w:tcBorders>
            <w:shd w:val="clear" w:color="auto" w:fill="auto"/>
            <w:vAlign w:val="bottom"/>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38.1%</w:t>
            </w:r>
          </w:p>
        </w:tc>
        <w:tc>
          <w:tcPr>
            <w:tcW w:w="1017" w:type="dxa"/>
            <w:tcBorders>
              <w:left w:val="nil"/>
              <w:right w:val="nil"/>
            </w:tcBorders>
            <w:shd w:val="clear" w:color="auto" w:fill="auto"/>
            <w:vAlign w:val="bottom"/>
          </w:tcPr>
          <w:p w:rsidR="00C078E2" w:rsidRDefault="00C078E2" w:rsidP="00F2512F">
            <w:pPr>
              <w:jc w:val="center"/>
              <w:rPr>
                <w:rFonts w:ascii="Arial" w:hAnsi="Arial" w:cs="Arial"/>
                <w:i/>
                <w:iCs/>
                <w:color w:val="0070C0"/>
                <w:sz w:val="18"/>
                <w:szCs w:val="18"/>
              </w:rPr>
            </w:pPr>
            <w:r>
              <w:rPr>
                <w:rFonts w:ascii="Arial" w:hAnsi="Arial" w:cs="Arial"/>
                <w:i/>
                <w:iCs/>
                <w:color w:val="0070C0"/>
                <w:sz w:val="18"/>
                <w:szCs w:val="18"/>
              </w:rPr>
              <w:t>36.5%</w:t>
            </w:r>
          </w:p>
        </w:tc>
      </w:tr>
    </w:tbl>
    <w:p w:rsidR="00C078E2" w:rsidRPr="00C078E2" w:rsidRDefault="00C078E2" w:rsidP="00C078E2">
      <w:pPr>
        <w:keepNext/>
        <w:spacing w:line="276" w:lineRule="auto"/>
        <w:rPr>
          <w:rFonts w:ascii="Arial" w:hAnsi="Arial" w:cs="Arial"/>
          <w:b/>
          <w:color w:val="0D2255"/>
          <w:sz w:val="8"/>
          <w:szCs w:val="8"/>
        </w:rPr>
      </w:pPr>
      <w:r>
        <w:rPr>
          <w:rFonts w:ascii="Arial" w:hAnsi="Arial" w:cs="Arial"/>
          <w:b/>
          <w:color w:val="0D2255"/>
          <w:sz w:val="20"/>
        </w:rPr>
        <w:t xml:space="preserve">      </w:t>
      </w:r>
    </w:p>
    <w:p w:rsidR="00C078E2" w:rsidRDefault="00C078E2" w:rsidP="00C078E2">
      <w:pPr>
        <w:keepNext/>
        <w:spacing w:line="276" w:lineRule="auto"/>
      </w:pPr>
      <w:r w:rsidRPr="0081561D">
        <w:rPr>
          <w:rFonts w:ascii="Arial" w:hAnsi="Arial" w:cs="Arial"/>
          <w:b/>
          <w:color w:val="0D2255"/>
          <w:sz w:val="20"/>
        </w:rPr>
        <w:t xml:space="preserve">Car </w:t>
      </w:r>
      <w:r>
        <w:rPr>
          <w:rFonts w:ascii="Arial" w:hAnsi="Arial" w:cs="Arial"/>
          <w:b/>
          <w:color w:val="0D2255"/>
          <w:sz w:val="20"/>
        </w:rPr>
        <w:t>and CV output</w:t>
      </w:r>
      <w:r w:rsidRPr="0081561D">
        <w:rPr>
          <w:rFonts w:ascii="Arial" w:hAnsi="Arial" w:cs="Arial"/>
          <w:b/>
          <w:color w:val="0D2255"/>
          <w:sz w:val="20"/>
        </w:rPr>
        <w:t xml:space="preserve"> rolling year total </w:t>
      </w:r>
      <w:r>
        <w:rPr>
          <w:rFonts w:ascii="Arial" w:hAnsi="Arial" w:cs="Arial"/>
          <w:b/>
          <w:color w:val="0D2255"/>
          <w:sz w:val="20"/>
        </w:rPr>
        <w:tab/>
      </w:r>
      <w:r>
        <w:rPr>
          <w:rFonts w:ascii="Arial" w:hAnsi="Arial" w:cs="Arial"/>
          <w:b/>
          <w:color w:val="0D2255"/>
          <w:sz w:val="20"/>
        </w:rPr>
        <w:tab/>
        <w:t xml:space="preserve">           Car forecast output*</w:t>
      </w:r>
      <w:r w:rsidRPr="002C57DA">
        <w:rPr>
          <w:noProof/>
        </w:rPr>
        <w:drawing>
          <wp:inline distT="0" distB="0" distL="0" distR="0">
            <wp:extent cx="2956560" cy="2758440"/>
            <wp:effectExtent l="0" t="0" r="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C57DA">
        <w:rPr>
          <w:noProof/>
        </w:rPr>
        <w:drawing>
          <wp:inline distT="0" distB="0" distL="0" distR="0">
            <wp:extent cx="2956560" cy="2758440"/>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78E2" w:rsidRPr="00281847" w:rsidRDefault="00C078E2" w:rsidP="00C078E2">
      <w:pPr>
        <w:pStyle w:val="Caption"/>
        <w:rPr>
          <w:rFonts w:ascii="Arial" w:hAnsi="Arial" w:cs="Arial"/>
          <w:b w:val="0"/>
          <w:color w:val="0D2255"/>
          <w:sz w:val="16"/>
          <w:szCs w:val="16"/>
        </w:rPr>
        <w:sectPr w:rsidR="00C078E2" w:rsidRPr="00281847" w:rsidSect="0063175B">
          <w:headerReference w:type="default" r:id="rId9"/>
          <w:footerReference w:type="default" r:id="rId10"/>
          <w:pgSz w:w="11906" w:h="16838"/>
          <w:pgMar w:top="707" w:right="1133" w:bottom="1134" w:left="1418" w:header="0" w:footer="277" w:gutter="0"/>
          <w:cols w:space="720" w:equalWidth="0">
            <w:col w:w="9355"/>
          </w:cols>
          <w:docGrid w:linePitch="360"/>
        </w:sectPr>
      </w:pPr>
      <w:r w:rsidRPr="00521C1F">
        <w:rPr>
          <w:rFonts w:ascii="Arial" w:hAnsi="Arial" w:cs="Arial"/>
          <w:b w:val="0"/>
          <w:sz w:val="16"/>
          <w:szCs w:val="16"/>
        </w:rPr>
        <w:t>*Independent forecast based on current investment and output levels and sustained stability in Europ</w:t>
      </w:r>
      <w:r>
        <w:rPr>
          <w:rFonts w:ascii="Arial" w:hAnsi="Arial" w:cs="Arial"/>
          <w:b w:val="0"/>
          <w:sz w:val="16"/>
          <w:szCs w:val="16"/>
        </w:rPr>
        <w:t>e</w:t>
      </w:r>
    </w:p>
    <w:p w:rsidR="00E56C54" w:rsidRPr="00473D48" w:rsidRDefault="00E56C54" w:rsidP="00C078E2">
      <w:pPr>
        <w:rPr>
          <w:rFonts w:ascii="Arial" w:hAnsi="Arial" w:cs="Arial"/>
        </w:rPr>
      </w:pPr>
    </w:p>
    <w:sectPr w:rsidR="00E56C54" w:rsidRPr="00473D48" w:rsidSect="0063175B">
      <w:headerReference w:type="default" r:id="rId11"/>
      <w:footerReference w:type="default" r:id="rId12"/>
      <w:type w:val="continuous"/>
      <w:pgSz w:w="11906" w:h="16838" w:code="9"/>
      <w:pgMar w:top="-249" w:right="284" w:bottom="851" w:left="1418" w:header="23" w:footer="277"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E2" w:rsidRDefault="00C078E2" w:rsidP="00C078E2">
      <w:r>
        <w:separator/>
      </w:r>
    </w:p>
  </w:endnote>
  <w:endnote w:type="continuationSeparator" w:id="0">
    <w:p w:rsidR="00C078E2" w:rsidRDefault="00C078E2" w:rsidP="00C07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E2" w:rsidRDefault="00C078E2" w:rsidP="00DA3655">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C078E2" w:rsidRPr="0098763B" w:rsidRDefault="00C078E2" w:rsidP="00DA3655">
    <w:pPr>
      <w:pStyle w:val="Heading1"/>
      <w:ind w:left="0" w:firstLine="0"/>
      <w:rPr>
        <w:rFonts w:ascii="Arial" w:hAnsi="Arial" w:cs="Arial"/>
        <w:b w:val="0"/>
        <w:color w:val="1074CB"/>
        <w:sz w:val="16"/>
        <w:szCs w:val="16"/>
      </w:rPr>
    </w:pPr>
    <w:r w:rsidRPr="0098763B">
      <w:rPr>
        <w:rFonts w:ascii="Arial" w:hAnsi="Arial" w:cs="Arial"/>
        <w:b w:val="0"/>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w:t>
    </w:r>
    <w:r>
      <w:rPr>
        <w:rFonts w:ascii="Arial" w:hAnsi="Arial" w:cs="Arial"/>
        <w:b w:val="0"/>
        <w:color w:val="1074CB"/>
        <w:sz w:val="16"/>
        <w:szCs w:val="16"/>
      </w:rPr>
      <w:t>55 billion turnover and £12</w:t>
    </w:r>
    <w:r w:rsidRPr="0098763B">
      <w:rPr>
        <w:rFonts w:ascii="Arial" w:hAnsi="Arial" w:cs="Arial"/>
        <w:b w:val="0"/>
        <w:color w:val="1074CB"/>
        <w:sz w:val="16"/>
        <w:szCs w:val="16"/>
      </w:rPr>
      <w:t xml:space="preserve"> billion value added. With </w:t>
    </w:r>
    <w:r>
      <w:rPr>
        <w:rFonts w:ascii="Arial" w:hAnsi="Arial" w:cs="Arial"/>
        <w:b w:val="0"/>
        <w:color w:val="1074CB"/>
        <w:sz w:val="16"/>
        <w:szCs w:val="16"/>
      </w:rPr>
      <w:t>more than</w:t>
    </w:r>
    <w:r w:rsidRPr="0098763B">
      <w:rPr>
        <w:rFonts w:ascii="Arial" w:hAnsi="Arial" w:cs="Arial"/>
        <w:b w:val="0"/>
        <w:color w:val="1074CB"/>
        <w:sz w:val="16"/>
        <w:szCs w:val="16"/>
      </w:rPr>
      <w:t xml:space="preserve"> 700,000 jobs dependent on the industry, it accounts for 10% of total exports and invests </w:t>
    </w:r>
    <w:r>
      <w:rPr>
        <w:rFonts w:ascii="Arial" w:hAnsi="Arial" w:cs="Arial"/>
        <w:b w:val="0"/>
        <w:color w:val="1074CB"/>
        <w:sz w:val="16"/>
        <w:szCs w:val="16"/>
      </w:rPr>
      <w:t>£</w:t>
    </w:r>
    <w:r w:rsidRPr="0098763B">
      <w:rPr>
        <w:rFonts w:ascii="Arial" w:hAnsi="Arial" w:cs="Arial"/>
        <w:b w:val="0"/>
        <w:color w:val="1074CB"/>
        <w:sz w:val="16"/>
        <w:szCs w:val="16"/>
      </w:rPr>
      <w:t xml:space="preserve">1.3 billion each year in automotive R&amp;D. </w:t>
    </w:r>
    <w:r w:rsidRPr="00281847">
      <w:rPr>
        <w:rFonts w:ascii="Arial" w:hAnsi="Arial" w:cs="Arial"/>
        <w:b w:val="0"/>
        <w:color w:val="1074CB"/>
        <w:sz w:val="16"/>
        <w:szCs w:val="16"/>
      </w:rPr>
      <w:t xml:space="preserve">For more details, see SMMT’s Sustainability Report 2012 and Motor Industry Facts 2012 at </w:t>
    </w:r>
    <w:hyperlink r:id="rId1" w:history="1">
      <w:r w:rsidRPr="00281847">
        <w:rPr>
          <w:rStyle w:val="Hyperlink"/>
          <w:rFonts w:ascii="Arial" w:hAnsi="Arial" w:cs="Arial"/>
          <w:sz w:val="16"/>
          <w:szCs w:val="16"/>
        </w:rPr>
        <w:t>www.smmt.co.uk/publications</w:t>
      </w:r>
    </w:hyperlink>
  </w:p>
  <w:p w:rsidR="00C078E2" w:rsidRPr="00593F7B" w:rsidRDefault="00C078E2" w:rsidP="0098763B">
    <w:pPr>
      <w:pStyle w:val="Footer"/>
      <w:rPr>
        <w:rFonts w:ascii="Arial" w:hAnsi="Arial" w:cs="Arial"/>
        <w:sz w:val="16"/>
        <w:szCs w:val="16"/>
      </w:rPr>
    </w:pPr>
  </w:p>
  <w:p w:rsidR="00C078E2" w:rsidRDefault="00C078E2" w:rsidP="0098763B">
    <w:pPr>
      <w:rPr>
        <w:rFonts w:ascii="Arial" w:hAnsi="Arial" w:cs="Arial"/>
        <w:b/>
        <w:color w:val="1074CB"/>
        <w:sz w:val="16"/>
        <w:szCs w:val="16"/>
      </w:rPr>
    </w:pPr>
    <w:r>
      <w:rPr>
        <w:rFonts w:ascii="Arial" w:hAnsi="Arial" w:cs="Arial"/>
        <w:b/>
        <w:color w:val="1074CB"/>
        <w:sz w:val="16"/>
        <w:szCs w:val="16"/>
      </w:rPr>
      <w:t>Media contacts:</w:t>
    </w:r>
  </w:p>
  <w:p w:rsidR="00C078E2" w:rsidRDefault="00C078E2" w:rsidP="0098763B">
    <w:r>
      <w:rPr>
        <w:rFonts w:ascii="Arial" w:hAnsi="Arial" w:cs="Arial"/>
        <w:color w:val="1074CB"/>
        <w:sz w:val="16"/>
        <w:szCs w:val="16"/>
      </w:rPr>
      <w:t>Dan Montefusco</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020 7344 1610</w:t>
    </w:r>
    <w:r>
      <w:rPr>
        <w:rFonts w:ascii="Arial" w:hAnsi="Arial" w:cs="Arial"/>
        <w:color w:val="1074CB"/>
        <w:sz w:val="16"/>
        <w:szCs w:val="16"/>
      </w:rPr>
      <w:tab/>
    </w:r>
    <w:r>
      <w:rPr>
        <w:rFonts w:ascii="Arial" w:hAnsi="Arial" w:cs="Arial"/>
        <w:color w:val="1074CB"/>
        <w:sz w:val="16"/>
        <w:szCs w:val="16"/>
      </w:rPr>
      <w:tab/>
    </w:r>
    <w:hyperlink r:id="rId2" w:history="1">
      <w:r w:rsidRPr="00001748">
        <w:rPr>
          <w:rStyle w:val="Hyperlink"/>
          <w:rFonts w:ascii="Arial" w:hAnsi="Arial" w:cs="Arial"/>
          <w:sz w:val="16"/>
          <w:szCs w:val="16"/>
        </w:rPr>
        <w:t>dmontefusco@smmt.co.uk</w:t>
      </w:r>
    </w:hyperlink>
  </w:p>
  <w:p w:rsidR="00C078E2" w:rsidRDefault="00C078E2" w:rsidP="0098763B">
    <w:pPr>
      <w:rPr>
        <w:rFonts w:ascii="Arial" w:hAnsi="Arial" w:cs="Arial"/>
        <w:color w:val="1074CB"/>
        <w:sz w:val="16"/>
        <w:szCs w:val="16"/>
      </w:rPr>
    </w:pPr>
    <w:r>
      <w:rPr>
        <w:rFonts w:ascii="Arial" w:hAnsi="Arial" w:cs="Arial"/>
        <w:color w:val="1074CB"/>
        <w:sz w:val="16"/>
        <w:szCs w:val="16"/>
      </w:rPr>
      <w:t xml:space="preserve">Kayleigh </w:t>
    </w:r>
    <w:r w:rsidR="008946C6">
      <w:rPr>
        <w:rFonts w:ascii="Arial" w:hAnsi="Arial" w:cs="Arial"/>
        <w:color w:val="1074CB"/>
        <w:sz w:val="16"/>
        <w:szCs w:val="16"/>
      </w:rPr>
      <w:t>Lawrence</w:t>
    </w:r>
    <w:r w:rsidR="008946C6">
      <w:rPr>
        <w:rFonts w:ascii="Arial" w:hAnsi="Arial" w:cs="Arial"/>
        <w:color w:val="1074CB"/>
        <w:sz w:val="16"/>
        <w:szCs w:val="16"/>
      </w:rPr>
      <w:tab/>
    </w:r>
    <w:r w:rsidR="008946C6">
      <w:rPr>
        <w:rFonts w:ascii="Arial" w:hAnsi="Arial" w:cs="Arial"/>
        <w:color w:val="1074CB"/>
        <w:sz w:val="16"/>
        <w:szCs w:val="16"/>
      </w:rPr>
      <w:tab/>
    </w:r>
    <w:r w:rsidR="008946C6">
      <w:rPr>
        <w:rFonts w:ascii="Arial" w:hAnsi="Arial" w:cs="Arial"/>
        <w:color w:val="1074CB"/>
        <w:sz w:val="16"/>
        <w:szCs w:val="16"/>
      </w:rPr>
      <w:tab/>
      <w:t>020 7344 9222</w:t>
    </w:r>
    <w:r w:rsidR="008946C6">
      <w:rPr>
        <w:rFonts w:ascii="Arial" w:hAnsi="Arial" w:cs="Arial"/>
        <w:color w:val="1074CB"/>
        <w:sz w:val="16"/>
        <w:szCs w:val="16"/>
      </w:rPr>
      <w:tab/>
    </w:r>
    <w:r w:rsidR="008946C6">
      <w:rPr>
        <w:rFonts w:ascii="Arial" w:hAnsi="Arial" w:cs="Arial"/>
        <w:color w:val="1074CB"/>
        <w:sz w:val="16"/>
        <w:szCs w:val="16"/>
      </w:rPr>
      <w:tab/>
    </w:r>
    <w:hyperlink r:id="rId3" w:history="1">
      <w:r w:rsidR="008946C6" w:rsidRPr="00FC69B3">
        <w:rPr>
          <w:rStyle w:val="Hyperlink"/>
          <w:rFonts w:ascii="Arial" w:hAnsi="Arial" w:cs="Arial"/>
          <w:sz w:val="16"/>
          <w:szCs w:val="16"/>
        </w:rPr>
        <w:t>klawrence@smmt.co.uk</w:t>
      </w:r>
    </w:hyperlink>
    <w:r w:rsidR="008946C6">
      <w:rPr>
        <w:rFonts w:ascii="Arial" w:hAnsi="Arial" w:cs="Arial"/>
        <w:color w:val="1074CB"/>
        <w:sz w:val="16"/>
        <w:szCs w:val="16"/>
      </w:rPr>
      <w:t xml:space="preserve"> </w:t>
    </w:r>
  </w:p>
  <w:p w:rsidR="00C078E2" w:rsidRDefault="00C078E2" w:rsidP="0098763B">
    <w:pPr>
      <w:rPr>
        <w:rFonts w:ascii="Arial" w:hAnsi="Arial" w:cs="Arial"/>
        <w:color w:val="1074CB"/>
        <w:sz w:val="16"/>
        <w:szCs w:val="16"/>
      </w:rPr>
    </w:pPr>
  </w:p>
  <w:p w:rsidR="00C078E2" w:rsidRDefault="00C078E2" w:rsidP="00987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5B" w:rsidRDefault="008946C6" w:rsidP="00B21E34">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E2" w:rsidRDefault="00C078E2" w:rsidP="00C078E2">
      <w:r>
        <w:separator/>
      </w:r>
    </w:p>
  </w:footnote>
  <w:footnote w:type="continuationSeparator" w:id="0">
    <w:p w:rsidR="00C078E2" w:rsidRDefault="00C078E2" w:rsidP="00C07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E2" w:rsidRDefault="00C078E2" w:rsidP="003517A2">
    <w:pPr>
      <w:pStyle w:val="Header"/>
      <w:jc w:val="right"/>
    </w:pPr>
    <w:r w:rsidRPr="0040241C">
      <w:rPr>
        <w:noProof/>
      </w:rPr>
      <w:drawing>
        <wp:anchor distT="0" distB="0" distL="114300" distR="114300" simplePos="0" relativeHeight="251659264" behindDoc="1" locked="0" layoutInCell="1" allowOverlap="1">
          <wp:simplePos x="0" y="0"/>
          <wp:positionH relativeFrom="column">
            <wp:posOffset>4138295</wp:posOffset>
          </wp:positionH>
          <wp:positionV relativeFrom="paragraph">
            <wp:posOffset>66675</wp:posOffset>
          </wp:positionV>
          <wp:extent cx="1952625" cy="742950"/>
          <wp:effectExtent l="19050" t="0" r="9525" b="0"/>
          <wp:wrapNone/>
          <wp:docPr id="14"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2950"/>
                  </a:xfrm>
                  <a:prstGeom prst="rect">
                    <a:avLst/>
                  </a:prstGeom>
                  <a:noFill/>
                  <a:ln w="9525">
                    <a:noFill/>
                    <a:miter lim="800000"/>
                    <a:headEnd/>
                    <a:tailEnd/>
                  </a:ln>
                </pic:spPr>
              </pic:pic>
            </a:graphicData>
          </a:graphic>
        </wp:anchor>
      </w:drawing>
    </w:r>
  </w:p>
  <w:p w:rsidR="00C078E2" w:rsidRDefault="00C078E2" w:rsidP="001A5B1A">
    <w:pPr>
      <w:rPr>
        <w:rStyle w:val="Strong"/>
        <w:rFonts w:ascii="Arial" w:hAnsi="Arial" w:cs="Arial"/>
        <w:color w:val="1074CB"/>
        <w:sz w:val="20"/>
      </w:rPr>
    </w:pPr>
    <w:r>
      <w:rPr>
        <w:rStyle w:val="Strong"/>
        <w:rFonts w:ascii="Arial" w:hAnsi="Arial" w:cs="Arial"/>
        <w:color w:val="1074CB"/>
        <w:sz w:val="20"/>
      </w:rPr>
      <w:t xml:space="preserve">                                                                                   </w:t>
    </w:r>
  </w:p>
  <w:p w:rsidR="00C078E2" w:rsidRDefault="00C078E2" w:rsidP="001A5B1A">
    <w:pPr>
      <w:rPr>
        <w:rStyle w:val="Strong"/>
        <w:rFonts w:ascii="Arial" w:hAnsi="Arial" w:cs="Arial"/>
        <w:color w:val="1074CB"/>
        <w:sz w:val="20"/>
      </w:rPr>
    </w:pPr>
  </w:p>
  <w:p w:rsidR="00C078E2" w:rsidRDefault="00C078E2" w:rsidP="001A5B1A">
    <w:pPr>
      <w:rPr>
        <w:rStyle w:val="Strong"/>
        <w:rFonts w:ascii="Arial" w:hAnsi="Arial" w:cs="Arial"/>
        <w:color w:val="1074CB"/>
        <w:sz w:val="20"/>
      </w:rPr>
    </w:pPr>
  </w:p>
  <w:p w:rsidR="00C078E2" w:rsidRDefault="00C078E2" w:rsidP="001A5B1A">
    <w:pPr>
      <w:rPr>
        <w:rStyle w:val="Strong"/>
        <w:rFonts w:ascii="Arial" w:hAnsi="Arial" w:cs="Arial"/>
        <w:color w:val="1074CB"/>
        <w:sz w:val="20"/>
      </w:rPr>
    </w:pPr>
  </w:p>
  <w:p w:rsidR="00C078E2" w:rsidRDefault="00C078E2" w:rsidP="005C2E16">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C078E2" w:rsidRPr="001A5B1A" w:rsidRDefault="00C078E2" w:rsidP="00326887">
    <w:pPr>
      <w:ind w:firstLine="720"/>
      <w:rPr>
        <w:rFonts w:ascii="Arial" w:hAnsi="Arial" w:cs="Arial"/>
        <w:b/>
        <w:bCs/>
        <w:color w:val="1074C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5B" w:rsidRPr="003517A2" w:rsidRDefault="008946C6" w:rsidP="007244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078E2"/>
    <w:rsid w:val="00161EDC"/>
    <w:rsid w:val="00236CD3"/>
    <w:rsid w:val="00305DC2"/>
    <w:rsid w:val="00416E0E"/>
    <w:rsid w:val="00473D48"/>
    <w:rsid w:val="004E2EB6"/>
    <w:rsid w:val="005C28E0"/>
    <w:rsid w:val="008946C6"/>
    <w:rsid w:val="009246A1"/>
    <w:rsid w:val="00AB264E"/>
    <w:rsid w:val="00B85768"/>
    <w:rsid w:val="00BA3E4E"/>
    <w:rsid w:val="00C078E2"/>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8E2"/>
    <w:rPr>
      <w:rFonts w:ascii="Times" w:eastAsia="Times" w:hAnsi="Times"/>
      <w:sz w:val="24"/>
    </w:rPr>
  </w:style>
  <w:style w:type="paragraph" w:styleId="Heading1">
    <w:name w:val="heading 1"/>
    <w:basedOn w:val="Normal"/>
    <w:next w:val="Normal"/>
    <w:link w:val="Heading1Char"/>
    <w:qFormat/>
    <w:rsid w:val="00C078E2"/>
    <w:pPr>
      <w:keepNext/>
      <w:widowControl w:val="0"/>
      <w:autoSpaceDE w:val="0"/>
      <w:autoSpaceDN w:val="0"/>
      <w:adjustRightInd w:val="0"/>
      <w:ind w:left="720" w:hanging="720"/>
      <w:outlineLvl w:val="0"/>
    </w:pPr>
    <w:rPr>
      <w:rFonts w:ascii="Arial Bold" w:eastAsia="Times New Roman"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8E2"/>
    <w:rPr>
      <w:rFonts w:ascii="Arial Bold" w:hAnsi="Arial Bold"/>
      <w:b/>
    </w:rPr>
  </w:style>
  <w:style w:type="paragraph" w:styleId="Header">
    <w:name w:val="header"/>
    <w:basedOn w:val="Normal"/>
    <w:link w:val="HeaderChar"/>
    <w:rsid w:val="00C078E2"/>
    <w:pPr>
      <w:tabs>
        <w:tab w:val="center" w:pos="4320"/>
        <w:tab w:val="right" w:pos="8640"/>
      </w:tabs>
    </w:pPr>
  </w:style>
  <w:style w:type="character" w:customStyle="1" w:styleId="HeaderChar">
    <w:name w:val="Header Char"/>
    <w:basedOn w:val="DefaultParagraphFont"/>
    <w:link w:val="Header"/>
    <w:rsid w:val="00C078E2"/>
    <w:rPr>
      <w:rFonts w:ascii="Times" w:eastAsia="Times" w:hAnsi="Times"/>
      <w:sz w:val="24"/>
    </w:rPr>
  </w:style>
  <w:style w:type="paragraph" w:styleId="Footer">
    <w:name w:val="footer"/>
    <w:basedOn w:val="Normal"/>
    <w:link w:val="FooterChar"/>
    <w:rsid w:val="00C078E2"/>
    <w:pPr>
      <w:tabs>
        <w:tab w:val="center" w:pos="4320"/>
        <w:tab w:val="right" w:pos="8640"/>
      </w:tabs>
    </w:pPr>
  </w:style>
  <w:style w:type="character" w:customStyle="1" w:styleId="FooterChar">
    <w:name w:val="Footer Char"/>
    <w:basedOn w:val="DefaultParagraphFont"/>
    <w:link w:val="Footer"/>
    <w:rsid w:val="00C078E2"/>
    <w:rPr>
      <w:rFonts w:ascii="Times" w:eastAsia="Times" w:hAnsi="Times"/>
      <w:sz w:val="24"/>
    </w:rPr>
  </w:style>
  <w:style w:type="character" w:styleId="Hyperlink">
    <w:name w:val="Hyperlink"/>
    <w:basedOn w:val="DefaultParagraphFont"/>
    <w:rsid w:val="00C078E2"/>
    <w:rPr>
      <w:color w:val="0000FF"/>
      <w:u w:val="single"/>
    </w:rPr>
  </w:style>
  <w:style w:type="character" w:styleId="Strong">
    <w:name w:val="Strong"/>
    <w:basedOn w:val="DefaultParagraphFont"/>
    <w:qFormat/>
    <w:rsid w:val="00C078E2"/>
    <w:rPr>
      <w:b/>
      <w:bCs/>
    </w:rPr>
  </w:style>
  <w:style w:type="paragraph" w:styleId="PlainText">
    <w:name w:val="Plain Text"/>
    <w:basedOn w:val="Normal"/>
    <w:link w:val="PlainTextChar"/>
    <w:uiPriority w:val="99"/>
    <w:unhideWhenUsed/>
    <w:rsid w:val="00C078E2"/>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C078E2"/>
    <w:rPr>
      <w:rFonts w:ascii="Arial" w:eastAsiaTheme="minorHAnsi" w:hAnsi="Arial" w:cstheme="minorBidi"/>
      <w:szCs w:val="21"/>
      <w:lang w:eastAsia="en-US"/>
    </w:rPr>
  </w:style>
  <w:style w:type="paragraph" w:styleId="Caption">
    <w:name w:val="caption"/>
    <w:basedOn w:val="Normal"/>
    <w:next w:val="Normal"/>
    <w:uiPriority w:val="35"/>
    <w:unhideWhenUsed/>
    <w:qFormat/>
    <w:rsid w:val="00C078E2"/>
    <w:pPr>
      <w:spacing w:after="200"/>
    </w:pPr>
    <w:rPr>
      <w:b/>
      <w:bCs/>
      <w:color w:val="4F81BD" w:themeColor="accent1"/>
      <w:sz w:val="18"/>
      <w:szCs w:val="18"/>
    </w:rPr>
  </w:style>
  <w:style w:type="paragraph" w:styleId="BalloonText">
    <w:name w:val="Balloon Text"/>
    <w:basedOn w:val="Normal"/>
    <w:link w:val="BalloonTextChar"/>
    <w:rsid w:val="00C078E2"/>
    <w:rPr>
      <w:rFonts w:ascii="Tahoma" w:hAnsi="Tahoma" w:cs="Tahoma"/>
      <w:sz w:val="16"/>
      <w:szCs w:val="16"/>
    </w:rPr>
  </w:style>
  <w:style w:type="character" w:customStyle="1" w:styleId="BalloonTextChar">
    <w:name w:val="Balloon Text Char"/>
    <w:basedOn w:val="DefaultParagraphFont"/>
    <w:link w:val="BalloonText"/>
    <w:rsid w:val="00C078E2"/>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lawrence@smmt.co.uk" TargetMode="External"/><Relationship Id="rId2" Type="http://schemas.openxmlformats.org/officeDocument/2006/relationships/hyperlink" Target="mailto:dmontefusco@smmt.co.uk" TargetMode="External"/><Relationship Id="rId1" Type="http://schemas.openxmlformats.org/officeDocument/2006/relationships/hyperlink" Target="http://www.smmt.co.uk/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PR-HEADLINE-CARCVOUT2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PR-HEADLINE-CARCVOUT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All vehicles</a:t>
            </a:r>
          </a:p>
        </c:rich>
      </c:tx>
      <c:layout/>
    </c:title>
    <c:plotArea>
      <c:layout>
        <c:manualLayout>
          <c:layoutTarget val="inner"/>
          <c:xMode val="edge"/>
          <c:yMode val="edge"/>
          <c:x val="0.21002714866827221"/>
          <c:y val="0.13010425780110821"/>
          <c:w val="0.67037481700926171"/>
          <c:h val="0.71952136191309424"/>
        </c:manualLayout>
      </c:layout>
      <c:lineChart>
        <c:grouping val="standard"/>
        <c:ser>
          <c:idx val="0"/>
          <c:order val="0"/>
          <c:tx>
            <c:strRef>
              <c:f>'PR-12MONTH-charts'!$B$4</c:f>
              <c:strCache>
                <c:ptCount val="1"/>
                <c:pt idx="0">
                  <c:v>Total Car</c:v>
                </c:pt>
              </c:strCache>
            </c:strRef>
          </c:tx>
          <c:spPr>
            <a:ln>
              <a:solidFill>
                <a:schemeClr val="tx2">
                  <a:lumMod val="75000"/>
                </a:schemeClr>
              </a:solidFill>
            </a:ln>
          </c:spPr>
          <c:marker>
            <c:symbol val="none"/>
          </c:marker>
          <c:cat>
            <c:numRef>
              <c:f>'PR-12MONTH-charts'!$C$8:$BU$8</c:f>
              <c:numCache>
                <c:formatCode>General</c:formatCode>
                <c:ptCount val="71"/>
                <c:pt idx="0">
                  <c:v>2007</c:v>
                </c:pt>
                <c:pt idx="12">
                  <c:v>2008</c:v>
                </c:pt>
                <c:pt idx="24">
                  <c:v>2009</c:v>
                </c:pt>
                <c:pt idx="36">
                  <c:v>2010</c:v>
                </c:pt>
                <c:pt idx="48">
                  <c:v>2011</c:v>
                </c:pt>
                <c:pt idx="60">
                  <c:v>2012</c:v>
                </c:pt>
              </c:numCache>
            </c:numRef>
          </c:cat>
          <c:val>
            <c:numRef>
              <c:f>'PR-12MONTH-charts'!$C$4:$BV$4</c:f>
              <c:numCache>
                <c:formatCode>General</c:formatCode>
                <c:ptCount val="72"/>
                <c:pt idx="0">
                  <c:v>1447.1529999999998</c:v>
                </c:pt>
                <c:pt idx="1">
                  <c:v>1431.6109999999999</c:v>
                </c:pt>
                <c:pt idx="2">
                  <c:v>1410.6589999999999</c:v>
                </c:pt>
                <c:pt idx="3">
                  <c:v>1412.5039999999999</c:v>
                </c:pt>
                <c:pt idx="4">
                  <c:v>1408.6849999999984</c:v>
                </c:pt>
                <c:pt idx="5">
                  <c:v>1406.8619999999999</c:v>
                </c:pt>
                <c:pt idx="6">
                  <c:v>1418.768</c:v>
                </c:pt>
                <c:pt idx="7">
                  <c:v>1446.009</c:v>
                </c:pt>
                <c:pt idx="8">
                  <c:v>1462.98</c:v>
                </c:pt>
                <c:pt idx="9">
                  <c:v>1499.0650000000001</c:v>
                </c:pt>
                <c:pt idx="10">
                  <c:v>1516.7380000000001</c:v>
                </c:pt>
                <c:pt idx="11">
                  <c:v>1534.567</c:v>
                </c:pt>
                <c:pt idx="12">
                  <c:v>1559.021</c:v>
                </c:pt>
                <c:pt idx="13">
                  <c:v>1589.1929999999998</c:v>
                </c:pt>
                <c:pt idx="14">
                  <c:v>1578.221</c:v>
                </c:pt>
                <c:pt idx="15">
                  <c:v>1610.53</c:v>
                </c:pt>
                <c:pt idx="16">
                  <c:v>1600.8989999999999</c:v>
                </c:pt>
                <c:pt idx="17">
                  <c:v>1594.8639999999998</c:v>
                </c:pt>
                <c:pt idx="18">
                  <c:v>1596.2080000000001</c:v>
                </c:pt>
                <c:pt idx="19">
                  <c:v>1578.866</c:v>
                </c:pt>
                <c:pt idx="20">
                  <c:v>1582.1889999999999</c:v>
                </c:pt>
                <c:pt idx="21">
                  <c:v>1544.019</c:v>
                </c:pt>
                <c:pt idx="22">
                  <c:v>1495.3869999999999</c:v>
                </c:pt>
                <c:pt idx="23">
                  <c:v>1446.6189999999999</c:v>
                </c:pt>
                <c:pt idx="24">
                  <c:v>1359.3789999999999</c:v>
                </c:pt>
                <c:pt idx="25">
                  <c:v>1273.3329999999999</c:v>
                </c:pt>
                <c:pt idx="26">
                  <c:v>1208.098</c:v>
                </c:pt>
                <c:pt idx="27">
                  <c:v>1123.6299999999999</c:v>
                </c:pt>
                <c:pt idx="28">
                  <c:v>1072.518</c:v>
                </c:pt>
                <c:pt idx="29">
                  <c:v>1032.768</c:v>
                </c:pt>
                <c:pt idx="30">
                  <c:v>1009.3649999999992</c:v>
                </c:pt>
                <c:pt idx="31">
                  <c:v>983.24400000000003</c:v>
                </c:pt>
                <c:pt idx="32">
                  <c:v>960.25400000000002</c:v>
                </c:pt>
                <c:pt idx="33">
                  <c:v>952.62300000000005</c:v>
                </c:pt>
                <c:pt idx="34">
                  <c:v>967.96699999999908</c:v>
                </c:pt>
                <c:pt idx="35">
                  <c:v>999.45999999999947</c:v>
                </c:pt>
                <c:pt idx="36">
                  <c:v>1039.2460000000001</c:v>
                </c:pt>
                <c:pt idx="37">
                  <c:v>1076.7239999999999</c:v>
                </c:pt>
                <c:pt idx="38">
                  <c:v>1132.5170000000001</c:v>
                </c:pt>
                <c:pt idx="39">
                  <c:v>1162.549</c:v>
                </c:pt>
                <c:pt idx="40">
                  <c:v>1199.1599999999999</c:v>
                </c:pt>
                <c:pt idx="41">
                  <c:v>1225.3799999999999</c:v>
                </c:pt>
                <c:pt idx="42">
                  <c:v>1214.5050000000001</c:v>
                </c:pt>
                <c:pt idx="43">
                  <c:v>1235.6499999999999</c:v>
                </c:pt>
                <c:pt idx="44">
                  <c:v>1242.5819999999999</c:v>
                </c:pt>
                <c:pt idx="45">
                  <c:v>1248.953</c:v>
                </c:pt>
                <c:pt idx="46">
                  <c:v>1261.4349999999999</c:v>
                </c:pt>
                <c:pt idx="47">
                  <c:v>1270.444</c:v>
                </c:pt>
                <c:pt idx="48">
                  <c:v>1279.4490000000001</c:v>
                </c:pt>
                <c:pt idx="49">
                  <c:v>1294.1769999999999</c:v>
                </c:pt>
                <c:pt idx="50">
                  <c:v>1311.607</c:v>
                </c:pt>
                <c:pt idx="51">
                  <c:v>1299.6229999999998</c:v>
                </c:pt>
                <c:pt idx="52">
                  <c:v>1294.538</c:v>
                </c:pt>
                <c:pt idx="53">
                  <c:v>1296.636</c:v>
                </c:pt>
                <c:pt idx="54">
                  <c:v>1297.9290000000001</c:v>
                </c:pt>
                <c:pt idx="55">
                  <c:v>1306.297</c:v>
                </c:pt>
                <c:pt idx="56">
                  <c:v>1315.8</c:v>
                </c:pt>
                <c:pt idx="57">
                  <c:v>1331.6559999999999</c:v>
                </c:pt>
                <c:pt idx="58">
                  <c:v>1342.337</c:v>
                </c:pt>
                <c:pt idx="59">
                  <c:v>1343.81</c:v>
                </c:pt>
                <c:pt idx="60">
                  <c:v>1361.165</c:v>
                </c:pt>
                <c:pt idx="61">
                  <c:v>1387.665</c:v>
                </c:pt>
                <c:pt idx="62">
                  <c:v>1388.0050000000001</c:v>
                </c:pt>
                <c:pt idx="63">
                  <c:v>1396.0509999999999</c:v>
                </c:pt>
                <c:pt idx="64">
                  <c:v>1437.9170000000001</c:v>
                </c:pt>
                <c:pt idx="65">
                  <c:v>1437.0739999999998</c:v>
                </c:pt>
                <c:pt idx="66">
                  <c:v>1458.8619999999999</c:v>
                </c:pt>
              </c:numCache>
            </c:numRef>
          </c:val>
        </c:ser>
        <c:marker val="1"/>
        <c:axId val="82385152"/>
        <c:axId val="82605568"/>
      </c:lineChart>
      <c:lineChart>
        <c:grouping val="standard"/>
        <c:ser>
          <c:idx val="1"/>
          <c:order val="1"/>
          <c:tx>
            <c:strRef>
              <c:f>'PR-12MONTH-charts'!$B$9</c:f>
              <c:strCache>
                <c:ptCount val="1"/>
                <c:pt idx="0">
                  <c:v>Total CV</c:v>
                </c:pt>
              </c:strCache>
            </c:strRef>
          </c:tx>
          <c:spPr>
            <a:ln>
              <a:solidFill>
                <a:schemeClr val="accent1"/>
              </a:solidFill>
              <a:prstDash val="sysDash"/>
            </a:ln>
          </c:spPr>
          <c:marker>
            <c:symbol val="none"/>
          </c:marker>
          <c:cat>
            <c:numRef>
              <c:f>'PR-12MONTH-charts'!$C$8:$BU$8</c:f>
              <c:numCache>
                <c:formatCode>General</c:formatCode>
                <c:ptCount val="71"/>
                <c:pt idx="0">
                  <c:v>2007</c:v>
                </c:pt>
                <c:pt idx="12">
                  <c:v>2008</c:v>
                </c:pt>
                <c:pt idx="24">
                  <c:v>2009</c:v>
                </c:pt>
                <c:pt idx="36">
                  <c:v>2010</c:v>
                </c:pt>
                <c:pt idx="48">
                  <c:v>2011</c:v>
                </c:pt>
                <c:pt idx="60">
                  <c:v>2012</c:v>
                </c:pt>
              </c:numCache>
            </c:numRef>
          </c:cat>
          <c:val>
            <c:numRef>
              <c:f>'PR-12MONTH-charts'!$C$9:$BV$9</c:f>
              <c:numCache>
                <c:formatCode>General</c:formatCode>
                <c:ptCount val="72"/>
                <c:pt idx="0">
                  <c:v>209.13800000000001</c:v>
                </c:pt>
                <c:pt idx="1">
                  <c:v>208.41499999999999</c:v>
                </c:pt>
                <c:pt idx="2">
                  <c:v>207.38600000000019</c:v>
                </c:pt>
                <c:pt idx="3">
                  <c:v>207.62</c:v>
                </c:pt>
                <c:pt idx="4">
                  <c:v>209.48000000000019</c:v>
                </c:pt>
                <c:pt idx="5">
                  <c:v>211.53300000000002</c:v>
                </c:pt>
                <c:pt idx="6">
                  <c:v>210.2</c:v>
                </c:pt>
                <c:pt idx="7">
                  <c:v>214.48400000000001</c:v>
                </c:pt>
                <c:pt idx="8">
                  <c:v>213.006</c:v>
                </c:pt>
                <c:pt idx="9">
                  <c:v>215.35300000000001</c:v>
                </c:pt>
                <c:pt idx="10">
                  <c:v>216.12300000000002</c:v>
                </c:pt>
                <c:pt idx="11">
                  <c:v>215.68600000000001</c:v>
                </c:pt>
                <c:pt idx="12">
                  <c:v>216.93200000000004</c:v>
                </c:pt>
                <c:pt idx="13">
                  <c:v>220.09</c:v>
                </c:pt>
                <c:pt idx="14">
                  <c:v>218.60499999999999</c:v>
                </c:pt>
                <c:pt idx="15">
                  <c:v>224.066</c:v>
                </c:pt>
                <c:pt idx="16">
                  <c:v>224.81300000000002</c:v>
                </c:pt>
                <c:pt idx="17">
                  <c:v>227.24299999999999</c:v>
                </c:pt>
                <c:pt idx="18">
                  <c:v>234.255</c:v>
                </c:pt>
                <c:pt idx="19">
                  <c:v>230.57899999999998</c:v>
                </c:pt>
                <c:pt idx="20">
                  <c:v>231.30100000000004</c:v>
                </c:pt>
                <c:pt idx="21">
                  <c:v>222.191</c:v>
                </c:pt>
                <c:pt idx="22">
                  <c:v>211.12800000000001</c:v>
                </c:pt>
                <c:pt idx="23">
                  <c:v>202.89600000000004</c:v>
                </c:pt>
                <c:pt idx="24">
                  <c:v>190.40700000000001</c:v>
                </c:pt>
                <c:pt idx="25">
                  <c:v>175.62800000000001</c:v>
                </c:pt>
                <c:pt idx="26">
                  <c:v>164.89700000000019</c:v>
                </c:pt>
                <c:pt idx="27">
                  <c:v>150.56800000000001</c:v>
                </c:pt>
                <c:pt idx="28">
                  <c:v>137.55800000000019</c:v>
                </c:pt>
                <c:pt idx="29">
                  <c:v>124.563</c:v>
                </c:pt>
                <c:pt idx="30">
                  <c:v>112.142</c:v>
                </c:pt>
                <c:pt idx="31">
                  <c:v>107.607</c:v>
                </c:pt>
                <c:pt idx="32">
                  <c:v>96.647999999999996</c:v>
                </c:pt>
                <c:pt idx="33">
                  <c:v>91.477000000000004</c:v>
                </c:pt>
                <c:pt idx="34">
                  <c:v>89.697999999999993</c:v>
                </c:pt>
                <c:pt idx="35">
                  <c:v>90.678999999999988</c:v>
                </c:pt>
                <c:pt idx="36">
                  <c:v>91.483999999999995</c:v>
                </c:pt>
                <c:pt idx="37">
                  <c:v>95.84</c:v>
                </c:pt>
                <c:pt idx="38">
                  <c:v>100.812</c:v>
                </c:pt>
                <c:pt idx="39">
                  <c:v>103.9340000000001</c:v>
                </c:pt>
                <c:pt idx="40">
                  <c:v>109.98699999999999</c:v>
                </c:pt>
                <c:pt idx="41">
                  <c:v>112.111</c:v>
                </c:pt>
                <c:pt idx="42">
                  <c:v>113.232</c:v>
                </c:pt>
                <c:pt idx="43">
                  <c:v>114.29600000000002</c:v>
                </c:pt>
                <c:pt idx="44">
                  <c:v>115.9190000000001</c:v>
                </c:pt>
                <c:pt idx="45">
                  <c:v>119.65799999999999</c:v>
                </c:pt>
                <c:pt idx="46">
                  <c:v>121.60799999999999</c:v>
                </c:pt>
                <c:pt idx="47">
                  <c:v>123.01900000000002</c:v>
                </c:pt>
                <c:pt idx="48">
                  <c:v>123.83</c:v>
                </c:pt>
                <c:pt idx="49">
                  <c:v>123.527</c:v>
                </c:pt>
                <c:pt idx="50">
                  <c:v>122.748</c:v>
                </c:pt>
                <c:pt idx="51">
                  <c:v>120.604</c:v>
                </c:pt>
                <c:pt idx="52">
                  <c:v>120.06399999999999</c:v>
                </c:pt>
                <c:pt idx="53">
                  <c:v>119.833</c:v>
                </c:pt>
                <c:pt idx="54">
                  <c:v>119.26300000000002</c:v>
                </c:pt>
                <c:pt idx="55">
                  <c:v>119.81100000000002</c:v>
                </c:pt>
                <c:pt idx="56">
                  <c:v>120.518</c:v>
                </c:pt>
                <c:pt idx="57">
                  <c:v>120.181</c:v>
                </c:pt>
                <c:pt idx="58">
                  <c:v>120.425</c:v>
                </c:pt>
                <c:pt idx="59">
                  <c:v>120.18899999999998</c:v>
                </c:pt>
                <c:pt idx="60">
                  <c:v>120.066</c:v>
                </c:pt>
                <c:pt idx="61">
                  <c:v>119.798</c:v>
                </c:pt>
                <c:pt idx="62">
                  <c:v>117.40300000000002</c:v>
                </c:pt>
                <c:pt idx="63">
                  <c:v>117.68300000000001</c:v>
                </c:pt>
                <c:pt idx="64">
                  <c:v>116.923</c:v>
                </c:pt>
                <c:pt idx="65">
                  <c:v>114.86499999999999</c:v>
                </c:pt>
                <c:pt idx="66">
                  <c:v>114.742</c:v>
                </c:pt>
              </c:numCache>
            </c:numRef>
          </c:val>
        </c:ser>
        <c:marker val="1"/>
        <c:axId val="82689024"/>
        <c:axId val="82607488"/>
      </c:lineChart>
      <c:catAx>
        <c:axId val="82385152"/>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82605568"/>
        <c:crosses val="autoZero"/>
        <c:auto val="1"/>
        <c:lblAlgn val="ctr"/>
        <c:lblOffset val="100"/>
        <c:tickMarkSkip val="12"/>
      </c:catAx>
      <c:valAx>
        <c:axId val="82605568"/>
        <c:scaling>
          <c:orientation val="minMax"/>
          <c:min val="8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82385152"/>
        <c:crosses val="autoZero"/>
        <c:crossBetween val="between"/>
      </c:valAx>
      <c:valAx>
        <c:axId val="82607488"/>
        <c:scaling>
          <c:orientation val="minMax"/>
          <c:max val="275"/>
          <c:min val="50"/>
        </c:scaling>
        <c:axPos val="r"/>
        <c:numFmt formatCode="General" sourceLinked="1"/>
        <c:tickLblPos val="nextTo"/>
        <c:crossAx val="82689024"/>
        <c:crosses val="max"/>
        <c:crossBetween val="between"/>
        <c:majorUnit val="25"/>
      </c:valAx>
      <c:catAx>
        <c:axId val="82689024"/>
        <c:scaling>
          <c:orientation val="minMax"/>
        </c:scaling>
        <c:delete val="1"/>
        <c:axPos val="b"/>
        <c:numFmt formatCode="General" sourceLinked="1"/>
        <c:tickLblPos val="none"/>
        <c:crossAx val="82607488"/>
        <c:crosses val="autoZero"/>
        <c:auto val="1"/>
        <c:lblAlgn val="ctr"/>
        <c:lblOffset val="100"/>
      </c:catAx>
    </c:plotArea>
    <c:legend>
      <c:legendPos val="r"/>
      <c:layout>
        <c:manualLayout>
          <c:xMode val="edge"/>
          <c:yMode val="edge"/>
          <c:x val="0.51030961658143315"/>
          <c:y val="0.12799263351749574"/>
          <c:w val="0.33745704467353954"/>
          <c:h val="0.1890343817520051"/>
        </c:manualLayout>
      </c:layout>
      <c:txPr>
        <a:bodyPr/>
        <a:lstStyle/>
        <a:p>
          <a:pPr>
            <a:defRPr sz="8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Cars</a:t>
            </a:r>
          </a:p>
        </c:rich>
      </c:tx>
      <c:layout/>
    </c:title>
    <c:plotArea>
      <c:layout>
        <c:manualLayout>
          <c:layoutTarget val="inner"/>
          <c:xMode val="edge"/>
          <c:yMode val="edge"/>
          <c:x val="0.21002714866827221"/>
          <c:y val="0.13010425780110821"/>
          <c:w val="0.67430087669453853"/>
          <c:h val="0.73333369585707853"/>
        </c:manualLayout>
      </c:layout>
      <c:lineChart>
        <c:grouping val="standard"/>
        <c:ser>
          <c:idx val="0"/>
          <c:order val="0"/>
          <c:tx>
            <c:strRef>
              <c:f>'PR-12MONTH-charts'!$B$4</c:f>
              <c:strCache>
                <c:ptCount val="1"/>
                <c:pt idx="0">
                  <c:v>Total Car</c:v>
                </c:pt>
              </c:strCache>
            </c:strRef>
          </c:tx>
          <c:spPr>
            <a:ln>
              <a:solidFill>
                <a:schemeClr val="tx2">
                  <a:lumMod val="75000"/>
                </a:schemeClr>
              </a:solidFill>
            </a:ln>
          </c:spPr>
          <c:marker>
            <c:symbol val="none"/>
          </c:marker>
          <c:cat>
            <c:numRef>
              <c:f>'PR-12MONTH-charts'!$AY$3:$DF$3</c:f>
              <c:numCache>
                <c:formatCode>General</c:formatCode>
                <c:ptCount val="60"/>
                <c:pt idx="0">
                  <c:v>2011</c:v>
                </c:pt>
                <c:pt idx="12">
                  <c:v>2012</c:v>
                </c:pt>
                <c:pt idx="24">
                  <c:v>2013</c:v>
                </c:pt>
                <c:pt idx="36">
                  <c:v>2014</c:v>
                </c:pt>
                <c:pt idx="48">
                  <c:v>2015</c:v>
                </c:pt>
              </c:numCache>
            </c:numRef>
          </c:cat>
          <c:val>
            <c:numRef>
              <c:f>'PR-12MONTH-charts'!$AY$4:$DF$4</c:f>
              <c:numCache>
                <c:formatCode>General</c:formatCode>
                <c:ptCount val="60"/>
                <c:pt idx="0">
                  <c:v>1279.4490000000001</c:v>
                </c:pt>
                <c:pt idx="1">
                  <c:v>1294.1769999999999</c:v>
                </c:pt>
                <c:pt idx="2">
                  <c:v>1311.607</c:v>
                </c:pt>
                <c:pt idx="3">
                  <c:v>1299.6229999999998</c:v>
                </c:pt>
                <c:pt idx="4">
                  <c:v>1294.538</c:v>
                </c:pt>
                <c:pt idx="5">
                  <c:v>1296.636</c:v>
                </c:pt>
                <c:pt idx="6">
                  <c:v>1297.9290000000001</c:v>
                </c:pt>
                <c:pt idx="7">
                  <c:v>1306.297</c:v>
                </c:pt>
                <c:pt idx="8">
                  <c:v>1315.8</c:v>
                </c:pt>
                <c:pt idx="9">
                  <c:v>1331.6559999999999</c:v>
                </c:pt>
                <c:pt idx="10">
                  <c:v>1342.337</c:v>
                </c:pt>
                <c:pt idx="11">
                  <c:v>1343.81</c:v>
                </c:pt>
                <c:pt idx="12">
                  <c:v>1361.165</c:v>
                </c:pt>
                <c:pt idx="13">
                  <c:v>1387.665</c:v>
                </c:pt>
                <c:pt idx="14">
                  <c:v>1388.0050000000001</c:v>
                </c:pt>
                <c:pt idx="15">
                  <c:v>1396.0509999999999</c:v>
                </c:pt>
                <c:pt idx="16">
                  <c:v>1437.9170000000001</c:v>
                </c:pt>
                <c:pt idx="17">
                  <c:v>1437.0739999999998</c:v>
                </c:pt>
                <c:pt idx="18">
                  <c:v>1458.8619999999999</c:v>
                </c:pt>
              </c:numCache>
            </c:numRef>
          </c:val>
        </c:ser>
        <c:ser>
          <c:idx val="1"/>
          <c:order val="1"/>
          <c:tx>
            <c:strRef>
              <c:f>'PR-12MONTH-charts'!$AX$6</c:f>
              <c:strCache>
                <c:ptCount val="1"/>
                <c:pt idx="0">
                  <c:v>Forecast</c:v>
                </c:pt>
              </c:strCache>
            </c:strRef>
          </c:tx>
          <c:spPr>
            <a:ln>
              <a:solidFill>
                <a:schemeClr val="tx2">
                  <a:lumMod val="40000"/>
                  <a:lumOff val="60000"/>
                </a:schemeClr>
              </a:solidFill>
              <a:prstDash val="sysDash"/>
            </a:ln>
          </c:spPr>
          <c:marker>
            <c:symbol val="none"/>
          </c:marker>
          <c:cat>
            <c:numRef>
              <c:f>'PR-12MONTH-charts'!$AY$3:$DF$3</c:f>
              <c:numCache>
                <c:formatCode>General</c:formatCode>
                <c:ptCount val="60"/>
                <c:pt idx="0">
                  <c:v>2011</c:v>
                </c:pt>
                <c:pt idx="12">
                  <c:v>2012</c:v>
                </c:pt>
                <c:pt idx="24">
                  <c:v>2013</c:v>
                </c:pt>
                <c:pt idx="36">
                  <c:v>2014</c:v>
                </c:pt>
                <c:pt idx="48">
                  <c:v>2015</c:v>
                </c:pt>
              </c:numCache>
            </c:numRef>
          </c:cat>
          <c:val>
            <c:numRef>
              <c:f>'PR-12MONTH-charts'!$AY$6:$DF$6</c:f>
              <c:numCache>
                <c:formatCode>General</c:formatCode>
                <c:ptCount val="60"/>
                <c:pt idx="18">
                  <c:v>1458.8619999999999</c:v>
                </c:pt>
                <c:pt idx="23">
                  <c:v>1530</c:v>
                </c:pt>
                <c:pt idx="35">
                  <c:v>1640</c:v>
                </c:pt>
                <c:pt idx="47">
                  <c:v>1790</c:v>
                </c:pt>
                <c:pt idx="59">
                  <c:v>2030</c:v>
                </c:pt>
              </c:numCache>
            </c:numRef>
          </c:val>
        </c:ser>
        <c:marker val="1"/>
        <c:axId val="92795648"/>
        <c:axId val="92797952"/>
      </c:lineChart>
      <c:catAx>
        <c:axId val="92795648"/>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92797952"/>
        <c:crosses val="autoZero"/>
        <c:auto val="1"/>
        <c:lblAlgn val="ctr"/>
        <c:lblOffset val="100"/>
        <c:tickMarkSkip val="12"/>
      </c:catAx>
      <c:valAx>
        <c:axId val="92797952"/>
        <c:scaling>
          <c:orientation val="minMax"/>
          <c:min val="12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92795648"/>
        <c:crosses val="autoZero"/>
        <c:crossBetween val="between"/>
      </c:valAx>
    </c:plotArea>
    <c:legend>
      <c:legendPos val="r"/>
      <c:layout>
        <c:manualLayout>
          <c:xMode val="edge"/>
          <c:yMode val="edge"/>
          <c:x val="0.21391786400411314"/>
          <c:y val="0.13259668508287326"/>
          <c:w val="0.53694530129610074"/>
          <c:h val="0.15377568480735504"/>
        </c:manualLayout>
      </c:layout>
      <c:txPr>
        <a:bodyPr/>
        <a:lstStyle/>
        <a:p>
          <a:pPr>
            <a:defRPr sz="800" b="0" i="0" u="none" strike="noStrike" baseline="0">
              <a:solidFill>
                <a:srgbClr val="000000"/>
              </a:solidFill>
              <a:latin typeface="Arial"/>
              <a:ea typeface="Arial"/>
              <a:cs typeface="Arial"/>
            </a:defRPr>
          </a:pPr>
          <a:endParaRPr lang="en-US"/>
        </a:p>
      </c:txPr>
    </c:legend>
    <c:plotVisOnly val="1"/>
    <c:dispBlanksAs val="span"/>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1441</Characters>
  <Application>Microsoft Office Word</Application>
  <DocSecurity>0</DocSecurity>
  <Lines>12</Lines>
  <Paragraphs>3</Paragraphs>
  <ScaleCrop>false</ScaleCrop>
  <Company>Microsoft</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visscj</dc:creator>
  <cp:lastModifiedBy>monted</cp:lastModifiedBy>
  <cp:revision>3</cp:revision>
  <cp:lastPrinted>2012-08-15T15:22:00Z</cp:lastPrinted>
  <dcterms:created xsi:type="dcterms:W3CDTF">2012-08-15T15:21:00Z</dcterms:created>
  <dcterms:modified xsi:type="dcterms:W3CDTF">2012-08-15T15:24:00Z</dcterms:modified>
</cp:coreProperties>
</file>