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70" w:rsidRPr="00D62A9D" w:rsidRDefault="00C80E70" w:rsidP="00C80E70">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p>
    <w:p w:rsidR="00C80E70" w:rsidRDefault="008F55A4" w:rsidP="00C80E70">
      <w:pPr>
        <w:pStyle w:val="Heading1"/>
        <w:ind w:right="142"/>
        <w:rPr>
          <w:rFonts w:ascii="Arial" w:eastAsiaTheme="minorEastAsia" w:hAnsi="Arial" w:cs="Arial"/>
          <w:b w:val="0"/>
          <w:bCs/>
          <w:color w:val="1074CB"/>
        </w:rPr>
      </w:pPr>
      <w:r>
        <w:rPr>
          <w:rFonts w:ascii="Arial" w:eastAsiaTheme="minorEastAsia" w:hAnsi="Arial" w:cs="Arial"/>
          <w:b w:val="0"/>
          <w:bCs/>
          <w:color w:val="1074CB"/>
          <w:sz w:val="44"/>
          <w:szCs w:val="44"/>
        </w:rPr>
        <w:t>22</w:t>
      </w:r>
      <w:r w:rsidR="00C80E70">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 xml:space="preserve">August </w:t>
      </w:r>
      <w:r w:rsidR="00C80E70" w:rsidRPr="00D62A9D">
        <w:rPr>
          <w:rFonts w:ascii="Arial" w:eastAsiaTheme="minorEastAsia" w:hAnsi="Arial" w:cs="Arial"/>
          <w:b w:val="0"/>
          <w:bCs/>
          <w:color w:val="1074CB"/>
          <w:sz w:val="44"/>
          <w:szCs w:val="44"/>
        </w:rPr>
        <w:t xml:space="preserve">2013 </w:t>
      </w:r>
      <w:r w:rsidR="00C80E70" w:rsidRPr="00D62A9D">
        <w:rPr>
          <w:rFonts w:ascii="Arial" w:eastAsiaTheme="minorEastAsia" w:hAnsi="Arial" w:cs="Arial"/>
          <w:b w:val="0"/>
          <w:bCs/>
          <w:color w:val="1074CB"/>
          <w:sz w:val="32"/>
          <w:szCs w:val="32"/>
        </w:rPr>
        <w:t xml:space="preserve">(data for </w:t>
      </w:r>
      <w:r w:rsidR="00C80E70">
        <w:rPr>
          <w:rFonts w:ascii="Arial" w:eastAsiaTheme="minorEastAsia" w:hAnsi="Arial" w:cs="Arial"/>
          <w:b w:val="0"/>
          <w:bCs/>
          <w:color w:val="1074CB"/>
          <w:sz w:val="32"/>
          <w:szCs w:val="32"/>
        </w:rPr>
        <w:t>Ju</w:t>
      </w:r>
      <w:r>
        <w:rPr>
          <w:rFonts w:ascii="Arial" w:eastAsiaTheme="minorEastAsia" w:hAnsi="Arial" w:cs="Arial"/>
          <w:b w:val="0"/>
          <w:bCs/>
          <w:color w:val="1074CB"/>
          <w:sz w:val="32"/>
          <w:szCs w:val="32"/>
        </w:rPr>
        <w:t>ly</w:t>
      </w:r>
      <w:r w:rsidR="00C80E70">
        <w:rPr>
          <w:rFonts w:ascii="Arial" w:eastAsiaTheme="minorEastAsia" w:hAnsi="Arial" w:cs="Arial"/>
          <w:b w:val="0"/>
          <w:bCs/>
          <w:color w:val="1074CB"/>
          <w:sz w:val="32"/>
          <w:szCs w:val="32"/>
        </w:rPr>
        <w:t xml:space="preserve"> </w:t>
      </w:r>
      <w:r w:rsidR="00C80E70" w:rsidRPr="00D62A9D">
        <w:rPr>
          <w:rFonts w:ascii="Arial" w:eastAsiaTheme="minorEastAsia" w:hAnsi="Arial" w:cs="Arial"/>
          <w:b w:val="0"/>
          <w:bCs/>
          <w:color w:val="1074CB"/>
          <w:sz w:val="32"/>
          <w:szCs w:val="32"/>
        </w:rPr>
        <w:t>2013)</w:t>
      </w:r>
      <w:r w:rsidR="006E5BF9">
        <w:rPr>
          <w:rFonts w:ascii="Arial" w:eastAsiaTheme="minorEastAsia" w:hAnsi="Arial" w:cs="Arial"/>
          <w:b w:val="0"/>
          <w:bCs/>
          <w:color w:val="1074CB"/>
        </w:rPr>
        <w:t xml:space="preserve">           </w:t>
      </w:r>
      <w:r w:rsidR="00EB2FB8">
        <w:rPr>
          <w:rFonts w:ascii="Arial" w:eastAsiaTheme="minorEastAsia" w:hAnsi="Arial" w:cs="Arial"/>
          <w:b w:val="0"/>
          <w:bCs/>
          <w:color w:val="1074CB"/>
        </w:rPr>
        <w:t xml:space="preserve">    </w:t>
      </w:r>
      <w:r w:rsidR="00C80E70" w:rsidRPr="006E5BF9">
        <w:rPr>
          <w:rFonts w:ascii="Arial" w:eastAsiaTheme="minorEastAsia" w:hAnsi="Arial" w:cs="Arial"/>
          <w:b w:val="0"/>
          <w:bCs/>
          <w:color w:val="1074CB"/>
          <w:sz w:val="16"/>
          <w:szCs w:val="16"/>
        </w:rPr>
        <w:t>FOR RELEASE: IMMEDIATE</w:t>
      </w:r>
    </w:p>
    <w:p w:rsidR="00C80E70" w:rsidRPr="00C80E70" w:rsidRDefault="002079E9" w:rsidP="00C80E70">
      <w:pPr>
        <w:tabs>
          <w:tab w:val="left" w:pos="889"/>
        </w:tabs>
        <w:rPr>
          <w:rFonts w:ascii="Arial" w:eastAsiaTheme="minorEastAsia" w:hAnsi="Arial" w:cs="Arial"/>
          <w:bCs/>
          <w:color w:val="1074CB"/>
          <w:sz w:val="10"/>
          <w:szCs w:val="10"/>
        </w:rPr>
      </w:pPr>
      <w:r>
        <w:rPr>
          <w:rFonts w:ascii="Arial" w:eastAsiaTheme="minorEastAsia" w:hAnsi="Arial" w:cs="Arial"/>
          <w:b/>
          <w:bCs/>
          <w:noProof/>
          <w:color w:val="1074CB"/>
          <w:sz w:val="20"/>
        </w:rPr>
        <w:pict>
          <v:line id="Line 4" o:spid="_x0000_s1026" style="position:absolute;z-index:251664384;visibility:visibl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r w:rsidR="00C80E70">
        <w:rPr>
          <w:rFonts w:ascii="Arial" w:eastAsiaTheme="minorEastAsia" w:hAnsi="Arial" w:cs="Arial"/>
          <w:bCs/>
          <w:color w:val="1074CB"/>
          <w:sz w:val="36"/>
          <w:szCs w:val="36"/>
        </w:rPr>
        <w:t xml:space="preserve"> </w:t>
      </w:r>
    </w:p>
    <w:p w:rsidR="00C80E70" w:rsidRPr="00D62A9D" w:rsidRDefault="00C80E70"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Ju</w:t>
      </w:r>
      <w:r w:rsidR="008F55A4">
        <w:rPr>
          <w:rFonts w:ascii="Arial" w:eastAsiaTheme="minorEastAsia" w:hAnsi="Arial" w:cs="Arial"/>
          <w:bCs/>
          <w:color w:val="1074CB"/>
          <w:sz w:val="36"/>
          <w:szCs w:val="36"/>
        </w:rPr>
        <w:t xml:space="preserve">ly </w:t>
      </w:r>
      <w:r w:rsidR="006E5BF9">
        <w:rPr>
          <w:rFonts w:ascii="Arial" w:eastAsiaTheme="minorEastAsia" w:hAnsi="Arial" w:cs="Arial"/>
          <w:bCs/>
          <w:color w:val="1074CB"/>
          <w:sz w:val="36"/>
          <w:szCs w:val="36"/>
        </w:rPr>
        <w:t>UK car manufacturing</w:t>
      </w:r>
      <w:r w:rsidR="0097483C">
        <w:rPr>
          <w:rFonts w:ascii="Arial" w:eastAsiaTheme="minorEastAsia" w:hAnsi="Arial" w:cs="Arial"/>
          <w:bCs/>
          <w:color w:val="1074CB"/>
          <w:sz w:val="36"/>
          <w:szCs w:val="36"/>
        </w:rPr>
        <w:t xml:space="preserve"> continues growth trend</w:t>
      </w:r>
    </w:p>
    <w:p w:rsidR="00C80E70" w:rsidRPr="00E16C76" w:rsidRDefault="00C80E70" w:rsidP="00C80E70">
      <w:pPr>
        <w:rPr>
          <w:rFonts w:ascii="Arial" w:hAnsi="Arial" w:cs="Arial"/>
          <w:sz w:val="10"/>
          <w:szCs w:val="10"/>
        </w:rPr>
      </w:pPr>
    </w:p>
    <w:p w:rsidR="00F43472" w:rsidRDefault="00C80E70" w:rsidP="00F43472">
      <w:pPr>
        <w:pStyle w:val="ListParagraph"/>
        <w:numPr>
          <w:ilvl w:val="0"/>
          <w:numId w:val="2"/>
        </w:numPr>
        <w:spacing w:line="276" w:lineRule="auto"/>
        <w:rPr>
          <w:rFonts w:ascii="Arial" w:hAnsi="Arial" w:cs="Arial"/>
          <w:sz w:val="20"/>
        </w:rPr>
      </w:pPr>
      <w:r>
        <w:rPr>
          <w:rFonts w:ascii="Arial" w:hAnsi="Arial" w:cs="Arial"/>
          <w:sz w:val="20"/>
        </w:rPr>
        <w:t>UK c</w:t>
      </w:r>
      <w:r w:rsidRPr="00DE09BC">
        <w:rPr>
          <w:rFonts w:ascii="Arial" w:hAnsi="Arial" w:cs="Arial"/>
          <w:sz w:val="20"/>
        </w:rPr>
        <w:t>ar</w:t>
      </w:r>
      <w:r w:rsidR="006E5BF9">
        <w:rPr>
          <w:rFonts w:ascii="Arial" w:hAnsi="Arial" w:cs="Arial"/>
          <w:sz w:val="20"/>
        </w:rPr>
        <w:t xml:space="preserve"> manufacturing grew</w:t>
      </w:r>
      <w:r>
        <w:rPr>
          <w:rFonts w:ascii="Arial" w:hAnsi="Arial" w:cs="Arial"/>
          <w:sz w:val="20"/>
        </w:rPr>
        <w:t xml:space="preserve"> </w:t>
      </w:r>
      <w:r w:rsidR="008F55A4">
        <w:rPr>
          <w:rFonts w:ascii="Arial" w:hAnsi="Arial" w:cs="Arial"/>
          <w:sz w:val="20"/>
        </w:rPr>
        <w:t>7</w:t>
      </w:r>
      <w:r>
        <w:rPr>
          <w:rFonts w:ascii="Arial" w:hAnsi="Arial" w:cs="Arial"/>
          <w:sz w:val="20"/>
        </w:rPr>
        <w:t xml:space="preserve">% in </w:t>
      </w:r>
      <w:r w:rsidR="008F55A4">
        <w:rPr>
          <w:rFonts w:ascii="Arial" w:hAnsi="Arial" w:cs="Arial"/>
          <w:sz w:val="20"/>
        </w:rPr>
        <w:t xml:space="preserve">July, </w:t>
      </w:r>
      <w:r w:rsidR="00066F55">
        <w:rPr>
          <w:rFonts w:ascii="Arial" w:hAnsi="Arial" w:cs="Arial"/>
          <w:sz w:val="20"/>
        </w:rPr>
        <w:t xml:space="preserve">with sites across the UK </w:t>
      </w:r>
      <w:r w:rsidR="008F55A4">
        <w:rPr>
          <w:rFonts w:ascii="Arial" w:hAnsi="Arial" w:cs="Arial"/>
          <w:sz w:val="20"/>
        </w:rPr>
        <w:t>making 128,873</w:t>
      </w:r>
      <w:r>
        <w:rPr>
          <w:rFonts w:ascii="Arial" w:hAnsi="Arial" w:cs="Arial"/>
          <w:sz w:val="20"/>
        </w:rPr>
        <w:t xml:space="preserve"> units.</w:t>
      </w:r>
      <w:r w:rsidR="00F43472">
        <w:rPr>
          <w:rFonts w:ascii="Arial" w:hAnsi="Arial" w:cs="Arial"/>
          <w:sz w:val="20"/>
        </w:rPr>
        <w:t xml:space="preserve"> </w:t>
      </w:r>
    </w:p>
    <w:p w:rsidR="00C80E70" w:rsidRPr="00F43472" w:rsidRDefault="008F55A4" w:rsidP="00F43472">
      <w:pPr>
        <w:pStyle w:val="ListParagraph"/>
        <w:numPr>
          <w:ilvl w:val="0"/>
          <w:numId w:val="2"/>
        </w:numPr>
        <w:spacing w:line="276" w:lineRule="auto"/>
        <w:rPr>
          <w:rFonts w:ascii="Arial" w:hAnsi="Arial" w:cs="Arial"/>
          <w:sz w:val="20"/>
        </w:rPr>
      </w:pPr>
      <w:r>
        <w:rPr>
          <w:rFonts w:ascii="Arial" w:hAnsi="Arial" w:cs="Arial"/>
          <w:sz w:val="20"/>
        </w:rPr>
        <w:t>Year-to-date volumes up 1.9% to 893,263 units</w:t>
      </w:r>
      <w:r w:rsidR="002079E9">
        <w:rPr>
          <w:rFonts w:ascii="Arial" w:hAnsi="Arial" w:cs="Arial"/>
          <w:sz w:val="20"/>
        </w:rPr>
        <w:t>.</w:t>
      </w:r>
    </w:p>
    <w:p w:rsidR="00EB5EA2" w:rsidRDefault="008F55A4" w:rsidP="00EB5EA2">
      <w:pPr>
        <w:pStyle w:val="ListParagraph"/>
        <w:numPr>
          <w:ilvl w:val="0"/>
          <w:numId w:val="2"/>
        </w:numPr>
        <w:spacing w:line="276" w:lineRule="auto"/>
        <w:rPr>
          <w:rFonts w:ascii="Arial" w:hAnsi="Arial" w:cs="Arial"/>
          <w:sz w:val="20"/>
        </w:rPr>
      </w:pPr>
      <w:r>
        <w:rPr>
          <w:rFonts w:ascii="Arial" w:hAnsi="Arial" w:cs="Arial"/>
          <w:sz w:val="20"/>
        </w:rPr>
        <w:t>H</w:t>
      </w:r>
      <w:r w:rsidR="00C80E70">
        <w:rPr>
          <w:rFonts w:ascii="Arial" w:hAnsi="Arial" w:cs="Arial"/>
          <w:sz w:val="20"/>
        </w:rPr>
        <w:t xml:space="preserve">ome </w:t>
      </w:r>
      <w:r>
        <w:rPr>
          <w:rFonts w:ascii="Arial" w:hAnsi="Arial" w:cs="Arial"/>
          <w:sz w:val="20"/>
        </w:rPr>
        <w:t>market demand up 37.5% in month to support new plate change in September</w:t>
      </w:r>
      <w:r w:rsidR="002079E9">
        <w:rPr>
          <w:rFonts w:ascii="Arial" w:hAnsi="Arial" w:cs="Arial"/>
          <w:sz w:val="20"/>
        </w:rPr>
        <w:t>.</w:t>
      </w:r>
    </w:p>
    <w:p w:rsidR="00D6336B" w:rsidRPr="006E5BF9" w:rsidRDefault="00D6336B" w:rsidP="006E5BF9">
      <w:pPr>
        <w:pStyle w:val="ListParagraph"/>
        <w:spacing w:line="276" w:lineRule="auto"/>
        <w:rPr>
          <w:rFonts w:ascii="Arial" w:hAnsi="Arial" w:cs="Arial"/>
          <w:sz w:val="16"/>
          <w:szCs w:val="16"/>
        </w:rPr>
      </w:pPr>
    </w:p>
    <w:p w:rsidR="001D6CB9" w:rsidRDefault="005C668F" w:rsidP="001D6CB9">
      <w:r w:rsidRPr="005C668F">
        <w:rPr>
          <w:rFonts w:ascii="Arial" w:hAnsi="Arial" w:cs="Arial"/>
          <w:sz w:val="20"/>
        </w:rPr>
        <w:t>"Car manufacturing is continuing to follow the wider UK trend for more positive economic growth with a 7% rise in July, supporting a 1</w:t>
      </w:r>
      <w:r w:rsidR="003E69D3">
        <w:rPr>
          <w:rFonts w:ascii="Arial" w:hAnsi="Arial" w:cs="Arial"/>
          <w:sz w:val="20"/>
        </w:rPr>
        <w:t>.9% increase in the year so far</w:t>
      </w:r>
      <w:r w:rsidR="002B33A7">
        <w:rPr>
          <w:rFonts w:ascii="Arial" w:hAnsi="Arial" w:cs="Arial"/>
          <w:sz w:val="20"/>
        </w:rPr>
        <w:t>,</w:t>
      </w:r>
      <w:r w:rsidR="003E69D3">
        <w:rPr>
          <w:rFonts w:ascii="Arial" w:hAnsi="Arial" w:cs="Arial"/>
          <w:sz w:val="20"/>
        </w:rPr>
        <w:t>”</w:t>
      </w:r>
      <w:r w:rsidRPr="005C668F">
        <w:rPr>
          <w:rFonts w:ascii="Arial" w:hAnsi="Arial" w:cs="Arial"/>
          <w:sz w:val="20"/>
        </w:rPr>
        <w:t xml:space="preserve"> said Mike Baunto</w:t>
      </w:r>
      <w:r w:rsidR="003E69D3">
        <w:rPr>
          <w:rFonts w:ascii="Arial" w:hAnsi="Arial" w:cs="Arial"/>
          <w:sz w:val="20"/>
        </w:rPr>
        <w:t xml:space="preserve">n, SMMT Interim Chief Executive. </w:t>
      </w:r>
      <w:r w:rsidRPr="005C668F">
        <w:rPr>
          <w:rFonts w:ascii="Arial" w:hAnsi="Arial" w:cs="Arial"/>
          <w:sz w:val="20"/>
        </w:rPr>
        <w:t>"We are starting to see slight signs of recovery from Europe which will support stronger production levels this year, and UK manufacturers will continue to build and develop innovative, high-quality products that appeal to a global customer base."  </w:t>
      </w:r>
      <w:r w:rsidR="001D6CB9">
        <w:rPr>
          <w:rFonts w:ascii="Arial" w:hAnsi="Arial" w:cs="Arial"/>
          <w:sz w:val="20"/>
        </w:rPr>
        <w:t xml:space="preserve">    </w:t>
      </w:r>
    </w:p>
    <w:p w:rsidR="00D6336B" w:rsidRDefault="00D6336B" w:rsidP="00C80E70">
      <w:pPr>
        <w:spacing w:line="276" w:lineRule="auto"/>
        <w:rPr>
          <w:rFonts w:ascii="Arial" w:hAnsi="Arial" w:cs="Arial"/>
          <w:sz w:val="20"/>
        </w:rPr>
      </w:pPr>
    </w:p>
    <w:tbl>
      <w:tblPr>
        <w:tblW w:w="9511"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firstRow="1" w:lastRow="0" w:firstColumn="1" w:lastColumn="0" w:noHBand="0" w:noVBand="1"/>
      </w:tblPr>
      <w:tblGrid>
        <w:gridCol w:w="1998"/>
        <w:gridCol w:w="1201"/>
        <w:gridCol w:w="939"/>
        <w:gridCol w:w="1687"/>
        <w:gridCol w:w="1276"/>
        <w:gridCol w:w="1134"/>
        <w:gridCol w:w="1276"/>
      </w:tblGrid>
      <w:tr w:rsidR="008F55A4" w:rsidRPr="008F55A4" w:rsidTr="008F55A4">
        <w:trPr>
          <w:trHeight w:val="270"/>
        </w:trPr>
        <w:tc>
          <w:tcPr>
            <w:tcW w:w="1998" w:type="dxa"/>
            <w:shd w:val="clear" w:color="auto" w:fill="auto"/>
            <w:noWrap/>
            <w:hideMark/>
          </w:tcPr>
          <w:p w:rsidR="008F55A4" w:rsidRPr="008F55A4" w:rsidRDefault="008F55A4" w:rsidP="008F55A4">
            <w:pPr>
              <w:rPr>
                <w:rFonts w:ascii="Arial" w:eastAsia="Times New Roman" w:hAnsi="Arial" w:cs="Arial"/>
                <w:b/>
                <w:color w:val="1F497D" w:themeColor="text2"/>
                <w:sz w:val="10"/>
                <w:szCs w:val="10"/>
              </w:rPr>
            </w:pPr>
            <w:r w:rsidRPr="008F55A4">
              <w:rPr>
                <w:rFonts w:ascii="Arial" w:eastAsia="Times New Roman" w:hAnsi="Arial" w:cs="Arial"/>
                <w:b/>
                <w:color w:val="1F497D" w:themeColor="text2"/>
                <w:sz w:val="20"/>
              </w:rPr>
              <w:t>Car manufacturing</w:t>
            </w:r>
          </w:p>
        </w:tc>
        <w:tc>
          <w:tcPr>
            <w:tcW w:w="1201"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Jul-12</w:t>
            </w:r>
          </w:p>
        </w:tc>
        <w:tc>
          <w:tcPr>
            <w:tcW w:w="939"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Jul-13</w:t>
            </w:r>
          </w:p>
        </w:tc>
        <w:tc>
          <w:tcPr>
            <w:tcW w:w="1687"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 xml:space="preserve">% Change </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YTD-12</w:t>
            </w:r>
          </w:p>
        </w:tc>
        <w:tc>
          <w:tcPr>
            <w:tcW w:w="1134"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YTD-13</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 Change</w:t>
            </w:r>
          </w:p>
        </w:tc>
      </w:tr>
      <w:tr w:rsidR="008F55A4" w:rsidRPr="008F55A4" w:rsidTr="008F55A4">
        <w:trPr>
          <w:trHeight w:val="270"/>
        </w:trPr>
        <w:tc>
          <w:tcPr>
            <w:tcW w:w="1998"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Total</w:t>
            </w:r>
          </w:p>
        </w:tc>
        <w:tc>
          <w:tcPr>
            <w:tcW w:w="1201"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120,391</w:t>
            </w:r>
          </w:p>
        </w:tc>
        <w:tc>
          <w:tcPr>
            <w:tcW w:w="939"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128,873</w:t>
            </w:r>
          </w:p>
        </w:tc>
        <w:tc>
          <w:tcPr>
            <w:tcW w:w="1687"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7.0%</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876,507</w:t>
            </w:r>
          </w:p>
        </w:tc>
        <w:tc>
          <w:tcPr>
            <w:tcW w:w="1134"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893,263</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b/>
                <w:color w:val="1F497D" w:themeColor="text2"/>
                <w:sz w:val="20"/>
              </w:rPr>
            </w:pPr>
            <w:r w:rsidRPr="008F55A4">
              <w:rPr>
                <w:rFonts w:ascii="Arial" w:eastAsia="Times New Roman" w:hAnsi="Arial" w:cs="Arial"/>
                <w:b/>
                <w:color w:val="1F497D" w:themeColor="text2"/>
                <w:sz w:val="20"/>
              </w:rPr>
              <w:t>1.9%</w:t>
            </w:r>
          </w:p>
        </w:tc>
      </w:tr>
      <w:tr w:rsidR="008F55A4" w:rsidRPr="008F55A4" w:rsidTr="008F55A4">
        <w:trPr>
          <w:trHeight w:val="270"/>
        </w:trPr>
        <w:tc>
          <w:tcPr>
            <w:tcW w:w="1998"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Home</w:t>
            </w:r>
          </w:p>
        </w:tc>
        <w:tc>
          <w:tcPr>
            <w:tcW w:w="1201"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21,017</w:t>
            </w:r>
          </w:p>
        </w:tc>
        <w:tc>
          <w:tcPr>
            <w:tcW w:w="939"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28,895</w:t>
            </w:r>
          </w:p>
        </w:tc>
        <w:tc>
          <w:tcPr>
            <w:tcW w:w="1687"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37.5%</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151,819</w:t>
            </w:r>
          </w:p>
        </w:tc>
        <w:tc>
          <w:tcPr>
            <w:tcW w:w="1134"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191,649</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26.2%</w:t>
            </w:r>
          </w:p>
        </w:tc>
      </w:tr>
      <w:tr w:rsidR="008F55A4" w:rsidRPr="008F55A4" w:rsidTr="008F55A4">
        <w:trPr>
          <w:trHeight w:val="270"/>
        </w:trPr>
        <w:tc>
          <w:tcPr>
            <w:tcW w:w="1998"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Export</w:t>
            </w:r>
          </w:p>
        </w:tc>
        <w:tc>
          <w:tcPr>
            <w:tcW w:w="1201"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99,374</w:t>
            </w:r>
          </w:p>
        </w:tc>
        <w:tc>
          <w:tcPr>
            <w:tcW w:w="939"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99,978</w:t>
            </w:r>
          </w:p>
        </w:tc>
        <w:tc>
          <w:tcPr>
            <w:tcW w:w="1687"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0.6%</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724,688</w:t>
            </w:r>
          </w:p>
        </w:tc>
        <w:tc>
          <w:tcPr>
            <w:tcW w:w="1134"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701,614</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-3.2%</w:t>
            </w:r>
          </w:p>
        </w:tc>
      </w:tr>
      <w:tr w:rsidR="008F55A4" w:rsidRPr="008F55A4" w:rsidTr="008F55A4">
        <w:trPr>
          <w:trHeight w:val="270"/>
        </w:trPr>
        <w:tc>
          <w:tcPr>
            <w:tcW w:w="1998"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 export</w:t>
            </w:r>
          </w:p>
        </w:tc>
        <w:tc>
          <w:tcPr>
            <w:tcW w:w="1201"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82.5%</w:t>
            </w:r>
          </w:p>
        </w:tc>
        <w:tc>
          <w:tcPr>
            <w:tcW w:w="939"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77.6%</w:t>
            </w:r>
          </w:p>
        </w:tc>
        <w:tc>
          <w:tcPr>
            <w:tcW w:w="1687"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 </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82.7%</w:t>
            </w:r>
          </w:p>
        </w:tc>
        <w:tc>
          <w:tcPr>
            <w:tcW w:w="1134"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78.5%</w:t>
            </w:r>
          </w:p>
        </w:tc>
        <w:tc>
          <w:tcPr>
            <w:tcW w:w="1276" w:type="dxa"/>
            <w:shd w:val="clear" w:color="auto" w:fill="auto"/>
            <w:noWrap/>
            <w:vAlign w:val="bottom"/>
            <w:hideMark/>
          </w:tcPr>
          <w:p w:rsidR="008F55A4" w:rsidRPr="008F55A4" w:rsidRDefault="008F55A4" w:rsidP="008F55A4">
            <w:pPr>
              <w:jc w:val="right"/>
              <w:rPr>
                <w:rFonts w:ascii="Arial" w:eastAsia="Times New Roman" w:hAnsi="Arial" w:cs="Arial"/>
                <w:color w:val="1F497D" w:themeColor="text2"/>
                <w:sz w:val="20"/>
              </w:rPr>
            </w:pPr>
            <w:r w:rsidRPr="008F55A4">
              <w:rPr>
                <w:rFonts w:ascii="Arial" w:eastAsia="Times New Roman" w:hAnsi="Arial" w:cs="Arial"/>
                <w:color w:val="1F497D" w:themeColor="text2"/>
                <w:sz w:val="20"/>
              </w:rPr>
              <w:t> </w:t>
            </w:r>
          </w:p>
        </w:tc>
      </w:tr>
    </w:tbl>
    <w:p w:rsidR="008F55A4" w:rsidRDefault="008F55A4" w:rsidP="00C80E70">
      <w:pPr>
        <w:spacing w:line="276" w:lineRule="auto"/>
        <w:rPr>
          <w:rFonts w:ascii="Arial" w:hAnsi="Arial" w:cs="Arial"/>
          <w:sz w:val="20"/>
        </w:rPr>
      </w:pPr>
    </w:p>
    <w:p w:rsidR="00C80E70" w:rsidRDefault="00C80E70" w:rsidP="00C80E70">
      <w:pPr>
        <w:keepNext/>
        <w:spacing w:line="276" w:lineRule="auto"/>
        <w:jc w:val="both"/>
        <w:rPr>
          <w:rFonts w:ascii="Arial" w:hAnsi="Arial" w:cs="Arial"/>
          <w:b/>
          <w:color w:val="0D2255"/>
          <w:sz w:val="10"/>
          <w:szCs w:val="10"/>
        </w:rPr>
      </w:pPr>
    </w:p>
    <w:p w:rsidR="00C80E70" w:rsidRDefault="00D92B21" w:rsidP="00C80E70">
      <w:pPr>
        <w:keepNext/>
        <w:spacing w:line="276" w:lineRule="auto"/>
        <w:jc w:val="both"/>
        <w:rPr>
          <w:rFonts w:ascii="Arial" w:hAnsi="Arial" w:cs="Arial"/>
          <w:b/>
          <w:color w:val="0D2255"/>
          <w:sz w:val="20"/>
        </w:rPr>
      </w:pPr>
      <w:r>
        <w:rPr>
          <w:rFonts w:ascii="Arial" w:hAnsi="Arial" w:cs="Arial"/>
          <w:b/>
          <w:color w:val="0D2255"/>
          <w:sz w:val="20"/>
        </w:rPr>
        <w:br/>
      </w:r>
      <w:r w:rsidR="00C80E70" w:rsidRPr="00D62A9D">
        <w:rPr>
          <w:rFonts w:ascii="Arial" w:hAnsi="Arial" w:cs="Arial"/>
          <w:b/>
          <w:color w:val="0D2255"/>
          <w:sz w:val="20"/>
        </w:rPr>
        <w:t>Car output rolling year total</w:t>
      </w:r>
      <w:r w:rsidR="00C80E70">
        <w:rPr>
          <w:rFonts w:ascii="Arial" w:hAnsi="Arial" w:cs="Arial"/>
          <w:b/>
          <w:color w:val="0D2255"/>
          <w:sz w:val="20"/>
        </w:rPr>
        <w:tab/>
      </w:r>
      <w:r w:rsidR="00C80E70">
        <w:rPr>
          <w:rFonts w:ascii="Arial" w:hAnsi="Arial" w:cs="Arial"/>
          <w:b/>
          <w:color w:val="0D2255"/>
          <w:sz w:val="20"/>
        </w:rPr>
        <w:tab/>
        <w:t xml:space="preserve">      </w:t>
      </w:r>
      <w:r w:rsidR="00EC65AF">
        <w:rPr>
          <w:rFonts w:ascii="Arial" w:hAnsi="Arial" w:cs="Arial"/>
          <w:b/>
          <w:color w:val="0D2255"/>
          <w:sz w:val="20"/>
        </w:rPr>
        <w:tab/>
      </w:r>
      <w:r w:rsidR="00C80E70">
        <w:rPr>
          <w:rFonts w:ascii="Arial" w:hAnsi="Arial" w:cs="Arial"/>
          <w:b/>
          <w:color w:val="0D2255"/>
          <w:sz w:val="20"/>
        </w:rPr>
        <w:t xml:space="preserve">Car </w:t>
      </w:r>
      <w:r w:rsidR="00EC65AF">
        <w:rPr>
          <w:rFonts w:ascii="Arial" w:hAnsi="Arial" w:cs="Arial"/>
          <w:b/>
          <w:color w:val="0D2255"/>
          <w:sz w:val="20"/>
        </w:rPr>
        <w:t>output year-to-date, 2011-2013</w:t>
      </w:r>
    </w:p>
    <w:p w:rsidR="00C80E70" w:rsidRDefault="00DF19D9" w:rsidP="00D92B21">
      <w:pPr>
        <w:tabs>
          <w:tab w:val="right" w:pos="9332"/>
        </w:tabs>
        <w:spacing w:line="360" w:lineRule="auto"/>
        <w:rPr>
          <w:rFonts w:ascii="Arial" w:hAnsi="Arial" w:cs="Arial"/>
          <w:sz w:val="16"/>
          <w:szCs w:val="16"/>
        </w:rPr>
      </w:pPr>
      <w:r w:rsidRPr="00DF19D9">
        <w:rPr>
          <w:rFonts w:ascii="Arial" w:hAnsi="Arial" w:cs="Arial"/>
          <w:noProof/>
          <w:sz w:val="16"/>
          <w:szCs w:val="16"/>
        </w:rPr>
        <w:drawing>
          <wp:inline distT="0" distB="0" distL="0" distR="0">
            <wp:extent cx="2686050" cy="2133600"/>
            <wp:effectExtent l="0" t="0" r="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079E9">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210.35pt;margin-top:8.95pt;width:232.9pt;height:177.9pt;z-index:251673600;mso-position-horizontal-relative:text;mso-position-vertical-relative:text;mso-width-relative:margin;mso-height-relative:margin" stroked="f">
            <v:textbox style="mso-next-textbox:#_x0000_s1031">
              <w:txbxContent>
                <w:p w:rsidR="00066F55" w:rsidRDefault="00066F55" w:rsidP="005407A6">
                  <w:r w:rsidRPr="00DF19D9">
                    <w:rPr>
                      <w:noProof/>
                    </w:rPr>
                    <w:drawing>
                      <wp:inline distT="0" distB="0" distL="0" distR="0">
                        <wp:extent cx="2774950" cy="1905000"/>
                        <wp:effectExtent l="1905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sidR="00D92B21">
        <w:rPr>
          <w:rFonts w:ascii="Arial" w:hAnsi="Arial" w:cs="Arial"/>
          <w:sz w:val="16"/>
          <w:szCs w:val="16"/>
        </w:rPr>
        <w:tab/>
      </w:r>
    </w:p>
    <w:p w:rsidR="00D911A4" w:rsidRPr="00506E24" w:rsidRDefault="00D911A4" w:rsidP="00C80E70">
      <w:pPr>
        <w:spacing w:line="360" w:lineRule="auto"/>
        <w:rPr>
          <w:rFonts w:ascii="Arial" w:hAnsi="Arial" w:cs="Arial"/>
          <w:sz w:val="16"/>
          <w:szCs w:val="16"/>
        </w:rPr>
      </w:pPr>
    </w:p>
    <w:p w:rsidR="00C80E70" w:rsidRPr="00C80E70" w:rsidRDefault="00C80E70" w:rsidP="00C80E70">
      <w:pPr>
        <w:pStyle w:val="Heading1"/>
        <w:ind w:right="142"/>
        <w:rPr>
          <w:rFonts w:ascii="Arial" w:eastAsiaTheme="minorEastAsia" w:hAnsi="Arial" w:cs="Arial"/>
          <w:bCs/>
          <w:color w:val="1074CB"/>
          <w:sz w:val="38"/>
          <w:szCs w:val="38"/>
        </w:rPr>
      </w:pPr>
      <w:r w:rsidRPr="00C80E70">
        <w:rPr>
          <w:rFonts w:ascii="Arial" w:eastAsiaTheme="minorEastAsia" w:hAnsi="Arial" w:cs="Arial"/>
          <w:bCs/>
          <w:color w:val="1074CB"/>
          <w:sz w:val="38"/>
          <w:szCs w:val="38"/>
        </w:rPr>
        <w:lastRenderedPageBreak/>
        <w:t>UK COMMERCIAL VEHICLE MANUFACTURING</w:t>
      </w:r>
    </w:p>
    <w:p w:rsidR="00C80E70" w:rsidRDefault="008F55A4" w:rsidP="00C80E70">
      <w:pPr>
        <w:pStyle w:val="Heading1"/>
        <w:ind w:right="142"/>
        <w:rPr>
          <w:rFonts w:ascii="Arial" w:eastAsiaTheme="minorEastAsia" w:hAnsi="Arial" w:cs="Arial"/>
          <w:b w:val="0"/>
          <w:bCs/>
          <w:color w:val="1074CB"/>
        </w:rPr>
      </w:pPr>
      <w:r>
        <w:rPr>
          <w:rFonts w:ascii="Arial" w:eastAsiaTheme="minorEastAsia" w:hAnsi="Arial" w:cs="Arial"/>
          <w:b w:val="0"/>
          <w:bCs/>
          <w:color w:val="1074CB"/>
          <w:sz w:val="44"/>
          <w:szCs w:val="44"/>
        </w:rPr>
        <w:t>22 August</w:t>
      </w:r>
      <w:r w:rsidR="00C80E70">
        <w:rPr>
          <w:rFonts w:ascii="Arial" w:eastAsiaTheme="minorEastAsia" w:hAnsi="Arial" w:cs="Arial"/>
          <w:b w:val="0"/>
          <w:bCs/>
          <w:color w:val="1074CB"/>
          <w:sz w:val="44"/>
          <w:szCs w:val="44"/>
        </w:rPr>
        <w:t xml:space="preserve"> </w:t>
      </w:r>
      <w:r w:rsidR="00C80E70" w:rsidRPr="00D62A9D">
        <w:rPr>
          <w:rFonts w:ascii="Arial" w:eastAsiaTheme="minorEastAsia" w:hAnsi="Arial" w:cs="Arial"/>
          <w:b w:val="0"/>
          <w:bCs/>
          <w:color w:val="1074CB"/>
          <w:sz w:val="44"/>
          <w:szCs w:val="44"/>
        </w:rPr>
        <w:t xml:space="preserve">2013 </w:t>
      </w:r>
      <w:r w:rsidR="00C80E70" w:rsidRPr="00D62A9D">
        <w:rPr>
          <w:rFonts w:ascii="Arial" w:eastAsiaTheme="minorEastAsia" w:hAnsi="Arial" w:cs="Arial"/>
          <w:b w:val="0"/>
          <w:bCs/>
          <w:color w:val="1074CB"/>
          <w:sz w:val="32"/>
          <w:szCs w:val="32"/>
        </w:rPr>
        <w:t xml:space="preserve">(data for </w:t>
      </w:r>
      <w:r w:rsidR="00C80E70">
        <w:rPr>
          <w:rFonts w:ascii="Arial" w:eastAsiaTheme="minorEastAsia" w:hAnsi="Arial" w:cs="Arial"/>
          <w:b w:val="0"/>
          <w:bCs/>
          <w:color w:val="1074CB"/>
          <w:sz w:val="32"/>
          <w:szCs w:val="32"/>
        </w:rPr>
        <w:t>Ju</w:t>
      </w:r>
      <w:r>
        <w:rPr>
          <w:rFonts w:ascii="Arial" w:eastAsiaTheme="minorEastAsia" w:hAnsi="Arial" w:cs="Arial"/>
          <w:b w:val="0"/>
          <w:bCs/>
          <w:color w:val="1074CB"/>
          <w:sz w:val="32"/>
          <w:szCs w:val="32"/>
        </w:rPr>
        <w:t>ly</w:t>
      </w:r>
      <w:r w:rsidR="00C80E70">
        <w:rPr>
          <w:rFonts w:ascii="Arial" w:eastAsiaTheme="minorEastAsia" w:hAnsi="Arial" w:cs="Arial"/>
          <w:b w:val="0"/>
          <w:bCs/>
          <w:color w:val="1074CB"/>
          <w:sz w:val="32"/>
          <w:szCs w:val="32"/>
        </w:rPr>
        <w:t xml:space="preserve"> </w:t>
      </w:r>
      <w:r w:rsidR="00C80E70" w:rsidRPr="00D62A9D">
        <w:rPr>
          <w:rFonts w:ascii="Arial" w:eastAsiaTheme="minorEastAsia" w:hAnsi="Arial" w:cs="Arial"/>
          <w:b w:val="0"/>
          <w:bCs/>
          <w:color w:val="1074CB"/>
          <w:sz w:val="32"/>
          <w:szCs w:val="32"/>
        </w:rPr>
        <w:t>2013</w:t>
      </w:r>
      <w:r w:rsidR="00200F65" w:rsidRPr="00200F65">
        <w:rPr>
          <w:rFonts w:ascii="Arial" w:eastAsiaTheme="minorEastAsia" w:hAnsi="Arial" w:cs="Arial"/>
          <w:b w:val="0"/>
          <w:bCs/>
          <w:color w:val="1074CB"/>
          <w:sz w:val="32"/>
          <w:szCs w:val="32"/>
        </w:rPr>
        <w:t>)</w:t>
      </w:r>
      <w:r w:rsidR="005407A6">
        <w:rPr>
          <w:rFonts w:ascii="Arial" w:eastAsiaTheme="minorEastAsia" w:hAnsi="Arial" w:cs="Arial"/>
          <w:b w:val="0"/>
          <w:bCs/>
          <w:color w:val="1074CB"/>
          <w:sz w:val="16"/>
          <w:szCs w:val="16"/>
        </w:rPr>
        <w:t xml:space="preserve">                  </w:t>
      </w:r>
      <w:r w:rsidR="00C80E70" w:rsidRPr="005407A6">
        <w:rPr>
          <w:rFonts w:ascii="Arial" w:eastAsiaTheme="minorEastAsia" w:hAnsi="Arial" w:cs="Arial"/>
          <w:b w:val="0"/>
          <w:bCs/>
          <w:color w:val="1074CB"/>
          <w:sz w:val="16"/>
          <w:szCs w:val="16"/>
        </w:rPr>
        <w:t xml:space="preserve"> </w:t>
      </w:r>
      <w:r w:rsidR="00E343D2">
        <w:rPr>
          <w:rFonts w:ascii="Arial" w:eastAsiaTheme="minorEastAsia" w:hAnsi="Arial" w:cs="Arial"/>
          <w:b w:val="0"/>
          <w:bCs/>
          <w:color w:val="1074CB"/>
          <w:sz w:val="16"/>
          <w:szCs w:val="16"/>
        </w:rPr>
        <w:t xml:space="preserve">     </w:t>
      </w:r>
      <w:r w:rsidR="00C80E70" w:rsidRPr="005407A6">
        <w:rPr>
          <w:rFonts w:ascii="Arial" w:eastAsiaTheme="minorEastAsia" w:hAnsi="Arial" w:cs="Arial"/>
          <w:b w:val="0"/>
          <w:bCs/>
          <w:color w:val="1074CB"/>
          <w:sz w:val="16"/>
          <w:szCs w:val="16"/>
        </w:rPr>
        <w:t>FOR RELEASE: IMMEDIATE</w:t>
      </w:r>
    </w:p>
    <w:p w:rsidR="00C80E70" w:rsidRPr="007B7D91" w:rsidRDefault="002079E9" w:rsidP="00C80E70">
      <w:r>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C80E70" w:rsidRDefault="005407A6"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CV</w:t>
      </w:r>
      <w:r w:rsidR="00761183">
        <w:rPr>
          <w:rFonts w:ascii="Arial" w:eastAsiaTheme="minorEastAsia" w:hAnsi="Arial" w:cs="Arial"/>
          <w:bCs/>
          <w:color w:val="1074CB"/>
          <w:sz w:val="36"/>
          <w:szCs w:val="36"/>
        </w:rPr>
        <w:t xml:space="preserve"> manufacturing</w:t>
      </w:r>
      <w:r>
        <w:rPr>
          <w:rFonts w:ascii="Arial" w:eastAsiaTheme="minorEastAsia" w:hAnsi="Arial" w:cs="Arial"/>
          <w:bCs/>
          <w:color w:val="1074CB"/>
          <w:sz w:val="36"/>
          <w:szCs w:val="36"/>
        </w:rPr>
        <w:t xml:space="preserve"> output </w:t>
      </w:r>
      <w:r w:rsidR="00761183">
        <w:rPr>
          <w:rFonts w:ascii="Arial" w:eastAsiaTheme="minorEastAsia" w:hAnsi="Arial" w:cs="Arial"/>
          <w:bCs/>
          <w:color w:val="1074CB"/>
          <w:sz w:val="36"/>
          <w:szCs w:val="36"/>
        </w:rPr>
        <w:t>falls</w:t>
      </w:r>
      <w:r>
        <w:rPr>
          <w:rFonts w:ascii="Arial" w:eastAsiaTheme="minorEastAsia" w:hAnsi="Arial" w:cs="Arial"/>
          <w:bCs/>
          <w:color w:val="1074CB"/>
          <w:sz w:val="36"/>
          <w:szCs w:val="36"/>
        </w:rPr>
        <w:t xml:space="preserve"> in Ju</w:t>
      </w:r>
      <w:r w:rsidR="008F55A4">
        <w:rPr>
          <w:rFonts w:ascii="Arial" w:eastAsiaTheme="minorEastAsia" w:hAnsi="Arial" w:cs="Arial"/>
          <w:bCs/>
          <w:color w:val="1074CB"/>
          <w:sz w:val="36"/>
          <w:szCs w:val="36"/>
        </w:rPr>
        <w:t>ly</w:t>
      </w:r>
    </w:p>
    <w:p w:rsidR="00C80E70" w:rsidRPr="00C80E70" w:rsidRDefault="00C80E70" w:rsidP="00C80E70">
      <w:pPr>
        <w:rPr>
          <w:sz w:val="10"/>
          <w:szCs w:val="10"/>
        </w:rPr>
      </w:pPr>
    </w:p>
    <w:p w:rsidR="005407A6" w:rsidRPr="005407A6" w:rsidRDefault="005407A6" w:rsidP="005407A6">
      <w:pPr>
        <w:numPr>
          <w:ilvl w:val="0"/>
          <w:numId w:val="3"/>
        </w:numPr>
        <w:spacing w:line="276" w:lineRule="auto"/>
        <w:rPr>
          <w:rFonts w:ascii="Arial" w:hAnsi="Arial" w:cs="Arial"/>
          <w:sz w:val="20"/>
        </w:rPr>
      </w:pPr>
      <w:r>
        <w:rPr>
          <w:rFonts w:ascii="Arial" w:hAnsi="Arial" w:cs="Arial"/>
          <w:sz w:val="20"/>
        </w:rPr>
        <w:t xml:space="preserve">Commercial vehicle (CV) output </w:t>
      </w:r>
      <w:r w:rsidR="00761183">
        <w:rPr>
          <w:rFonts w:ascii="Arial" w:hAnsi="Arial" w:cs="Arial"/>
          <w:sz w:val="20"/>
        </w:rPr>
        <w:t xml:space="preserve">fell 11.8% </w:t>
      </w:r>
      <w:r w:rsidR="00A67F90">
        <w:rPr>
          <w:rFonts w:ascii="Arial" w:hAnsi="Arial" w:cs="Arial"/>
          <w:sz w:val="20"/>
        </w:rPr>
        <w:t xml:space="preserve">to </w:t>
      </w:r>
      <w:r w:rsidR="00761183">
        <w:rPr>
          <w:rFonts w:ascii="Arial" w:hAnsi="Arial" w:cs="Arial"/>
          <w:sz w:val="20"/>
        </w:rPr>
        <w:t>7,942 units in July</w:t>
      </w:r>
      <w:r w:rsidR="00A67F90">
        <w:rPr>
          <w:rFonts w:ascii="Arial" w:hAnsi="Arial" w:cs="Arial"/>
          <w:sz w:val="20"/>
        </w:rPr>
        <w:t xml:space="preserve">, </w:t>
      </w:r>
      <w:r w:rsidR="00761183">
        <w:rPr>
          <w:rFonts w:ascii="Arial" w:hAnsi="Arial" w:cs="Arial"/>
          <w:sz w:val="20"/>
        </w:rPr>
        <w:t>although export demand strong with 20.3% increase in the month</w:t>
      </w:r>
      <w:r>
        <w:rPr>
          <w:rFonts w:ascii="Arial" w:hAnsi="Arial" w:cs="Arial"/>
          <w:sz w:val="20"/>
        </w:rPr>
        <w:t>.</w:t>
      </w:r>
    </w:p>
    <w:p w:rsidR="00A67F90" w:rsidRDefault="00761183" w:rsidP="00A67F90">
      <w:pPr>
        <w:numPr>
          <w:ilvl w:val="0"/>
          <w:numId w:val="3"/>
        </w:numPr>
        <w:spacing w:line="276" w:lineRule="auto"/>
        <w:rPr>
          <w:rFonts w:ascii="Arial" w:hAnsi="Arial" w:cs="Arial"/>
          <w:sz w:val="20"/>
        </w:rPr>
      </w:pPr>
      <w:r>
        <w:rPr>
          <w:rFonts w:ascii="Arial" w:hAnsi="Arial" w:cs="Arial"/>
          <w:sz w:val="20"/>
        </w:rPr>
        <w:t xml:space="preserve">Year-to-date levels show fall of </w:t>
      </w:r>
      <w:r w:rsidR="00A67F90">
        <w:rPr>
          <w:rFonts w:ascii="Arial" w:hAnsi="Arial" w:cs="Arial"/>
          <w:sz w:val="20"/>
        </w:rPr>
        <w:t>13.</w:t>
      </w:r>
      <w:r>
        <w:rPr>
          <w:rFonts w:ascii="Arial" w:hAnsi="Arial" w:cs="Arial"/>
          <w:sz w:val="20"/>
        </w:rPr>
        <w:t>3</w:t>
      </w:r>
      <w:r w:rsidR="00A67F90">
        <w:rPr>
          <w:rFonts w:ascii="Arial" w:hAnsi="Arial" w:cs="Arial"/>
          <w:sz w:val="20"/>
        </w:rPr>
        <w:t>% during</w:t>
      </w:r>
      <w:r w:rsidR="00C80E70">
        <w:rPr>
          <w:rFonts w:ascii="Arial" w:hAnsi="Arial" w:cs="Arial"/>
          <w:sz w:val="20"/>
        </w:rPr>
        <w:t xml:space="preserve"> the first </w:t>
      </w:r>
      <w:r>
        <w:rPr>
          <w:rFonts w:ascii="Arial" w:hAnsi="Arial" w:cs="Arial"/>
          <w:sz w:val="20"/>
        </w:rPr>
        <w:t xml:space="preserve">seven months </w:t>
      </w:r>
      <w:r w:rsidR="00C80E70">
        <w:rPr>
          <w:rFonts w:ascii="Arial" w:hAnsi="Arial" w:cs="Arial"/>
          <w:sz w:val="20"/>
        </w:rPr>
        <w:t xml:space="preserve">of 2013 to </w:t>
      </w:r>
      <w:r>
        <w:rPr>
          <w:rFonts w:ascii="Arial" w:hAnsi="Arial" w:cs="Arial"/>
          <w:sz w:val="20"/>
        </w:rPr>
        <w:t>56,459</w:t>
      </w:r>
      <w:r w:rsidR="00C80E70">
        <w:rPr>
          <w:rFonts w:ascii="Arial" w:hAnsi="Arial" w:cs="Arial"/>
          <w:sz w:val="20"/>
        </w:rPr>
        <w:t xml:space="preserve"> units.</w:t>
      </w:r>
    </w:p>
    <w:p w:rsidR="00A67F90" w:rsidRDefault="00A67F90" w:rsidP="00C80E70">
      <w:pPr>
        <w:spacing w:line="276" w:lineRule="auto"/>
        <w:rPr>
          <w:rFonts w:ascii="Arial" w:hAnsi="Arial" w:cs="Arial"/>
          <w:sz w:val="20"/>
        </w:rPr>
      </w:pPr>
    </w:p>
    <w:p w:rsidR="008B50CB" w:rsidRDefault="008B50CB" w:rsidP="008B50CB">
      <w:pPr>
        <w:spacing w:line="276" w:lineRule="auto"/>
        <w:rPr>
          <w:rFonts w:ascii="Arial" w:hAnsi="Arial" w:cs="Arial"/>
          <w:sz w:val="20"/>
        </w:rPr>
      </w:pPr>
      <w:r w:rsidRPr="00E425AC">
        <w:rPr>
          <w:rFonts w:ascii="Arial" w:hAnsi="Arial" w:cs="Arial"/>
          <w:sz w:val="20"/>
        </w:rPr>
        <w:t>"</w:t>
      </w:r>
      <w:r>
        <w:rPr>
          <w:rFonts w:ascii="Arial" w:hAnsi="Arial" w:cs="Arial"/>
          <w:sz w:val="20"/>
        </w:rPr>
        <w:t>Commercial vehicle manufacturers continue to battle against weak demand, despite a moderate increase in exports in July</w:t>
      </w:r>
      <w:r w:rsidR="002B33A7">
        <w:rPr>
          <w:rFonts w:ascii="Arial" w:hAnsi="Arial" w:cs="Arial"/>
          <w:sz w:val="20"/>
        </w:rPr>
        <w:t>,</w:t>
      </w:r>
      <w:r w:rsidRPr="003370EF">
        <w:rPr>
          <w:rFonts w:ascii="Arial" w:hAnsi="Arial" w:cs="Arial"/>
          <w:sz w:val="20"/>
        </w:rPr>
        <w:t>" said</w:t>
      </w:r>
      <w:r>
        <w:rPr>
          <w:rFonts w:ascii="Arial" w:hAnsi="Arial" w:cs="Arial"/>
          <w:sz w:val="20"/>
        </w:rPr>
        <w:t xml:space="preserve"> Nigel Base, SMMT Commercial Vehicle Manager</w:t>
      </w:r>
      <w:r w:rsidRPr="003370EF">
        <w:rPr>
          <w:rFonts w:ascii="Arial" w:hAnsi="Arial" w:cs="Arial"/>
          <w:sz w:val="20"/>
        </w:rPr>
        <w:t>. "</w:t>
      </w:r>
      <w:r>
        <w:rPr>
          <w:rFonts w:ascii="Arial" w:hAnsi="Arial" w:cs="Arial"/>
          <w:sz w:val="20"/>
        </w:rPr>
        <w:t xml:space="preserve">The outlook for commercial vehicle manufacturing for the rest of the year continues to be tough, especially following the closure of the Ford facility in </w:t>
      </w:r>
      <w:r w:rsidR="00A93DE9">
        <w:rPr>
          <w:rFonts w:ascii="Arial" w:hAnsi="Arial" w:cs="Arial"/>
          <w:sz w:val="20"/>
        </w:rPr>
        <w:t>Southampton</w:t>
      </w:r>
      <w:r>
        <w:rPr>
          <w:rFonts w:ascii="Arial" w:hAnsi="Arial" w:cs="Arial"/>
          <w:sz w:val="20"/>
        </w:rPr>
        <w:t xml:space="preserve"> at the end of July. However, there are </w:t>
      </w:r>
      <w:r w:rsidR="00A93DE9">
        <w:rPr>
          <w:rFonts w:ascii="Arial" w:hAnsi="Arial" w:cs="Arial"/>
          <w:sz w:val="20"/>
        </w:rPr>
        <w:t xml:space="preserve">some areas, such as  bus and coach production, where we are continuing to see </w:t>
      </w:r>
      <w:r>
        <w:rPr>
          <w:rFonts w:ascii="Arial" w:hAnsi="Arial" w:cs="Arial"/>
          <w:sz w:val="20"/>
        </w:rPr>
        <w:t xml:space="preserve">growth as operators take advantage of the wide range of </w:t>
      </w:r>
      <w:r w:rsidR="00A93DE9">
        <w:rPr>
          <w:rFonts w:ascii="Arial" w:hAnsi="Arial" w:cs="Arial"/>
          <w:sz w:val="20"/>
        </w:rPr>
        <w:t xml:space="preserve">vehicles </w:t>
      </w:r>
      <w:r>
        <w:rPr>
          <w:rFonts w:ascii="Arial" w:hAnsi="Arial" w:cs="Arial"/>
          <w:sz w:val="20"/>
        </w:rPr>
        <w:t>built in the UK."</w:t>
      </w:r>
    </w:p>
    <w:p w:rsidR="008B50CB" w:rsidRDefault="008B50CB" w:rsidP="00C80E70">
      <w:pPr>
        <w:spacing w:line="276" w:lineRule="auto"/>
        <w:rPr>
          <w:rFonts w:ascii="Arial" w:hAnsi="Arial" w:cs="Arial"/>
          <w:sz w:val="20"/>
        </w:rPr>
      </w:pPr>
    </w:p>
    <w:p w:rsidR="00D6336B" w:rsidRDefault="00D6336B" w:rsidP="00C80E70">
      <w:pPr>
        <w:spacing w:line="276" w:lineRule="auto"/>
        <w:rPr>
          <w:rFonts w:ascii="Arial" w:hAnsi="Arial" w:cs="Arial"/>
          <w:sz w:val="20"/>
        </w:rPr>
      </w:pPr>
    </w:p>
    <w:tbl>
      <w:tblPr>
        <w:tblStyle w:val="TableGrid"/>
        <w:tblW w:w="960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093"/>
        <w:gridCol w:w="1417"/>
        <w:gridCol w:w="1134"/>
        <w:gridCol w:w="1276"/>
        <w:gridCol w:w="1276"/>
        <w:gridCol w:w="1134"/>
        <w:gridCol w:w="1276"/>
      </w:tblGrid>
      <w:tr w:rsidR="00761183" w:rsidRPr="00761183" w:rsidTr="00761183">
        <w:trPr>
          <w:trHeight w:val="270"/>
        </w:trPr>
        <w:tc>
          <w:tcPr>
            <w:tcW w:w="2093"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CV manufacturing</w:t>
            </w:r>
          </w:p>
        </w:tc>
        <w:tc>
          <w:tcPr>
            <w:tcW w:w="1417"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Jul-12</w:t>
            </w:r>
          </w:p>
        </w:tc>
        <w:tc>
          <w:tcPr>
            <w:tcW w:w="1134"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Jul-13</w:t>
            </w:r>
          </w:p>
        </w:tc>
        <w:tc>
          <w:tcPr>
            <w:tcW w:w="1276"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 xml:space="preserve">% Change </w:t>
            </w:r>
          </w:p>
        </w:tc>
        <w:tc>
          <w:tcPr>
            <w:tcW w:w="1276"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YTD-12</w:t>
            </w:r>
          </w:p>
        </w:tc>
        <w:tc>
          <w:tcPr>
            <w:tcW w:w="1134"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YTD-13</w:t>
            </w:r>
          </w:p>
        </w:tc>
        <w:tc>
          <w:tcPr>
            <w:tcW w:w="1276"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 Change</w:t>
            </w:r>
          </w:p>
        </w:tc>
      </w:tr>
      <w:tr w:rsidR="00761183" w:rsidRPr="00761183" w:rsidTr="00761183">
        <w:trPr>
          <w:trHeight w:val="270"/>
        </w:trPr>
        <w:tc>
          <w:tcPr>
            <w:tcW w:w="2093" w:type="dxa"/>
            <w:noWrap/>
            <w:hideMark/>
          </w:tcPr>
          <w:p w:rsidR="00761183" w:rsidRPr="00761183" w:rsidRDefault="00761183" w:rsidP="00761183">
            <w:pPr>
              <w:spacing w:line="276" w:lineRule="auto"/>
              <w:jc w:val="right"/>
              <w:rPr>
                <w:rFonts w:ascii="Arial" w:hAnsi="Arial" w:cs="Arial"/>
                <w:b/>
                <w:color w:val="1F497D" w:themeColor="text2"/>
                <w:sz w:val="20"/>
              </w:rPr>
            </w:pPr>
            <w:r w:rsidRPr="00761183">
              <w:rPr>
                <w:rFonts w:ascii="Arial" w:hAnsi="Arial" w:cs="Arial"/>
                <w:b/>
                <w:color w:val="1F497D" w:themeColor="text2"/>
                <w:sz w:val="20"/>
              </w:rPr>
              <w:t>Total</w:t>
            </w:r>
          </w:p>
        </w:tc>
        <w:tc>
          <w:tcPr>
            <w:tcW w:w="1417"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9,004</w:t>
            </w:r>
          </w:p>
        </w:tc>
        <w:tc>
          <w:tcPr>
            <w:tcW w:w="1134"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7,942</w:t>
            </w:r>
          </w:p>
        </w:tc>
        <w:tc>
          <w:tcPr>
            <w:tcW w:w="1276"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-11.8%</w:t>
            </w:r>
          </w:p>
        </w:tc>
        <w:tc>
          <w:tcPr>
            <w:tcW w:w="1276"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65,100</w:t>
            </w:r>
          </w:p>
        </w:tc>
        <w:tc>
          <w:tcPr>
            <w:tcW w:w="1134"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56,459</w:t>
            </w:r>
          </w:p>
        </w:tc>
        <w:tc>
          <w:tcPr>
            <w:tcW w:w="1276" w:type="dxa"/>
            <w:noWrap/>
            <w:hideMark/>
          </w:tcPr>
          <w:p w:rsidR="00761183" w:rsidRPr="00761183" w:rsidRDefault="00761183" w:rsidP="00761183">
            <w:pPr>
              <w:spacing w:line="276" w:lineRule="auto"/>
              <w:rPr>
                <w:rFonts w:ascii="Arial" w:hAnsi="Arial" w:cs="Arial"/>
                <w:b/>
                <w:color w:val="1F497D" w:themeColor="text2"/>
                <w:sz w:val="20"/>
              </w:rPr>
            </w:pPr>
            <w:r w:rsidRPr="00761183">
              <w:rPr>
                <w:rFonts w:ascii="Arial" w:hAnsi="Arial" w:cs="Arial"/>
                <w:b/>
                <w:color w:val="1F497D" w:themeColor="text2"/>
                <w:sz w:val="20"/>
              </w:rPr>
              <w:t>-13.3%</w:t>
            </w:r>
          </w:p>
        </w:tc>
      </w:tr>
      <w:tr w:rsidR="00761183" w:rsidRPr="00761183" w:rsidTr="00761183">
        <w:trPr>
          <w:trHeight w:val="270"/>
        </w:trPr>
        <w:tc>
          <w:tcPr>
            <w:tcW w:w="2093" w:type="dxa"/>
            <w:noWrap/>
            <w:hideMark/>
          </w:tcPr>
          <w:p w:rsidR="00761183" w:rsidRPr="00761183" w:rsidRDefault="00761183" w:rsidP="00761183">
            <w:pPr>
              <w:spacing w:line="276" w:lineRule="auto"/>
              <w:jc w:val="right"/>
              <w:rPr>
                <w:rFonts w:ascii="Arial" w:hAnsi="Arial" w:cs="Arial"/>
                <w:color w:val="1F497D" w:themeColor="text2"/>
                <w:sz w:val="20"/>
              </w:rPr>
            </w:pPr>
            <w:r w:rsidRPr="00761183">
              <w:rPr>
                <w:rFonts w:ascii="Arial" w:hAnsi="Arial" w:cs="Arial"/>
                <w:color w:val="1F497D" w:themeColor="text2"/>
                <w:sz w:val="20"/>
              </w:rPr>
              <w:t>Home</w:t>
            </w:r>
          </w:p>
        </w:tc>
        <w:tc>
          <w:tcPr>
            <w:tcW w:w="1417"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4,362</w:t>
            </w:r>
          </w:p>
        </w:tc>
        <w:tc>
          <w:tcPr>
            <w:tcW w:w="1134"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2,358</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-45.9%</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26,270</w:t>
            </w:r>
          </w:p>
        </w:tc>
        <w:tc>
          <w:tcPr>
            <w:tcW w:w="1134"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26,232</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-0.1%</w:t>
            </w:r>
          </w:p>
        </w:tc>
      </w:tr>
      <w:tr w:rsidR="00761183" w:rsidRPr="00761183" w:rsidTr="00761183">
        <w:trPr>
          <w:trHeight w:val="270"/>
        </w:trPr>
        <w:tc>
          <w:tcPr>
            <w:tcW w:w="2093" w:type="dxa"/>
            <w:noWrap/>
            <w:hideMark/>
          </w:tcPr>
          <w:p w:rsidR="00761183" w:rsidRPr="00761183" w:rsidRDefault="00761183" w:rsidP="00761183">
            <w:pPr>
              <w:spacing w:line="276" w:lineRule="auto"/>
              <w:jc w:val="right"/>
              <w:rPr>
                <w:rFonts w:ascii="Arial" w:hAnsi="Arial" w:cs="Arial"/>
                <w:color w:val="1F497D" w:themeColor="text2"/>
                <w:sz w:val="20"/>
              </w:rPr>
            </w:pPr>
            <w:r w:rsidRPr="00761183">
              <w:rPr>
                <w:rFonts w:ascii="Arial" w:hAnsi="Arial" w:cs="Arial"/>
                <w:color w:val="1F497D" w:themeColor="text2"/>
                <w:sz w:val="20"/>
              </w:rPr>
              <w:t>Export</w:t>
            </w:r>
          </w:p>
        </w:tc>
        <w:tc>
          <w:tcPr>
            <w:tcW w:w="1417"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4,642</w:t>
            </w:r>
          </w:p>
        </w:tc>
        <w:tc>
          <w:tcPr>
            <w:tcW w:w="1134"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5,584</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20.3%</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38,830</w:t>
            </w:r>
          </w:p>
        </w:tc>
        <w:tc>
          <w:tcPr>
            <w:tcW w:w="1134"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30,227</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-22.2%</w:t>
            </w:r>
          </w:p>
        </w:tc>
      </w:tr>
      <w:tr w:rsidR="00761183" w:rsidRPr="00761183" w:rsidTr="00761183">
        <w:trPr>
          <w:trHeight w:val="270"/>
        </w:trPr>
        <w:tc>
          <w:tcPr>
            <w:tcW w:w="2093" w:type="dxa"/>
            <w:noWrap/>
            <w:hideMark/>
          </w:tcPr>
          <w:p w:rsidR="00761183" w:rsidRPr="00761183" w:rsidRDefault="00761183" w:rsidP="00761183">
            <w:pPr>
              <w:spacing w:line="276" w:lineRule="auto"/>
              <w:jc w:val="right"/>
              <w:rPr>
                <w:rFonts w:ascii="Arial" w:hAnsi="Arial" w:cs="Arial"/>
                <w:color w:val="1F497D" w:themeColor="text2"/>
                <w:sz w:val="20"/>
              </w:rPr>
            </w:pPr>
            <w:r w:rsidRPr="00761183">
              <w:rPr>
                <w:rFonts w:ascii="Arial" w:hAnsi="Arial" w:cs="Arial"/>
                <w:color w:val="1F497D" w:themeColor="text2"/>
                <w:sz w:val="20"/>
              </w:rPr>
              <w:t>% export</w:t>
            </w:r>
          </w:p>
        </w:tc>
        <w:tc>
          <w:tcPr>
            <w:tcW w:w="1417"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51.6%</w:t>
            </w:r>
          </w:p>
        </w:tc>
        <w:tc>
          <w:tcPr>
            <w:tcW w:w="1134"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70.3%</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 </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59.6%</w:t>
            </w:r>
          </w:p>
        </w:tc>
        <w:tc>
          <w:tcPr>
            <w:tcW w:w="1134"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53.5%</w:t>
            </w:r>
          </w:p>
        </w:tc>
        <w:tc>
          <w:tcPr>
            <w:tcW w:w="1276" w:type="dxa"/>
            <w:noWrap/>
            <w:hideMark/>
          </w:tcPr>
          <w:p w:rsidR="00761183" w:rsidRPr="00761183" w:rsidRDefault="00761183" w:rsidP="00761183">
            <w:pPr>
              <w:spacing w:line="276" w:lineRule="auto"/>
              <w:rPr>
                <w:rFonts w:ascii="Arial" w:hAnsi="Arial" w:cs="Arial"/>
                <w:color w:val="1F497D" w:themeColor="text2"/>
                <w:sz w:val="20"/>
              </w:rPr>
            </w:pPr>
            <w:r w:rsidRPr="00761183">
              <w:rPr>
                <w:rFonts w:ascii="Arial" w:hAnsi="Arial" w:cs="Arial"/>
                <w:color w:val="1F497D" w:themeColor="text2"/>
                <w:sz w:val="20"/>
              </w:rPr>
              <w:t> </w:t>
            </w:r>
          </w:p>
        </w:tc>
      </w:tr>
    </w:tbl>
    <w:p w:rsidR="00761183" w:rsidRDefault="00761183" w:rsidP="00C80E70">
      <w:pPr>
        <w:spacing w:line="276" w:lineRule="auto"/>
        <w:rPr>
          <w:rFonts w:ascii="Arial" w:hAnsi="Arial" w:cs="Arial"/>
          <w:sz w:val="20"/>
        </w:rPr>
      </w:pPr>
    </w:p>
    <w:p w:rsidR="00C80E70" w:rsidRDefault="00C80E70" w:rsidP="00C80E70">
      <w:r>
        <w:rPr>
          <w:rFonts w:ascii="Arial" w:hAnsi="Arial" w:cs="Arial"/>
          <w:b/>
          <w:color w:val="0D2255"/>
          <w:sz w:val="20"/>
        </w:rPr>
        <w:t xml:space="preserve">CV </w:t>
      </w:r>
      <w:r w:rsidRPr="00D62A9D">
        <w:rPr>
          <w:rFonts w:ascii="Arial" w:hAnsi="Arial" w:cs="Arial"/>
          <w:b/>
          <w:color w:val="0D2255"/>
          <w:sz w:val="20"/>
        </w:rPr>
        <w:t>output rolling year total</w:t>
      </w:r>
      <w:r>
        <w:rPr>
          <w:rFonts w:ascii="Arial" w:hAnsi="Arial" w:cs="Arial"/>
          <w:b/>
          <w:color w:val="0D2255"/>
          <w:sz w:val="20"/>
        </w:rPr>
        <w:tab/>
      </w:r>
      <w:r>
        <w:rPr>
          <w:rFonts w:ascii="Arial" w:hAnsi="Arial" w:cs="Arial"/>
          <w:b/>
          <w:color w:val="0D2255"/>
          <w:sz w:val="20"/>
        </w:rPr>
        <w:tab/>
        <w:t xml:space="preserve">       </w:t>
      </w:r>
      <w:r w:rsidR="00EC65AF">
        <w:rPr>
          <w:rFonts w:ascii="Arial" w:hAnsi="Arial" w:cs="Arial"/>
          <w:b/>
          <w:color w:val="0D2255"/>
          <w:sz w:val="20"/>
        </w:rPr>
        <w:tab/>
      </w:r>
      <w:r>
        <w:rPr>
          <w:rFonts w:ascii="Arial" w:hAnsi="Arial" w:cs="Arial"/>
          <w:b/>
          <w:color w:val="0D2255"/>
          <w:sz w:val="20"/>
        </w:rPr>
        <w:t xml:space="preserve">CV </w:t>
      </w:r>
      <w:r w:rsidR="00EC65AF">
        <w:rPr>
          <w:rFonts w:ascii="Arial" w:hAnsi="Arial" w:cs="Arial"/>
          <w:b/>
          <w:color w:val="0D2255"/>
          <w:sz w:val="20"/>
        </w:rPr>
        <w:t>output year-to-date, 2011-2013</w:t>
      </w:r>
    </w:p>
    <w:p w:rsidR="00C80E70" w:rsidRDefault="001E33CE" w:rsidP="00C80E70">
      <w:r w:rsidRPr="001E33CE">
        <w:rPr>
          <w:noProof/>
        </w:rPr>
        <w:drawing>
          <wp:inline distT="0" distB="0" distL="0" distR="0">
            <wp:extent cx="2635250" cy="2184400"/>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079E9">
        <w:rPr>
          <w:noProof/>
          <w:lang w:val="en-US" w:eastAsia="zh-TW"/>
        </w:rPr>
        <w:pict>
          <v:shape id="_x0000_s1030" type="#_x0000_t202" style="position:absolute;margin-left:229.75pt;margin-top:3.75pt;width:231pt;height:170.55pt;z-index:251672576;mso-position-horizontal-relative:text;mso-position-vertical-relative:text;mso-width-relative:margin;mso-height-relative:margin" stroked="f">
            <v:textbox>
              <w:txbxContent>
                <w:p w:rsidR="00066F55" w:rsidRDefault="00066F55">
                  <w:r w:rsidRPr="001E33CE">
                    <w:rPr>
                      <w:noProof/>
                    </w:rPr>
                    <w:drawing>
                      <wp:inline distT="0" distB="0" distL="0" distR="0">
                        <wp:extent cx="2749550" cy="2089150"/>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C80E70" w:rsidRDefault="00C80E70" w:rsidP="00C80E70"/>
    <w:p w:rsidR="00C80E70" w:rsidRDefault="00C80E70" w:rsidP="00C80E70"/>
    <w:p w:rsidR="00467D20" w:rsidRDefault="00467D20" w:rsidP="00C80E70"/>
    <w:p w:rsidR="00C80E70" w:rsidRPr="00D62A9D" w:rsidRDefault="00C80E70" w:rsidP="00C80E70">
      <w:pPr>
        <w:pStyle w:val="Heading1"/>
        <w:ind w:left="0" w:right="142" w:firstLine="0"/>
        <w:rPr>
          <w:rFonts w:ascii="Arial" w:eastAsiaTheme="minorEastAsia" w:hAnsi="Arial" w:cs="Arial"/>
          <w:bCs/>
          <w:color w:val="1074CB"/>
          <w:sz w:val="44"/>
          <w:szCs w:val="4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Default="008F55A4" w:rsidP="00C80E70">
      <w:pPr>
        <w:pStyle w:val="Heading1"/>
        <w:ind w:right="142"/>
        <w:rPr>
          <w:rFonts w:ascii="Arial" w:eastAsiaTheme="minorEastAsia" w:hAnsi="Arial" w:cs="Arial"/>
          <w:b w:val="0"/>
          <w:bCs/>
          <w:color w:val="1074CB"/>
        </w:rPr>
      </w:pPr>
      <w:r>
        <w:rPr>
          <w:rFonts w:ascii="Arial" w:eastAsiaTheme="minorEastAsia" w:hAnsi="Arial" w:cs="Arial"/>
          <w:b w:val="0"/>
          <w:bCs/>
          <w:color w:val="1074CB"/>
          <w:sz w:val="44"/>
          <w:szCs w:val="44"/>
        </w:rPr>
        <w:t xml:space="preserve">22 August </w:t>
      </w:r>
      <w:r w:rsidR="00C80E70" w:rsidRPr="00D62A9D">
        <w:rPr>
          <w:rFonts w:ascii="Arial" w:eastAsiaTheme="minorEastAsia" w:hAnsi="Arial" w:cs="Arial"/>
          <w:b w:val="0"/>
          <w:bCs/>
          <w:color w:val="1074CB"/>
          <w:sz w:val="44"/>
          <w:szCs w:val="44"/>
        </w:rPr>
        <w:t xml:space="preserve">2013 </w:t>
      </w:r>
      <w:r w:rsidR="00C80E70" w:rsidRPr="00D62A9D">
        <w:rPr>
          <w:rFonts w:ascii="Arial" w:eastAsiaTheme="minorEastAsia" w:hAnsi="Arial" w:cs="Arial"/>
          <w:b w:val="0"/>
          <w:bCs/>
          <w:color w:val="1074CB"/>
          <w:sz w:val="32"/>
          <w:szCs w:val="32"/>
        </w:rPr>
        <w:t xml:space="preserve">(data for </w:t>
      </w:r>
      <w:r w:rsidR="00C80E70">
        <w:rPr>
          <w:rFonts w:ascii="Arial" w:eastAsiaTheme="minorEastAsia" w:hAnsi="Arial" w:cs="Arial"/>
          <w:b w:val="0"/>
          <w:bCs/>
          <w:color w:val="1074CB"/>
          <w:sz w:val="32"/>
          <w:szCs w:val="32"/>
        </w:rPr>
        <w:t>Ju</w:t>
      </w:r>
      <w:r>
        <w:rPr>
          <w:rFonts w:ascii="Arial" w:eastAsiaTheme="minorEastAsia" w:hAnsi="Arial" w:cs="Arial"/>
          <w:b w:val="0"/>
          <w:bCs/>
          <w:color w:val="1074CB"/>
          <w:sz w:val="32"/>
          <w:szCs w:val="32"/>
        </w:rPr>
        <w:t>ly</w:t>
      </w:r>
      <w:r w:rsidR="00C80E70">
        <w:rPr>
          <w:rFonts w:ascii="Arial" w:eastAsiaTheme="minorEastAsia" w:hAnsi="Arial" w:cs="Arial"/>
          <w:b w:val="0"/>
          <w:bCs/>
          <w:color w:val="1074CB"/>
          <w:sz w:val="32"/>
          <w:szCs w:val="32"/>
        </w:rPr>
        <w:t xml:space="preserve"> </w:t>
      </w:r>
      <w:r w:rsidR="00C80E70" w:rsidRPr="00D62A9D">
        <w:rPr>
          <w:rFonts w:ascii="Arial" w:eastAsiaTheme="minorEastAsia" w:hAnsi="Arial" w:cs="Arial"/>
          <w:b w:val="0"/>
          <w:bCs/>
          <w:color w:val="1074CB"/>
          <w:sz w:val="32"/>
          <w:szCs w:val="32"/>
        </w:rPr>
        <w:t>2013)</w:t>
      </w:r>
      <w:r w:rsidR="00467D20">
        <w:rPr>
          <w:rFonts w:ascii="Arial" w:eastAsiaTheme="minorEastAsia" w:hAnsi="Arial" w:cs="Arial"/>
          <w:b w:val="0"/>
          <w:bCs/>
          <w:color w:val="1074CB"/>
        </w:rPr>
        <w:t xml:space="preserve">           </w:t>
      </w:r>
      <w:r w:rsidR="00E343D2">
        <w:rPr>
          <w:rFonts w:ascii="Arial" w:eastAsiaTheme="minorEastAsia" w:hAnsi="Arial" w:cs="Arial"/>
          <w:b w:val="0"/>
          <w:bCs/>
          <w:color w:val="1074CB"/>
        </w:rPr>
        <w:t xml:space="preserve">    </w:t>
      </w:r>
      <w:r w:rsidR="00C80E70" w:rsidRPr="00467D20">
        <w:rPr>
          <w:rFonts w:ascii="Arial" w:eastAsiaTheme="minorEastAsia" w:hAnsi="Arial" w:cs="Arial"/>
          <w:b w:val="0"/>
          <w:bCs/>
          <w:color w:val="1074CB"/>
          <w:sz w:val="16"/>
          <w:szCs w:val="16"/>
        </w:rPr>
        <w:t>FOR RELEASE: IMMEDIATE</w:t>
      </w:r>
    </w:p>
    <w:p w:rsidR="00C80E70" w:rsidRPr="007B7D91" w:rsidRDefault="002079E9" w:rsidP="00C80E70">
      <w:r>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C80E70" w:rsidRPr="00B53741" w:rsidRDefault="00467D20" w:rsidP="000B47D6">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engine production rises </w:t>
      </w:r>
      <w:r w:rsidR="00761183">
        <w:rPr>
          <w:rFonts w:ascii="Arial" w:eastAsiaTheme="minorEastAsia" w:hAnsi="Arial" w:cs="Arial"/>
          <w:bCs/>
          <w:color w:val="1074CB"/>
          <w:sz w:val="36"/>
          <w:szCs w:val="36"/>
        </w:rPr>
        <w:t>26.4% in July</w:t>
      </w:r>
      <w:r w:rsidR="000B47D6">
        <w:rPr>
          <w:rFonts w:ascii="Arial" w:eastAsiaTheme="minorEastAsia" w:hAnsi="Arial" w:cs="Arial"/>
          <w:bCs/>
          <w:color w:val="1074CB"/>
          <w:sz w:val="36"/>
          <w:szCs w:val="36"/>
        </w:rPr>
        <w:tab/>
      </w:r>
    </w:p>
    <w:p w:rsidR="00C80E70" w:rsidRDefault="00C80E70" w:rsidP="00C80E70">
      <w:pPr>
        <w:spacing w:line="276" w:lineRule="auto"/>
        <w:rPr>
          <w:rFonts w:ascii="Verdana" w:hAnsi="Verdana"/>
          <w:sz w:val="20"/>
        </w:rPr>
      </w:pPr>
    </w:p>
    <w:p w:rsidR="00C80E70" w:rsidRPr="00300A48" w:rsidRDefault="00C80E70" w:rsidP="00C80E70">
      <w:pPr>
        <w:pStyle w:val="ListParagraph"/>
        <w:numPr>
          <w:ilvl w:val="0"/>
          <w:numId w:val="1"/>
        </w:numPr>
        <w:spacing w:line="276" w:lineRule="auto"/>
        <w:rPr>
          <w:rFonts w:ascii="Arial" w:hAnsi="Arial" w:cs="Arial"/>
          <w:sz w:val="20"/>
        </w:rPr>
      </w:pPr>
      <w:r w:rsidRPr="00300A48">
        <w:rPr>
          <w:rFonts w:ascii="Arial" w:hAnsi="Arial" w:cs="Arial"/>
          <w:sz w:val="20"/>
        </w:rPr>
        <w:t>U</w:t>
      </w:r>
      <w:r w:rsidR="00467D20">
        <w:rPr>
          <w:rFonts w:ascii="Arial" w:hAnsi="Arial" w:cs="Arial"/>
          <w:sz w:val="20"/>
        </w:rPr>
        <w:t>K engine manufacturing rose</w:t>
      </w:r>
      <w:r>
        <w:rPr>
          <w:rFonts w:ascii="Arial" w:hAnsi="Arial" w:cs="Arial"/>
          <w:sz w:val="20"/>
        </w:rPr>
        <w:t xml:space="preserve"> </w:t>
      </w:r>
      <w:r w:rsidR="00761183">
        <w:rPr>
          <w:rFonts w:ascii="Arial" w:hAnsi="Arial" w:cs="Arial"/>
          <w:sz w:val="20"/>
        </w:rPr>
        <w:t>26.4</w:t>
      </w:r>
      <w:r>
        <w:rPr>
          <w:rFonts w:ascii="Arial" w:hAnsi="Arial" w:cs="Arial"/>
          <w:sz w:val="20"/>
        </w:rPr>
        <w:t>% in Ju</w:t>
      </w:r>
      <w:r w:rsidR="00761183">
        <w:rPr>
          <w:rFonts w:ascii="Arial" w:hAnsi="Arial" w:cs="Arial"/>
          <w:sz w:val="20"/>
        </w:rPr>
        <w:t>ly</w:t>
      </w:r>
      <w:r>
        <w:rPr>
          <w:rFonts w:ascii="Arial" w:hAnsi="Arial" w:cs="Arial"/>
          <w:sz w:val="20"/>
        </w:rPr>
        <w:t xml:space="preserve"> to </w:t>
      </w:r>
      <w:r w:rsidR="00761183">
        <w:rPr>
          <w:rFonts w:ascii="Arial" w:hAnsi="Arial" w:cs="Arial"/>
          <w:sz w:val="20"/>
        </w:rPr>
        <w:t>232,545</w:t>
      </w:r>
      <w:r w:rsidRPr="00300A48">
        <w:rPr>
          <w:rFonts w:ascii="Arial" w:hAnsi="Arial" w:cs="Arial"/>
          <w:sz w:val="20"/>
        </w:rPr>
        <w:t xml:space="preserve"> units.</w:t>
      </w:r>
    </w:p>
    <w:p w:rsidR="00C80E70" w:rsidRDefault="00761183" w:rsidP="00C80E70">
      <w:pPr>
        <w:numPr>
          <w:ilvl w:val="0"/>
          <w:numId w:val="1"/>
        </w:numPr>
        <w:spacing w:line="276" w:lineRule="auto"/>
        <w:rPr>
          <w:rFonts w:ascii="Arial" w:hAnsi="Arial" w:cs="Arial"/>
          <w:sz w:val="20"/>
        </w:rPr>
      </w:pPr>
      <w:r>
        <w:rPr>
          <w:rFonts w:ascii="Arial" w:hAnsi="Arial" w:cs="Arial"/>
          <w:sz w:val="20"/>
        </w:rPr>
        <w:t>Over 1.5 million engines made in the UK so far this year, with 11.6% increase for home market supporting UK car and CV manufacturing sites</w:t>
      </w:r>
      <w:r w:rsidR="002079E9">
        <w:rPr>
          <w:rFonts w:ascii="Arial" w:hAnsi="Arial" w:cs="Arial"/>
          <w:sz w:val="20"/>
        </w:rPr>
        <w:t>.</w:t>
      </w:r>
      <w:bookmarkStart w:id="0" w:name="_GoBack"/>
      <w:bookmarkEnd w:id="0"/>
    </w:p>
    <w:p w:rsidR="00C80E70" w:rsidRPr="00881562" w:rsidRDefault="00C80E70" w:rsidP="00761183">
      <w:pPr>
        <w:ind w:left="360"/>
        <w:rPr>
          <w:rFonts w:ascii="Arial" w:hAnsi="Arial" w:cs="Arial"/>
          <w:sz w:val="16"/>
          <w:szCs w:val="16"/>
        </w:rPr>
      </w:pPr>
    </w:p>
    <w:p w:rsidR="00C80E70" w:rsidRDefault="00C80E70" w:rsidP="00C80E70">
      <w:pPr>
        <w:ind w:left="360"/>
        <w:rPr>
          <w:rFonts w:ascii="Arial" w:hAnsi="Arial" w:cs="Arial"/>
          <w:sz w:val="20"/>
        </w:rPr>
      </w:pPr>
    </w:p>
    <w:tbl>
      <w:tblPr>
        <w:tblW w:w="9794"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firstRow="1" w:lastRow="0" w:firstColumn="1" w:lastColumn="0" w:noHBand="0" w:noVBand="1"/>
      </w:tblPr>
      <w:tblGrid>
        <w:gridCol w:w="2423"/>
        <w:gridCol w:w="1276"/>
        <w:gridCol w:w="1134"/>
        <w:gridCol w:w="1276"/>
        <w:gridCol w:w="1134"/>
        <w:gridCol w:w="1275"/>
        <w:gridCol w:w="1276"/>
      </w:tblGrid>
      <w:tr w:rsidR="00761183" w:rsidRPr="00761183" w:rsidTr="00761183">
        <w:trPr>
          <w:trHeight w:val="270"/>
        </w:trPr>
        <w:tc>
          <w:tcPr>
            <w:tcW w:w="2423" w:type="dxa"/>
            <w:shd w:val="clear" w:color="auto" w:fill="auto"/>
            <w:noWrap/>
            <w:hideMark/>
          </w:tcPr>
          <w:p w:rsidR="00761183" w:rsidRPr="00761183" w:rsidRDefault="00761183" w:rsidP="00761183">
            <w:pPr>
              <w:rPr>
                <w:rFonts w:ascii="Arial" w:eastAsia="Times New Roman" w:hAnsi="Arial" w:cs="Arial"/>
                <w:b/>
                <w:color w:val="1F497D" w:themeColor="text2"/>
                <w:sz w:val="20"/>
              </w:rPr>
            </w:pPr>
            <w:r w:rsidRPr="00761183">
              <w:rPr>
                <w:rFonts w:ascii="Arial" w:eastAsia="Times New Roman" w:hAnsi="Arial" w:cs="Arial"/>
                <w:b/>
                <w:color w:val="1F497D" w:themeColor="text2"/>
                <w:sz w:val="20"/>
              </w:rPr>
              <w:t>Engine manufacturing</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Jul-12</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Jul-13</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 xml:space="preserve">% Change </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YTD-12</w:t>
            </w:r>
          </w:p>
        </w:tc>
        <w:tc>
          <w:tcPr>
            <w:tcW w:w="1275"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YTD-13</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 Change</w:t>
            </w:r>
          </w:p>
        </w:tc>
      </w:tr>
      <w:tr w:rsidR="00761183" w:rsidRPr="00761183" w:rsidTr="00761183">
        <w:trPr>
          <w:trHeight w:val="270"/>
        </w:trPr>
        <w:tc>
          <w:tcPr>
            <w:tcW w:w="2423"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Total</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183,948</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232,545</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26.4%</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1,520,227</w:t>
            </w:r>
          </w:p>
        </w:tc>
        <w:tc>
          <w:tcPr>
            <w:tcW w:w="1275"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1,552,543</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2.1%</w:t>
            </w:r>
          </w:p>
        </w:tc>
      </w:tr>
      <w:tr w:rsidR="00761183" w:rsidRPr="00761183" w:rsidTr="00761183">
        <w:trPr>
          <w:trHeight w:val="270"/>
        </w:trPr>
        <w:tc>
          <w:tcPr>
            <w:tcW w:w="2423"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Home</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70,267</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94,061</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33.9%</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554,544</w:t>
            </w:r>
          </w:p>
        </w:tc>
        <w:tc>
          <w:tcPr>
            <w:tcW w:w="1275"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618,741</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11.6%</w:t>
            </w:r>
          </w:p>
        </w:tc>
      </w:tr>
      <w:tr w:rsidR="00761183" w:rsidRPr="00761183" w:rsidTr="00761183">
        <w:trPr>
          <w:trHeight w:val="270"/>
        </w:trPr>
        <w:tc>
          <w:tcPr>
            <w:tcW w:w="2423"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Export</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113,681</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138,484</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21.8%</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965,683</w:t>
            </w:r>
          </w:p>
        </w:tc>
        <w:tc>
          <w:tcPr>
            <w:tcW w:w="1275"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933,802</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-3.3%</w:t>
            </w:r>
          </w:p>
        </w:tc>
      </w:tr>
      <w:tr w:rsidR="00761183" w:rsidRPr="00761183" w:rsidTr="00761183">
        <w:trPr>
          <w:trHeight w:val="270"/>
        </w:trPr>
        <w:tc>
          <w:tcPr>
            <w:tcW w:w="2423"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 export</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61.8%</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59.6%</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 </w:t>
            </w:r>
          </w:p>
        </w:tc>
        <w:tc>
          <w:tcPr>
            <w:tcW w:w="1134"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63.5%</w:t>
            </w:r>
          </w:p>
        </w:tc>
        <w:tc>
          <w:tcPr>
            <w:tcW w:w="1275"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60.1%</w:t>
            </w:r>
          </w:p>
        </w:tc>
        <w:tc>
          <w:tcPr>
            <w:tcW w:w="1276" w:type="dxa"/>
            <w:shd w:val="clear" w:color="auto" w:fill="auto"/>
            <w:noWrap/>
            <w:vAlign w:val="bottom"/>
            <w:hideMark/>
          </w:tcPr>
          <w:p w:rsidR="00761183" w:rsidRPr="00761183" w:rsidRDefault="00761183"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 </w:t>
            </w:r>
          </w:p>
        </w:tc>
      </w:tr>
    </w:tbl>
    <w:p w:rsidR="00761183" w:rsidRDefault="00761183"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EC65AF">
        <w:rPr>
          <w:rFonts w:ascii="Arial" w:hAnsi="Arial" w:cs="Arial"/>
          <w:b/>
          <w:color w:val="0D2255"/>
          <w:sz w:val="20"/>
        </w:rPr>
        <w:tab/>
      </w:r>
      <w:r w:rsidR="00EC65AF">
        <w:rPr>
          <w:rFonts w:ascii="Arial" w:hAnsi="Arial" w:cs="Arial"/>
          <w:b/>
          <w:color w:val="0D2255"/>
          <w:sz w:val="20"/>
        </w:rPr>
        <w:tab/>
        <w:t>Engine output year-to-date, 2011-2013</w:t>
      </w:r>
    </w:p>
    <w:p w:rsidR="000B47D6" w:rsidRDefault="00C07099" w:rsidP="00C80E70">
      <w:r w:rsidRPr="00C07099">
        <w:rPr>
          <w:noProof/>
        </w:rPr>
        <w:drawing>
          <wp:inline distT="0" distB="0" distL="0" distR="0">
            <wp:extent cx="2806700" cy="2260600"/>
            <wp:effectExtent l="0" t="0" r="0"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079E9">
        <w:rPr>
          <w:noProof/>
          <w:lang w:val="en-US" w:eastAsia="zh-TW"/>
        </w:rPr>
        <w:pict>
          <v:shape id="_x0000_s1029" type="#_x0000_t202" style="position:absolute;margin-left:229.75pt;margin-top:7.65pt;width:238.55pt;height:217.9pt;z-index:251670528;mso-position-horizontal-relative:text;mso-position-vertical-relative:text;mso-width-relative:margin;mso-height-relative:margin" stroked="f">
            <v:textbox>
              <w:txbxContent>
                <w:p w:rsidR="00066F55" w:rsidRDefault="00066F55">
                  <w:r w:rsidRPr="00C07099">
                    <w:rPr>
                      <w:noProof/>
                    </w:rPr>
                    <w:drawing>
                      <wp:inline distT="0" distB="0" distL="0" distR="0">
                        <wp:extent cx="2844800" cy="2120900"/>
                        <wp:effectExtent l="0" t="0" r="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0B47D6" w:rsidRPr="000B47D6" w:rsidRDefault="000B47D6" w:rsidP="000B47D6"/>
    <w:p w:rsidR="000B47D6" w:rsidRPr="000B47D6" w:rsidRDefault="000B47D6" w:rsidP="000B47D6"/>
    <w:p w:rsidR="000B47D6" w:rsidRPr="000B47D6" w:rsidRDefault="000B47D6" w:rsidP="000B47D6"/>
    <w:sectPr w:rsidR="000B47D6" w:rsidRPr="000B47D6" w:rsidSect="00EB2FB8">
      <w:headerReference w:type="default"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55" w:rsidRDefault="00066F55" w:rsidP="00C80E70">
      <w:r>
        <w:separator/>
      </w:r>
    </w:p>
  </w:endnote>
  <w:endnote w:type="continuationSeparator" w:id="0">
    <w:p w:rsidR="00066F55" w:rsidRDefault="00066F55"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55" w:rsidRDefault="00066F55" w:rsidP="00C80E70">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066F55" w:rsidRDefault="00066F55" w:rsidP="00C80E70">
    <w:pPr>
      <w:rPr>
        <w:rFonts w:ascii="Arial" w:hAnsi="Arial" w:cs="Arial"/>
      </w:rPr>
    </w:pPr>
    <w:r>
      <w:rPr>
        <w:rFonts w:ascii="Arial" w:hAnsi="Arial" w:cs="Arial"/>
        <w:b/>
        <w:bCs/>
        <w:color w:val="1074CB"/>
        <w:sz w:val="16"/>
        <w:szCs w:val="16"/>
      </w:rPr>
      <w:t>About SMMT and UK the automotive industry:</w:t>
    </w:r>
  </w:p>
  <w:p w:rsidR="00066F55" w:rsidRDefault="00066F55" w:rsidP="00C80E70">
    <w:pPr>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066F55" w:rsidRDefault="00066F55" w:rsidP="00C80E70">
    <w:pPr>
      <w:rPr>
        <w:rFonts w:ascii="Arial" w:hAnsi="Arial" w:cs="Arial"/>
        <w:color w:val="1074CB"/>
        <w:sz w:val="16"/>
        <w:szCs w:val="16"/>
      </w:rPr>
    </w:pPr>
  </w:p>
  <w:p w:rsidR="00066F55" w:rsidRDefault="00066F55" w:rsidP="00C80E70">
    <w:pPr>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w:t>
    </w:r>
    <w:r>
      <w:rPr>
        <w:rFonts w:ascii="Arial" w:hAnsi="Arial" w:cs="Arial"/>
        <w:b/>
        <w:bCs/>
        <w:color w:val="1074CB"/>
        <w:sz w:val="16"/>
        <w:szCs w:val="16"/>
      </w:rPr>
      <w:t>£59 billion turnover</w:t>
    </w:r>
    <w:r>
      <w:rPr>
        <w:rFonts w:ascii="Arial" w:hAnsi="Arial" w:cs="Arial"/>
        <w:color w:val="1074CB"/>
        <w:sz w:val="16"/>
        <w:szCs w:val="16"/>
      </w:rPr>
      <w:t xml:space="preserve"> and </w:t>
    </w:r>
    <w:r>
      <w:rPr>
        <w:rFonts w:ascii="Arial" w:hAnsi="Arial" w:cs="Arial"/>
        <w:b/>
        <w:bCs/>
        <w:color w:val="1074CB"/>
        <w:sz w:val="16"/>
        <w:szCs w:val="16"/>
      </w:rPr>
      <w:t>£12 billion value added</w:t>
    </w:r>
    <w:r>
      <w:rPr>
        <w:rFonts w:ascii="Arial" w:hAnsi="Arial" w:cs="Arial"/>
        <w:color w:val="1074CB"/>
        <w:sz w:val="16"/>
        <w:szCs w:val="16"/>
      </w:rPr>
      <w:t xml:space="preserve">. With more than </w:t>
    </w:r>
    <w:r>
      <w:rPr>
        <w:rFonts w:ascii="Arial" w:hAnsi="Arial" w:cs="Arial"/>
        <w:b/>
        <w:bCs/>
        <w:color w:val="1074CB"/>
        <w:sz w:val="16"/>
        <w:szCs w:val="16"/>
      </w:rPr>
      <w:t>700,000 jobs</w:t>
    </w:r>
    <w:r>
      <w:rPr>
        <w:rFonts w:ascii="Arial" w:hAnsi="Arial" w:cs="Arial"/>
        <w:color w:val="1074CB"/>
        <w:sz w:val="16"/>
        <w:szCs w:val="16"/>
      </w:rPr>
      <w:t xml:space="preserve"> dependent on the industry, it accounts for </w:t>
    </w:r>
    <w:r>
      <w:rPr>
        <w:rFonts w:ascii="Arial" w:hAnsi="Arial" w:cs="Arial"/>
        <w:b/>
        <w:bCs/>
        <w:color w:val="1074CB"/>
        <w:sz w:val="16"/>
        <w:szCs w:val="16"/>
      </w:rPr>
      <w:t>10% of total UK exports</w:t>
    </w:r>
    <w:r>
      <w:rPr>
        <w:rFonts w:ascii="Arial" w:hAnsi="Arial" w:cs="Arial"/>
        <w:color w:val="1074CB"/>
        <w:sz w:val="16"/>
        <w:szCs w:val="16"/>
      </w:rPr>
      <w:t xml:space="preserve"> and invests </w:t>
    </w:r>
    <w:r>
      <w:rPr>
        <w:rFonts w:ascii="Arial" w:hAnsi="Arial" w:cs="Arial"/>
        <w:b/>
        <w:bCs/>
        <w:color w:val="1074CB"/>
        <w:sz w:val="16"/>
        <w:szCs w:val="16"/>
      </w:rPr>
      <w:t>£1.7 billion</w:t>
    </w:r>
    <w:r>
      <w:rPr>
        <w:rFonts w:ascii="Arial" w:hAnsi="Arial" w:cs="Arial"/>
        <w:color w:val="1074CB"/>
        <w:sz w:val="16"/>
        <w:szCs w:val="16"/>
      </w:rPr>
      <w:t xml:space="preserve">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Pr>
        <w:rFonts w:ascii="Arial" w:hAnsi="Arial" w:cs="Arial"/>
        <w:b/>
        <w:bCs/>
        <w:color w:val="1074CB"/>
        <w:sz w:val="16"/>
        <w:szCs w:val="16"/>
      </w:rPr>
      <w:t>%</w:t>
    </w:r>
    <w:r>
      <w:rPr>
        <w:rFonts w:ascii="Arial" w:hAnsi="Arial" w:cs="Arial"/>
        <w:color w:val="1074CB"/>
        <w:sz w:val="16"/>
        <w:szCs w:val="16"/>
      </w:rPr>
      <w:t xml:space="preserve"> less waste enters landfill sites. Average new car tailpipe CO</w:t>
    </w:r>
    <w:r>
      <w:rPr>
        <w:rFonts w:ascii="Arial" w:hAnsi="Arial" w:cs="Arial"/>
        <w:color w:val="1074CB"/>
        <w:sz w:val="16"/>
        <w:szCs w:val="16"/>
        <w:vertAlign w:val="subscript"/>
      </w:rPr>
      <w:t>2</w:t>
    </w:r>
    <w:r>
      <w:rPr>
        <w:rFonts w:ascii="Arial" w:hAnsi="Arial" w:cs="Arial"/>
        <w:color w:val="1074CB"/>
        <w:sz w:val="16"/>
        <w:szCs w:val="16"/>
      </w:rPr>
      <w:t xml:space="preserve"> emissions have also been slashed and are down 23% versus 10 years ago to 133g/km CO</w:t>
    </w:r>
    <w:r>
      <w:rPr>
        <w:rFonts w:ascii="Arial" w:hAnsi="Arial" w:cs="Arial"/>
        <w:color w:val="1074CB"/>
        <w:sz w:val="16"/>
        <w:szCs w:val="16"/>
        <w:vertAlign w:val="subscript"/>
      </w:rPr>
      <w:t>2</w:t>
    </w:r>
    <w:r>
      <w:rPr>
        <w:rFonts w:ascii="Arial" w:hAnsi="Arial" w:cs="Arial"/>
        <w:color w:val="1074CB"/>
        <w:sz w:val="16"/>
        <w:szCs w:val="16"/>
      </w:rPr>
      <w:t xml:space="preserve">. For more details, see SMMT’s Sustainability Report 2013 and Motor Industry Facts 2013 at </w:t>
    </w:r>
    <w:hyperlink r:id="rId1" w:history="1">
      <w:r w:rsidRPr="00482D22">
        <w:rPr>
          <w:rStyle w:val="Hyperlink"/>
          <w:rFonts w:ascii="Arial" w:hAnsi="Arial" w:cs="Arial"/>
          <w:sz w:val="16"/>
          <w:szCs w:val="16"/>
        </w:rPr>
        <w:t>www.smmt.co.uk/publications</w:t>
      </w:r>
    </w:hyperlink>
    <w:r w:rsidRPr="00482D22">
      <w:rPr>
        <w:rFonts w:ascii="Arial" w:hAnsi="Arial" w:cs="Arial"/>
        <w:color w:val="1074CB"/>
        <w:sz w:val="16"/>
        <w:szCs w:val="16"/>
      </w:rPr>
      <w:t>.</w:t>
    </w:r>
  </w:p>
  <w:p w:rsidR="00066F55" w:rsidRPr="00EA17B0" w:rsidRDefault="00066F55" w:rsidP="00C80E70">
    <w:pPr>
      <w:rPr>
        <w:rFonts w:ascii="Arial" w:hAnsi="Arial" w:cs="Arial"/>
        <w:b/>
        <w:color w:val="1074CB"/>
        <w:sz w:val="12"/>
        <w:szCs w:val="12"/>
      </w:rPr>
    </w:pPr>
  </w:p>
  <w:p w:rsidR="00066F55" w:rsidRPr="00C80E70" w:rsidRDefault="00066F55" w:rsidP="00C80E70">
    <w:pPr>
      <w:rPr>
        <w:rFonts w:ascii="Arial" w:hAnsi="Arial" w:cs="Arial"/>
        <w:b/>
        <w:color w:val="1074CB"/>
        <w:sz w:val="16"/>
        <w:szCs w:val="16"/>
      </w:rPr>
    </w:pPr>
    <w:r w:rsidRPr="00C80E70">
      <w:rPr>
        <w:rFonts w:ascii="Arial" w:hAnsi="Arial" w:cs="Arial"/>
        <w:b/>
        <w:color w:val="1074CB"/>
        <w:sz w:val="16"/>
        <w:szCs w:val="16"/>
      </w:rPr>
      <w:t>Media contacts:</w:t>
    </w:r>
  </w:p>
  <w:p w:rsidR="00066F55" w:rsidRDefault="00066F55" w:rsidP="00C80E70">
    <w:pPr>
      <w:rPr>
        <w:rFonts w:ascii="Arial" w:hAnsi="Arial" w:cs="Arial"/>
        <w:color w:val="1074CB"/>
        <w:sz w:val="16"/>
        <w:szCs w:val="16"/>
      </w:rPr>
    </w:pPr>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020 7344 9266</w:t>
    </w:r>
    <w:r w:rsidRPr="00C80E70">
      <w:rPr>
        <w:rFonts w:ascii="Arial" w:hAnsi="Arial" w:cs="Arial"/>
        <w:color w:val="1074CB"/>
        <w:sz w:val="16"/>
        <w:szCs w:val="16"/>
      </w:rPr>
      <w:tab/>
    </w:r>
    <w:r w:rsidRPr="00C80E70">
      <w:rPr>
        <w:rFonts w:ascii="Arial" w:hAnsi="Arial" w:cs="Arial"/>
        <w:color w:val="1074CB"/>
        <w:sz w:val="16"/>
        <w:szCs w:val="16"/>
      </w:rPr>
      <w:tab/>
    </w:r>
    <w:hyperlink r:id="rId2" w:history="1">
      <w:r w:rsidRPr="00C80E70">
        <w:rPr>
          <w:rStyle w:val="Hyperlink"/>
          <w:rFonts w:ascii="Arial" w:hAnsi="Arial" w:cs="Arial"/>
          <w:sz w:val="16"/>
          <w:szCs w:val="16"/>
        </w:rPr>
        <w:t>klewis@smmt.co.uk</w:t>
      </w:r>
    </w:hyperlink>
    <w:r w:rsidRPr="00C80E70">
      <w:rPr>
        <w:rFonts w:ascii="Arial" w:hAnsi="Arial" w:cs="Arial"/>
        <w:color w:val="1074CB"/>
        <w:sz w:val="16"/>
        <w:szCs w:val="16"/>
      </w:rPr>
      <w:t xml:space="preserve"> </w:t>
    </w:r>
  </w:p>
  <w:p w:rsidR="00066F55" w:rsidRDefault="00066F55" w:rsidP="00C80E70">
    <w:pPr>
      <w:rPr>
        <w:rFonts w:ascii="Arial" w:hAnsi="Arial" w:cs="Arial"/>
        <w:color w:val="1074CB"/>
        <w:sz w:val="16"/>
        <w:szCs w:val="16"/>
      </w:rPr>
    </w:pPr>
    <w:r>
      <w:rPr>
        <w:rFonts w:ascii="Arial" w:hAnsi="Arial" w:cs="Arial"/>
        <w:color w:val="1074CB"/>
        <w:sz w:val="16"/>
        <w:szCs w:val="16"/>
      </w:rPr>
      <w:t>Alex Michaelides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020 7344 1667</w:t>
    </w:r>
    <w:r>
      <w:rPr>
        <w:rFonts w:ascii="Arial" w:hAnsi="Arial" w:cs="Arial"/>
        <w:color w:val="1074CB"/>
        <w:sz w:val="16"/>
        <w:szCs w:val="16"/>
      </w:rPr>
      <w:tab/>
    </w:r>
    <w:r>
      <w:rPr>
        <w:rFonts w:ascii="Arial" w:hAnsi="Arial" w:cs="Arial"/>
        <w:color w:val="1074CB"/>
        <w:sz w:val="16"/>
        <w:szCs w:val="16"/>
      </w:rPr>
      <w:tab/>
    </w:r>
    <w:hyperlink r:id="rId3" w:history="1">
      <w:r w:rsidRPr="00874EDC">
        <w:rPr>
          <w:rStyle w:val="Hyperlink"/>
          <w:rFonts w:ascii="Arial" w:hAnsi="Arial" w:cs="Arial"/>
          <w:sz w:val="16"/>
          <w:szCs w:val="16"/>
        </w:rPr>
        <w:t>amichaelides@smmt.co.uk</w:t>
      </w:r>
    </w:hyperlink>
  </w:p>
  <w:p w:rsidR="00066F55" w:rsidRPr="00C80E70" w:rsidRDefault="00066F55" w:rsidP="00C80E70">
    <w:pPr>
      <w:rPr>
        <w:rFonts w:ascii="Arial" w:hAnsi="Arial" w:cs="Arial"/>
        <w:color w:val="1074CB"/>
        <w:sz w:val="16"/>
        <w:szCs w:val="16"/>
      </w:rPr>
    </w:pPr>
    <w:r>
      <w:rPr>
        <w:rFonts w:ascii="Arial" w:hAnsi="Arial" w:cs="Arial"/>
        <w:color w:val="1074CB"/>
        <w:sz w:val="16"/>
        <w:szCs w:val="16"/>
      </w:rPr>
      <w:t>Rebecca Dart</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4" w:history="1">
      <w:r w:rsidRPr="00874EDC">
        <w:rPr>
          <w:rStyle w:val="Hyperlink"/>
          <w:rFonts w:ascii="Arial" w:hAnsi="Arial" w:cs="Arial"/>
          <w:sz w:val="16"/>
          <w:szCs w:val="16"/>
        </w:rPr>
        <w:t>rdart@:smmt.co.uk</w:t>
      </w:r>
    </w:hyperlink>
    <w:r>
      <w:rPr>
        <w:rFonts w:ascii="Arial" w:hAnsi="Arial" w:cs="Arial"/>
        <w:color w:val="1074C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55" w:rsidRDefault="00066F55" w:rsidP="00C80E70">
      <w:r>
        <w:separator/>
      </w:r>
    </w:p>
  </w:footnote>
  <w:footnote w:type="continuationSeparator" w:id="0">
    <w:p w:rsidR="00066F55" w:rsidRDefault="00066F55"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55" w:rsidRDefault="00066F55">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p w:rsidR="00066F55" w:rsidRDefault="00066F55">
    <w:pPr>
      <w:pStyle w:val="Header"/>
    </w:pPr>
  </w:p>
  <w:p w:rsidR="00066F55" w:rsidRDefault="00066F55" w:rsidP="00C80E70">
    <w:pPr>
      <w:jc w:val="right"/>
    </w:pPr>
  </w:p>
  <w:p w:rsidR="00066F55" w:rsidRDefault="00066F55" w:rsidP="00C80E70">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066F55" w:rsidRDefault="00066F55" w:rsidP="00C80E70">
    <w:pPr>
      <w:jc w:val="right"/>
      <w:rPr>
        <w:rStyle w:val="Strong"/>
        <w:rFonts w:ascii="Arial" w:hAnsi="Arial" w:cs="Arial"/>
        <w:color w:val="1074C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C80E70"/>
    <w:rsid w:val="00066F55"/>
    <w:rsid w:val="000B47D6"/>
    <w:rsid w:val="001737CD"/>
    <w:rsid w:val="00192CE4"/>
    <w:rsid w:val="001C389E"/>
    <w:rsid w:val="001D6CB9"/>
    <w:rsid w:val="001E33CE"/>
    <w:rsid w:val="00200F65"/>
    <w:rsid w:val="002079E9"/>
    <w:rsid w:val="00266A9A"/>
    <w:rsid w:val="002B33A7"/>
    <w:rsid w:val="002B4F7D"/>
    <w:rsid w:val="00345610"/>
    <w:rsid w:val="00375DF8"/>
    <w:rsid w:val="003E69D3"/>
    <w:rsid w:val="00410539"/>
    <w:rsid w:val="00456EBB"/>
    <w:rsid w:val="00467D20"/>
    <w:rsid w:val="00482D22"/>
    <w:rsid w:val="005407A6"/>
    <w:rsid w:val="00577A32"/>
    <w:rsid w:val="005B536B"/>
    <w:rsid w:val="005C668F"/>
    <w:rsid w:val="005E2C9D"/>
    <w:rsid w:val="005F44DC"/>
    <w:rsid w:val="0060762E"/>
    <w:rsid w:val="006B7F8A"/>
    <w:rsid w:val="006E5BF9"/>
    <w:rsid w:val="0073709A"/>
    <w:rsid w:val="007433FE"/>
    <w:rsid w:val="00761183"/>
    <w:rsid w:val="00787B6E"/>
    <w:rsid w:val="007B7669"/>
    <w:rsid w:val="00804C47"/>
    <w:rsid w:val="00806662"/>
    <w:rsid w:val="008B50CB"/>
    <w:rsid w:val="008E4462"/>
    <w:rsid w:val="008F55A4"/>
    <w:rsid w:val="00931C26"/>
    <w:rsid w:val="00964455"/>
    <w:rsid w:val="0097483C"/>
    <w:rsid w:val="00A67F90"/>
    <w:rsid w:val="00A93DE9"/>
    <w:rsid w:val="00A94474"/>
    <w:rsid w:val="00AA2084"/>
    <w:rsid w:val="00AB33BB"/>
    <w:rsid w:val="00B36DF8"/>
    <w:rsid w:val="00BC7B6B"/>
    <w:rsid w:val="00BF4C94"/>
    <w:rsid w:val="00C07099"/>
    <w:rsid w:val="00C657AB"/>
    <w:rsid w:val="00C80E70"/>
    <w:rsid w:val="00CE3518"/>
    <w:rsid w:val="00D446D8"/>
    <w:rsid w:val="00D6067E"/>
    <w:rsid w:val="00D6336B"/>
    <w:rsid w:val="00D86627"/>
    <w:rsid w:val="00D911A4"/>
    <w:rsid w:val="00D92B21"/>
    <w:rsid w:val="00DE5D6C"/>
    <w:rsid w:val="00DF19D9"/>
    <w:rsid w:val="00E343D2"/>
    <w:rsid w:val="00E634A1"/>
    <w:rsid w:val="00EB2FB8"/>
    <w:rsid w:val="00EB5EA2"/>
    <w:rsid w:val="00EC65AF"/>
    <w:rsid w:val="00EF35D8"/>
    <w:rsid w:val="00F4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klewis@smmt.co.uk" TargetMode="External"/><Relationship Id="rId1" Type="http://schemas.openxmlformats.org/officeDocument/2006/relationships/hyperlink" Target="http://www.smmt.co.uk/publications" TargetMode="External"/><Relationship Id="rId4" Type="http://schemas.openxmlformats.org/officeDocument/2006/relationships/hyperlink" Target="mailto:rdart@: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JUL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JUL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JUL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JULY).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Jul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Jul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002714866827221"/>
          <c:y val="0.13010425780110821"/>
          <c:w val="0.67037481700926083"/>
          <c:h val="0.70761670416197953"/>
        </c:manualLayout>
      </c:layout>
      <c:lineChart>
        <c:grouping val="standard"/>
        <c:varyColors val="0"/>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'PR&amp;12MONTHROLL-CHARTS'!$C$4:$CH$4</c:f>
              <c:numCache>
                <c:formatCode>General</c:formatCode>
                <c:ptCount val="84"/>
                <c:pt idx="0">
                  <c:v>1447.1529999999998</c:v>
                </c:pt>
                <c:pt idx="1">
                  <c:v>1431.6109999999999</c:v>
                </c:pt>
                <c:pt idx="2">
                  <c:v>1410.6589999999999</c:v>
                </c:pt>
                <c:pt idx="3">
                  <c:v>1412.5039999999999</c:v>
                </c:pt>
                <c:pt idx="4">
                  <c:v>1408.6849999999993</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1009.3649999999997</c:v>
                </c:pt>
                <c:pt idx="31">
                  <c:v>983.24400000000003</c:v>
                </c:pt>
                <c:pt idx="32">
                  <c:v>960.25400000000002</c:v>
                </c:pt>
                <c:pt idx="33">
                  <c:v>952.62300000000005</c:v>
                </c:pt>
                <c:pt idx="34">
                  <c:v>967.96699999999964</c:v>
                </c:pt>
                <c:pt idx="35">
                  <c:v>999.4599999999997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pt idx="68">
                  <c:v>1443.876</c:v>
                </c:pt>
                <c:pt idx="69">
                  <c:v>1452.25</c:v>
                </c:pt>
                <c:pt idx="70">
                  <c:v>1458.9639999999999</c:v>
                </c:pt>
                <c:pt idx="71">
                  <c:v>1464.9060000000006</c:v>
                </c:pt>
                <c:pt idx="72">
                  <c:v>1466.4050000000007</c:v>
                </c:pt>
                <c:pt idx="73">
                  <c:v>1465.3799999999999</c:v>
                </c:pt>
                <c:pt idx="74">
                  <c:v>1456.8969999999999</c:v>
                </c:pt>
                <c:pt idx="75">
                  <c:v>1472.578</c:v>
                </c:pt>
                <c:pt idx="76">
                  <c:v>1460.787</c:v>
                </c:pt>
                <c:pt idx="77">
                  <c:v>1473.1799999999998</c:v>
                </c:pt>
                <c:pt idx="78">
                  <c:v>1481.6619999999998</c:v>
                </c:pt>
              </c:numCache>
            </c:numRef>
          </c:val>
          <c:smooth val="0"/>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'PR&amp;12MONTHROLL-CHARTS'!$C$5:$CH$5</c:f>
              <c:numCache>
                <c:formatCode>General</c:formatCode>
                <c:ptCount val="84"/>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1167.6849999999993</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1003.4599999999997</c:v>
                </c:pt>
                <c:pt idx="26">
                  <c:v>951.97</c:v>
                </c:pt>
                <c:pt idx="27">
                  <c:v>887.52599999999961</c:v>
                </c:pt>
                <c:pt idx="28">
                  <c:v>848.56499999999971</c:v>
                </c:pt>
                <c:pt idx="29">
                  <c:v>819.971</c:v>
                </c:pt>
                <c:pt idx="30">
                  <c:v>801.24800000000005</c:v>
                </c:pt>
                <c:pt idx="31">
                  <c:v>778.755</c:v>
                </c:pt>
                <c:pt idx="32">
                  <c:v>743.75099999999998</c:v>
                </c:pt>
                <c:pt idx="33">
                  <c:v>737.0359999999996</c:v>
                </c:pt>
                <c:pt idx="34">
                  <c:v>742.12099999999998</c:v>
                </c:pt>
                <c:pt idx="35">
                  <c:v>762.23400000000004</c:v>
                </c:pt>
                <c:pt idx="36">
                  <c:v>784.01499999999999</c:v>
                </c:pt>
                <c:pt idx="37">
                  <c:v>807.88</c:v>
                </c:pt>
                <c:pt idx="38">
                  <c:v>846.79900000000032</c:v>
                </c:pt>
                <c:pt idx="39">
                  <c:v>862.95899999999961</c:v>
                </c:pt>
                <c:pt idx="40">
                  <c:v>883.37900000000002</c:v>
                </c:pt>
                <c:pt idx="41">
                  <c:v>895.63599999999997</c:v>
                </c:pt>
                <c:pt idx="42">
                  <c:v>886.52199999999971</c:v>
                </c:pt>
                <c:pt idx="43">
                  <c:v>905.9629999999994</c:v>
                </c:pt>
                <c:pt idx="44">
                  <c:v>922.69299999999998</c:v>
                </c:pt>
                <c:pt idx="45">
                  <c:v>928.33599999999967</c:v>
                </c:pt>
                <c:pt idx="46">
                  <c:v>946.99900000000002</c:v>
                </c:pt>
                <c:pt idx="47">
                  <c:v>961.42</c:v>
                </c:pt>
                <c:pt idx="48">
                  <c:v>982.45899999999961</c:v>
                </c:pt>
                <c:pt idx="49">
                  <c:v>1005.0119999999996</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pt idx="65">
                  <c:v>1199.9050000000007</c:v>
                </c:pt>
                <c:pt idx="66">
                  <c:v>1217.319</c:v>
                </c:pt>
                <c:pt idx="67">
                  <c:v>1211.8429999999998</c:v>
                </c:pt>
                <c:pt idx="68">
                  <c:v>1201.8389999999999</c:v>
                </c:pt>
                <c:pt idx="69">
                  <c:v>1207.1309999999999</c:v>
                </c:pt>
                <c:pt idx="70">
                  <c:v>1208.587</c:v>
                </c:pt>
                <c:pt idx="71">
                  <c:v>1211.7660000000001</c:v>
                </c:pt>
                <c:pt idx="72">
                  <c:v>1207.7139999999999</c:v>
                </c:pt>
                <c:pt idx="73">
                  <c:v>1196.6659999999999</c:v>
                </c:pt>
                <c:pt idx="74">
                  <c:v>1187.7809999999999</c:v>
                </c:pt>
                <c:pt idx="75">
                  <c:v>1194.5999999999999</c:v>
                </c:pt>
                <c:pt idx="76">
                  <c:v>1179.8239999999998</c:v>
                </c:pt>
                <c:pt idx="77">
                  <c:v>1188.088</c:v>
                </c:pt>
                <c:pt idx="78">
                  <c:v>1188.6919999999998</c:v>
                </c:pt>
              </c:numCache>
            </c:numRef>
          </c:val>
          <c:smooth val="0"/>
        </c:ser>
        <c:dLbls>
          <c:showLegendKey val="0"/>
          <c:showVal val="0"/>
          <c:showCatName val="0"/>
          <c:showSerName val="0"/>
          <c:showPercent val="0"/>
          <c:showBubbleSize val="0"/>
        </c:dLbls>
        <c:marker val="1"/>
        <c:smooth val="0"/>
        <c:axId val="27134976"/>
        <c:axId val="27427968"/>
      </c:lineChart>
      <c:catAx>
        <c:axId val="27134976"/>
        <c:scaling>
          <c:orientation val="minMax"/>
        </c:scaling>
        <c:delete val="0"/>
        <c:axPos val="b"/>
        <c:numFmt formatCode="General" sourceLinked="1"/>
        <c:majorTickMark val="out"/>
        <c:minorTickMark val="none"/>
        <c:tickLblPos val="nextTo"/>
        <c:txPr>
          <a:bodyPr rot="60000" vert="horz"/>
          <a:lstStyle/>
          <a:p>
            <a:pPr>
              <a:defRPr sz="1000" b="0" i="0" u="none" strike="noStrike" baseline="0">
                <a:solidFill>
                  <a:srgbClr val="000000"/>
                </a:solidFill>
                <a:latin typeface="Arial"/>
                <a:ea typeface="Arial"/>
                <a:cs typeface="Arial"/>
              </a:defRPr>
            </a:pPr>
            <a:endParaRPr lang="en-US"/>
          </a:p>
        </c:txPr>
        <c:crossAx val="27427968"/>
        <c:crosses val="autoZero"/>
        <c:auto val="1"/>
        <c:lblAlgn val="ctr"/>
        <c:lblOffset val="100"/>
        <c:tickMarkSkip val="12"/>
        <c:noMultiLvlLbl val="0"/>
      </c:catAx>
      <c:valAx>
        <c:axId val="27427968"/>
        <c:scaling>
          <c:orientation val="minMax"/>
          <c:min val="600"/>
        </c:scaling>
        <c:delete val="0"/>
        <c:axPos val="l"/>
        <c:majorGridlines/>
        <c:title>
          <c:tx>
            <c:rich>
              <a:bodyPr/>
              <a:lstStyle/>
              <a:p>
                <a:pPr>
                  <a:defRPr sz="1000" b="0" i="0" u="none" strike="noStrike" baseline="0">
                    <a:solidFill>
                      <a:srgbClr val="000000"/>
                    </a:solidFill>
                    <a:latin typeface="Arial"/>
                    <a:ea typeface="Arial"/>
                    <a:cs typeface="Arial"/>
                  </a:defRPr>
                </a:pPr>
                <a:r>
                  <a:rPr lang="en-GB" sz="800"/>
                  <a:t>Thousands</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27134976"/>
        <c:crosses val="autoZero"/>
        <c:crossBetween val="between"/>
      </c:valAx>
    </c:plotArea>
    <c:legend>
      <c:legendPos val="r"/>
      <c:layout>
        <c:manualLayout>
          <c:xMode val="edge"/>
          <c:yMode val="edge"/>
          <c:x val="5.9278688746380925E-2"/>
          <c:y val="2.2099447513812206E-2"/>
          <c:w val="0.91495217414833441"/>
          <c:h val="9.3923014457446968E-2"/>
        </c:manualLayout>
      </c:layout>
      <c:overlay val="0"/>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08431292060055"/>
          <c:y val="5.3619302949061684E-2"/>
          <c:w val="0.73626333690537205"/>
          <c:h val="0.79729685851124277"/>
        </c:manualLayout>
      </c:layout>
      <c:barChart>
        <c:barDir val="col"/>
        <c:grouping val="clustered"/>
        <c:varyColors val="0"/>
        <c:ser>
          <c:idx val="0"/>
          <c:order val="0"/>
          <c:tx>
            <c:strRef>
              <c:f>'PR chart 2 A'!$B$52</c:f>
              <c:strCache>
                <c:ptCount val="1"/>
                <c:pt idx="0">
                  <c:v>Cars</c:v>
                </c:pt>
              </c:strCache>
            </c:strRef>
          </c:tx>
          <c:spPr>
            <a:solidFill>
              <a:schemeClr val="tx2">
                <a:lumMod val="40000"/>
                <a:lumOff val="60000"/>
              </a:schemeClr>
            </a:solidFill>
            <a:ln>
              <a:solidFill>
                <a:prstClr val="black"/>
              </a:solidFill>
            </a:ln>
          </c:spPr>
          <c:invertIfNegative val="0"/>
          <c:cat>
            <c:strRef>
              <c:f>'PR chart 2 A'!$C$51:$E$51</c:f>
              <c:strCache>
                <c:ptCount val="3"/>
                <c:pt idx="0">
                  <c:v>'11</c:v>
                </c:pt>
                <c:pt idx="1">
                  <c:v>'12</c:v>
                </c:pt>
                <c:pt idx="2">
                  <c:v>'13</c:v>
                </c:pt>
              </c:strCache>
            </c:strRef>
          </c:cat>
          <c:val>
            <c:numRef>
              <c:f>'PR chart 2 A'!$C$52:$E$52</c:f>
              <c:numCache>
                <c:formatCode>General</c:formatCode>
                <c:ptCount val="3"/>
                <c:pt idx="0">
                  <c:v>760946</c:v>
                </c:pt>
                <c:pt idx="1">
                  <c:v>876507</c:v>
                </c:pt>
                <c:pt idx="2">
                  <c:v>893263</c:v>
                </c:pt>
              </c:numCache>
            </c:numRef>
          </c:val>
        </c:ser>
        <c:dLbls>
          <c:showLegendKey val="0"/>
          <c:showVal val="0"/>
          <c:showCatName val="0"/>
          <c:showSerName val="0"/>
          <c:showPercent val="0"/>
          <c:showBubbleSize val="0"/>
        </c:dLbls>
        <c:gapWidth val="48"/>
        <c:axId val="30746112"/>
        <c:axId val="56206848"/>
      </c:barChart>
      <c:catAx>
        <c:axId val="307461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56206848"/>
        <c:crosses val="autoZero"/>
        <c:auto val="1"/>
        <c:lblAlgn val="ctr"/>
        <c:lblOffset val="100"/>
        <c:noMultiLvlLbl val="0"/>
      </c:catAx>
      <c:valAx>
        <c:axId val="56206848"/>
        <c:scaling>
          <c:orientation val="minMax"/>
          <c:max val="900000"/>
          <c:min val="700000"/>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30746112"/>
        <c:crosses val="autoZero"/>
        <c:crossBetween val="between"/>
        <c:majorUnit val="50000"/>
        <c:dispUnits>
          <c:builtInUnit val="thousands"/>
          <c:dispUnitsLbl>
            <c:layout/>
            <c:txPr>
              <a:bodyPr/>
              <a:lstStyle/>
              <a:p>
                <a:pPr>
                  <a:defRPr sz="800"/>
                </a:pPr>
                <a:endParaRPr lang="en-US"/>
              </a:p>
            </c:txPr>
          </c:dispUnitsLbl>
        </c:dispUnits>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43884334045892"/>
          <c:y val="0.10103460904596227"/>
          <c:w val="0.70004527784542481"/>
          <c:h val="0.74859091741439354"/>
        </c:manualLayout>
      </c:layout>
      <c:lineChart>
        <c:grouping val="standard"/>
        <c:varyColors val="0"/>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'PR&amp;12MONTHROLL-CHARTS'!$C$9:$CH$9</c:f>
              <c:numCache>
                <c:formatCode>General</c:formatCode>
                <c:ptCount val="84"/>
                <c:pt idx="0">
                  <c:v>209.13800000000001</c:v>
                </c:pt>
                <c:pt idx="1">
                  <c:v>208.41499999999999</c:v>
                </c:pt>
                <c:pt idx="2">
                  <c:v>207.38600000000008</c:v>
                </c:pt>
                <c:pt idx="3">
                  <c:v>207.62</c:v>
                </c:pt>
                <c:pt idx="4">
                  <c:v>209.48000000000008</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164.89700000000008</c:v>
                </c:pt>
                <c:pt idx="27">
                  <c:v>150.56800000000001</c:v>
                </c:pt>
                <c:pt idx="28">
                  <c:v>137.55800000000008</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103.93400000000004</c:v>
                </c:pt>
                <c:pt idx="40">
                  <c:v>109.98699999999999</c:v>
                </c:pt>
                <c:pt idx="41">
                  <c:v>112.111</c:v>
                </c:pt>
                <c:pt idx="42">
                  <c:v>113.232</c:v>
                </c:pt>
                <c:pt idx="43">
                  <c:v>114.29600000000002</c:v>
                </c:pt>
                <c:pt idx="44">
                  <c:v>115.91900000000004</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115.91700000000004</c:v>
                </c:pt>
                <c:pt idx="68">
                  <c:v>113.47799999999999</c:v>
                </c:pt>
                <c:pt idx="69">
                  <c:v>114.04</c:v>
                </c:pt>
                <c:pt idx="70">
                  <c:v>113.634</c:v>
                </c:pt>
                <c:pt idx="71">
                  <c:v>112.039</c:v>
                </c:pt>
                <c:pt idx="72">
                  <c:v>110.01700000000002</c:v>
                </c:pt>
                <c:pt idx="73">
                  <c:v>108.367</c:v>
                </c:pt>
                <c:pt idx="74">
                  <c:v>106.52200000000001</c:v>
                </c:pt>
                <c:pt idx="75">
                  <c:v>106.232</c:v>
                </c:pt>
                <c:pt idx="76">
                  <c:v>104.34699999999999</c:v>
                </c:pt>
                <c:pt idx="77">
                  <c:v>104.46000000000002</c:v>
                </c:pt>
                <c:pt idx="78">
                  <c:v>103.398</c:v>
                </c:pt>
              </c:numCache>
            </c:numRef>
          </c:val>
          <c:smooth val="0"/>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'PR&amp;12MONTHROLL-CHARTS'!$C$10:$CH$10</c:f>
              <c:numCache>
                <c:formatCode>General</c:formatCode>
                <c:ptCount val="84"/>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142.72899999999998</c:v>
                </c:pt>
                <c:pt idx="21">
                  <c:v>136.85100000000008</c:v>
                </c:pt>
                <c:pt idx="22">
                  <c:v>130.52600000000001</c:v>
                </c:pt>
                <c:pt idx="23">
                  <c:v>125.611</c:v>
                </c:pt>
                <c:pt idx="24">
                  <c:v>119.71899999999999</c:v>
                </c:pt>
                <c:pt idx="25">
                  <c:v>112.473</c:v>
                </c:pt>
                <c:pt idx="26">
                  <c:v>106.93700000000004</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70.181999999999988</c:v>
                </c:pt>
                <c:pt idx="38">
                  <c:v>72.653999999999982</c:v>
                </c:pt>
                <c:pt idx="39">
                  <c:v>73.804999999999993</c:v>
                </c:pt>
                <c:pt idx="40">
                  <c:v>77.438000000000002</c:v>
                </c:pt>
                <c:pt idx="41">
                  <c:v>78.872999999999962</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69.375999999999962</c:v>
                </c:pt>
                <c:pt idx="60">
                  <c:v>69.414000000000044</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pt idx="70">
                  <c:v>65.024000000000001</c:v>
                </c:pt>
                <c:pt idx="71">
                  <c:v>63.733000000000011</c:v>
                </c:pt>
                <c:pt idx="72">
                  <c:v>61.580999999999996</c:v>
                </c:pt>
                <c:pt idx="73">
                  <c:v>59.826000000000001</c:v>
                </c:pt>
                <c:pt idx="74">
                  <c:v>57.596000000000011</c:v>
                </c:pt>
                <c:pt idx="75">
                  <c:v>56.54</c:v>
                </c:pt>
                <c:pt idx="76">
                  <c:v>54.606000000000002</c:v>
                </c:pt>
                <c:pt idx="77">
                  <c:v>54.188000000000002</c:v>
                </c:pt>
                <c:pt idx="78">
                  <c:v>55.13</c:v>
                </c:pt>
              </c:numCache>
            </c:numRef>
          </c:val>
          <c:smooth val="0"/>
        </c:ser>
        <c:dLbls>
          <c:showLegendKey val="0"/>
          <c:showVal val="0"/>
          <c:showCatName val="0"/>
          <c:showSerName val="0"/>
          <c:showPercent val="0"/>
          <c:showBubbleSize val="0"/>
        </c:dLbls>
        <c:marker val="1"/>
        <c:smooth val="0"/>
        <c:axId val="60352000"/>
        <c:axId val="68257664"/>
      </c:lineChart>
      <c:catAx>
        <c:axId val="60352000"/>
        <c:scaling>
          <c:orientation val="minMax"/>
        </c:scaling>
        <c:delete val="0"/>
        <c:axPos val="b"/>
        <c:numFmt formatCode="General" sourceLinked="1"/>
        <c:majorTickMark val="out"/>
        <c:minorTickMark val="none"/>
        <c:tickLblPos val="nextTo"/>
        <c:txPr>
          <a:bodyPr rot="60000" vert="horz"/>
          <a:lstStyle/>
          <a:p>
            <a:pPr>
              <a:defRPr sz="1000" b="0" i="0" u="none" strike="noStrike" baseline="0">
                <a:solidFill>
                  <a:srgbClr val="000000"/>
                </a:solidFill>
                <a:latin typeface="Arial"/>
                <a:ea typeface="Arial"/>
                <a:cs typeface="Arial"/>
              </a:defRPr>
            </a:pPr>
            <a:endParaRPr lang="en-US"/>
          </a:p>
        </c:txPr>
        <c:crossAx val="68257664"/>
        <c:crosses val="autoZero"/>
        <c:auto val="1"/>
        <c:lblAlgn val="ctr"/>
        <c:lblOffset val="100"/>
        <c:tickMarkSkip val="12"/>
        <c:noMultiLvlLbl val="0"/>
      </c:catAx>
      <c:valAx>
        <c:axId val="68257664"/>
        <c:scaling>
          <c:orientation val="minMax"/>
          <c:max val="250"/>
          <c:min val="50"/>
        </c:scaling>
        <c:delete val="0"/>
        <c:axPos val="l"/>
        <c:majorGridlines/>
        <c:title>
          <c:tx>
            <c:rich>
              <a:bodyPr/>
              <a:lstStyle/>
              <a:p>
                <a:pPr>
                  <a:defRPr sz="1000" b="0" i="0" u="none" strike="noStrike" baseline="0">
                    <a:solidFill>
                      <a:srgbClr val="000000"/>
                    </a:solidFill>
                    <a:latin typeface="Arial"/>
                    <a:ea typeface="Arial"/>
                    <a:cs typeface="Arial"/>
                  </a:defRPr>
                </a:pPr>
                <a:r>
                  <a:rPr lang="en-GB" sz="800"/>
                  <a:t>Thousands</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60352000"/>
        <c:crosses val="autoZero"/>
        <c:crossBetween val="between"/>
        <c:majorUnit val="50"/>
      </c:valAx>
    </c:plotArea>
    <c:legend>
      <c:legendPos val="r"/>
      <c:layout>
        <c:manualLayout>
          <c:xMode val="edge"/>
          <c:yMode val="edge"/>
          <c:x val="5.8981500806375112E-2"/>
          <c:y val="1.5707288042483065E-2"/>
          <c:w val="0.91689395058861689"/>
          <c:h val="9.3923014457446968E-2"/>
        </c:manualLayout>
      </c:layout>
      <c:overlay val="0"/>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08431292060055"/>
          <c:y val="5.3619302949061684E-2"/>
          <c:w val="0.73626333690537205"/>
          <c:h val="0.79836249192255193"/>
        </c:manualLayout>
      </c:layout>
      <c:barChart>
        <c:barDir val="col"/>
        <c:grouping val="clustered"/>
        <c:varyColors val="0"/>
        <c:ser>
          <c:idx val="0"/>
          <c:order val="0"/>
          <c:tx>
            <c:strRef>
              <c:f>'PR chart 2 A'!$I$52</c:f>
              <c:strCache>
                <c:ptCount val="1"/>
                <c:pt idx="0">
                  <c:v>CVs</c:v>
                </c:pt>
              </c:strCache>
            </c:strRef>
          </c:tx>
          <c:spPr>
            <a:solidFill>
              <a:schemeClr val="tx2">
                <a:lumMod val="40000"/>
                <a:lumOff val="60000"/>
              </a:schemeClr>
            </a:solidFill>
            <a:ln>
              <a:solidFill>
                <a:prstClr val="black"/>
              </a:solidFill>
            </a:ln>
          </c:spPr>
          <c:invertIfNegative val="0"/>
          <c:cat>
            <c:strRef>
              <c:f>'PR chart 2 A'!$J$51:$L$51</c:f>
              <c:strCache>
                <c:ptCount val="3"/>
                <c:pt idx="0">
                  <c:v>'11</c:v>
                </c:pt>
                <c:pt idx="1">
                  <c:v>'12</c:v>
                </c:pt>
                <c:pt idx="2">
                  <c:v>'13</c:v>
                </c:pt>
              </c:strCache>
            </c:strRef>
          </c:cat>
          <c:val>
            <c:numRef>
              <c:f>'PR chart 2 A'!$J$52:$L$52</c:f>
              <c:numCache>
                <c:formatCode>General</c:formatCode>
                <c:ptCount val="3"/>
                <c:pt idx="0">
                  <c:v>70547</c:v>
                </c:pt>
                <c:pt idx="1">
                  <c:v>65100</c:v>
                </c:pt>
                <c:pt idx="2">
                  <c:v>56459</c:v>
                </c:pt>
              </c:numCache>
            </c:numRef>
          </c:val>
        </c:ser>
        <c:dLbls>
          <c:showLegendKey val="0"/>
          <c:showVal val="0"/>
          <c:showCatName val="0"/>
          <c:showSerName val="0"/>
          <c:showPercent val="0"/>
          <c:showBubbleSize val="0"/>
        </c:dLbls>
        <c:gapWidth val="48"/>
        <c:axId val="80175488"/>
        <c:axId val="110395776"/>
      </c:barChart>
      <c:catAx>
        <c:axId val="8017548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110395776"/>
        <c:crosses val="autoZero"/>
        <c:auto val="1"/>
        <c:lblAlgn val="ctr"/>
        <c:lblOffset val="100"/>
        <c:noMultiLvlLbl val="0"/>
      </c:catAx>
      <c:valAx>
        <c:axId val="110395776"/>
        <c:scaling>
          <c:orientation val="minMax"/>
          <c:max val="80000"/>
          <c:min val="50000"/>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80175488"/>
        <c:crosses val="autoZero"/>
        <c:crossBetween val="between"/>
        <c:majorUnit val="10000"/>
        <c:dispUnits>
          <c:builtInUnit val="thousands"/>
          <c:dispUnitsLbl>
            <c:layout/>
            <c:txPr>
              <a:bodyPr/>
              <a:lstStyle/>
              <a:p>
                <a:pPr>
                  <a:defRPr sz="800"/>
                </a:pPr>
                <a:endParaRPr lang="en-US"/>
              </a:p>
            </c:txPr>
          </c:dispUnitsLbl>
        </c:dispUnits>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99814729041238"/>
          <c:y val="0.10582130595931474"/>
          <c:w val="0.75905440552962589"/>
          <c:h val="0.77819871214579817"/>
        </c:manualLayout>
      </c:layout>
      <c:lineChart>
        <c:grouping val="standard"/>
        <c:varyColors val="0"/>
        <c:ser>
          <c:idx val="0"/>
          <c:order val="0"/>
          <c:tx>
            <c:strRef>
              <c:f>'PR chart 1'!$B$2</c:f>
              <c:strCache>
                <c:ptCount val="1"/>
                <c:pt idx="0">
                  <c:v>Total</c:v>
                </c:pt>
              </c:strCache>
            </c:strRef>
          </c:tx>
          <c:spPr>
            <a:ln w="38100">
              <a:solidFill>
                <a:srgbClr val="0D2255"/>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1'!$C$2:$AX$2</c:f>
              <c:numCache>
                <c:formatCode>#,##0.00</c:formatCode>
                <c:ptCount val="48"/>
                <c:pt idx="0">
                  <c:v>2.0936689999999984</c:v>
                </c:pt>
                <c:pt idx="1">
                  <c:v>2.1673529999999999</c:v>
                </c:pt>
                <c:pt idx="2">
                  <c:v>2.2385760000000001</c:v>
                </c:pt>
                <c:pt idx="3">
                  <c:v>2.2937710000000013</c:v>
                </c:pt>
                <c:pt idx="4">
                  <c:v>2.3481730000000001</c:v>
                </c:pt>
                <c:pt idx="5">
                  <c:v>2.3845499999999986</c:v>
                </c:pt>
                <c:pt idx="6">
                  <c:v>2.3782029999999983</c:v>
                </c:pt>
                <c:pt idx="7">
                  <c:v>2.3936139999999986</c:v>
                </c:pt>
                <c:pt idx="8">
                  <c:v>2.3966309999999988</c:v>
                </c:pt>
                <c:pt idx="9">
                  <c:v>2.3848429999999983</c:v>
                </c:pt>
                <c:pt idx="10">
                  <c:v>2.388887</c:v>
                </c:pt>
                <c:pt idx="11">
                  <c:v>2.386717</c:v>
                </c:pt>
                <c:pt idx="12">
                  <c:v>2.4098589999999978</c:v>
                </c:pt>
                <c:pt idx="13">
                  <c:v>2.4301189999999986</c:v>
                </c:pt>
                <c:pt idx="14">
                  <c:v>2.44537</c:v>
                </c:pt>
                <c:pt idx="15">
                  <c:v>2.4359329999999986</c:v>
                </c:pt>
                <c:pt idx="16">
                  <c:v>2.4441280000000001</c:v>
                </c:pt>
                <c:pt idx="17">
                  <c:v>2.445913</c:v>
                </c:pt>
                <c:pt idx="18">
                  <c:v>2.44516</c:v>
                </c:pt>
                <c:pt idx="19">
                  <c:v>2.4618569999999989</c:v>
                </c:pt>
                <c:pt idx="20">
                  <c:v>2.4769179999999986</c:v>
                </c:pt>
                <c:pt idx="21">
                  <c:v>2.5022799999999985</c:v>
                </c:pt>
                <c:pt idx="22">
                  <c:v>2.5061089999999986</c:v>
                </c:pt>
                <c:pt idx="23">
                  <c:v>2.504054</c:v>
                </c:pt>
                <c:pt idx="24">
                  <c:v>2.5191719999999997</c:v>
                </c:pt>
                <c:pt idx="25">
                  <c:v>2.5322879999999985</c:v>
                </c:pt>
                <c:pt idx="26">
                  <c:v>2.5165689999999983</c:v>
                </c:pt>
                <c:pt idx="27">
                  <c:v>2.5188459999999973</c:v>
                </c:pt>
                <c:pt idx="28">
                  <c:v>2.5475650000000001</c:v>
                </c:pt>
                <c:pt idx="29">
                  <c:v>2.5113129999999986</c:v>
                </c:pt>
                <c:pt idx="30">
                  <c:v>2.5116759999999982</c:v>
                </c:pt>
                <c:pt idx="31">
                  <c:v>2.5281989999999999</c:v>
                </c:pt>
                <c:pt idx="32">
                  <c:v>2.4969809999999986</c:v>
                </c:pt>
                <c:pt idx="33">
                  <c:v>2.4997439999999989</c:v>
                </c:pt>
                <c:pt idx="34">
                  <c:v>2.4965789999999983</c:v>
                </c:pt>
                <c:pt idx="35">
                  <c:v>2.495371</c:v>
                </c:pt>
                <c:pt idx="36">
                  <c:v>2.483603</c:v>
                </c:pt>
                <c:pt idx="37">
                  <c:v>2.4718859999999983</c:v>
                </c:pt>
                <c:pt idx="38">
                  <c:v>2.4578799999999985</c:v>
                </c:pt>
                <c:pt idx="39">
                  <c:v>2.4769239999999986</c:v>
                </c:pt>
                <c:pt idx="40">
                  <c:v>2.4570119999999998</c:v>
                </c:pt>
                <c:pt idx="41">
                  <c:v>2.4790899999999985</c:v>
                </c:pt>
                <c:pt idx="42">
                  <c:v>2.5276869999999998</c:v>
                </c:pt>
              </c:numCache>
            </c:numRef>
          </c:val>
          <c:smooth val="0"/>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1'!$C$3:$AX$3</c:f>
              <c:numCache>
                <c:formatCode>#,##0.00</c:formatCode>
                <c:ptCount val="48"/>
                <c:pt idx="0">
                  <c:v>1.5503020000000001</c:v>
                </c:pt>
                <c:pt idx="1">
                  <c:v>1.6003270000000001</c:v>
                </c:pt>
                <c:pt idx="2">
                  <c:v>1.6457299999999992</c:v>
                </c:pt>
                <c:pt idx="3">
                  <c:v>1.681225</c:v>
                </c:pt>
                <c:pt idx="4">
                  <c:v>1.7095739999999993</c:v>
                </c:pt>
                <c:pt idx="5">
                  <c:v>1.7311929999999998</c:v>
                </c:pt>
                <c:pt idx="6">
                  <c:v>1.7318269999999993</c:v>
                </c:pt>
                <c:pt idx="7">
                  <c:v>1.7392089999999998</c:v>
                </c:pt>
                <c:pt idx="8">
                  <c:v>1.738567</c:v>
                </c:pt>
                <c:pt idx="9">
                  <c:v>1.728032</c:v>
                </c:pt>
                <c:pt idx="10">
                  <c:v>1.7272879999999999</c:v>
                </c:pt>
                <c:pt idx="11">
                  <c:v>1.7214899999999993</c:v>
                </c:pt>
                <c:pt idx="12">
                  <c:v>1.7377219999999991</c:v>
                </c:pt>
                <c:pt idx="13">
                  <c:v>1.7388399999999993</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1.7459959999999992</c:v>
                </c:pt>
                <c:pt idx="26">
                  <c:v>1.7228899999999998</c:v>
                </c:pt>
                <c:pt idx="27">
                  <c:v>1.697802</c:v>
                </c:pt>
                <c:pt idx="28">
                  <c:v>1.686644</c:v>
                </c:pt>
                <c:pt idx="29">
                  <c:v>1.6401820000000007</c:v>
                </c:pt>
                <c:pt idx="30">
                  <c:v>1.6186020000000001</c:v>
                </c:pt>
                <c:pt idx="31">
                  <c:v>1.61758</c:v>
                </c:pt>
                <c:pt idx="32">
                  <c:v>1.5791739999999999</c:v>
                </c:pt>
                <c:pt idx="33">
                  <c:v>1.569083</c:v>
                </c:pt>
                <c:pt idx="34">
                  <c:v>1.556332</c:v>
                </c:pt>
                <c:pt idx="35">
                  <c:v>1.554208</c:v>
                </c:pt>
                <c:pt idx="36">
                  <c:v>1.5401309999999999</c:v>
                </c:pt>
                <c:pt idx="37">
                  <c:v>1.5299759999999998</c:v>
                </c:pt>
                <c:pt idx="38">
                  <c:v>1.5101869999999999</c:v>
                </c:pt>
                <c:pt idx="39">
                  <c:v>1.5116649999999994</c:v>
                </c:pt>
                <c:pt idx="40">
                  <c:v>1.4891399999999992</c:v>
                </c:pt>
                <c:pt idx="41">
                  <c:v>1.4975239999999992</c:v>
                </c:pt>
                <c:pt idx="42">
                  <c:v>1.522327</c:v>
                </c:pt>
              </c:numCache>
            </c:numRef>
          </c:val>
          <c:smooth val="0"/>
        </c:ser>
        <c:dLbls>
          <c:showLegendKey val="0"/>
          <c:showVal val="0"/>
          <c:showCatName val="0"/>
          <c:showSerName val="0"/>
          <c:showPercent val="0"/>
          <c:showBubbleSize val="0"/>
        </c:dLbls>
        <c:marker val="1"/>
        <c:smooth val="0"/>
        <c:axId val="27162112"/>
        <c:axId val="27163648"/>
      </c:lineChart>
      <c:catAx>
        <c:axId val="27162112"/>
        <c:scaling>
          <c:orientation val="minMax"/>
        </c:scaling>
        <c:delete val="0"/>
        <c:axPos val="b"/>
        <c:majorTickMark val="out"/>
        <c:minorTickMark val="none"/>
        <c:tickLblPos val="nextTo"/>
        <c:crossAx val="27163648"/>
        <c:crosses val="autoZero"/>
        <c:auto val="1"/>
        <c:lblAlgn val="ctr"/>
        <c:lblOffset val="100"/>
        <c:tickLblSkip val="12"/>
        <c:tickMarkSkip val="12"/>
        <c:noMultiLvlLbl val="0"/>
      </c:catAx>
      <c:valAx>
        <c:axId val="27163648"/>
        <c:scaling>
          <c:orientation val="minMax"/>
          <c:max val="2.6"/>
          <c:min val="1.4"/>
        </c:scaling>
        <c:delete val="0"/>
        <c:axPos val="l"/>
        <c:majorGridlines/>
        <c:title>
          <c:tx>
            <c:rich>
              <a:bodyPr rot="-5400000" vert="horz"/>
              <a:lstStyle/>
              <a:p>
                <a:pPr>
                  <a:defRPr sz="800" b="0"/>
                </a:pPr>
                <a:r>
                  <a:rPr lang="en-US" sz="800" b="0"/>
                  <a:t>Millions</a:t>
                </a:r>
              </a:p>
            </c:rich>
          </c:tx>
          <c:layout>
            <c:manualLayout>
              <c:xMode val="edge"/>
              <c:yMode val="edge"/>
              <c:x val="1.054155730533691E-2"/>
              <c:y val="0.40222404491105285"/>
            </c:manualLayout>
          </c:layout>
          <c:overlay val="0"/>
        </c:title>
        <c:numFmt formatCode="#,##0.0" sourceLinked="0"/>
        <c:majorTickMark val="out"/>
        <c:minorTickMark val="none"/>
        <c:tickLblPos val="nextTo"/>
        <c:crossAx val="27162112"/>
        <c:crosses val="autoZero"/>
        <c:crossBetween val="between"/>
        <c:majorUnit val="0.2"/>
      </c:valAx>
    </c:plotArea>
    <c:legend>
      <c:legendPos val="r"/>
      <c:layout>
        <c:manualLayout>
          <c:xMode val="edge"/>
          <c:yMode val="edge"/>
          <c:x val="0.27069904157907865"/>
          <c:y val="1.9008318103404104E-2"/>
          <c:w val="0.48494444444444601"/>
          <c:h val="8.0636411771738997E-2"/>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47694481976753"/>
          <c:y val="5.3619302949061684E-2"/>
          <c:w val="0.69287083197440635"/>
          <c:h val="0.8232245744731016"/>
        </c:manualLayout>
      </c:layout>
      <c:barChart>
        <c:barDir val="col"/>
        <c:grouping val="clustered"/>
        <c:varyColors val="0"/>
        <c:ser>
          <c:idx val="0"/>
          <c:order val="0"/>
          <c:tx>
            <c:strRef>
              <c:f>'PR chart 2'!$C$47</c:f>
              <c:strCache>
                <c:ptCount val="1"/>
                <c:pt idx="0">
                  <c:v>Engines</c:v>
                </c:pt>
              </c:strCache>
            </c:strRef>
          </c:tx>
          <c:spPr>
            <a:solidFill>
              <a:schemeClr val="tx2">
                <a:lumMod val="40000"/>
                <a:lumOff val="60000"/>
              </a:schemeClr>
            </a:solidFill>
            <a:ln>
              <a:solidFill>
                <a:prstClr val="black"/>
              </a:solidFill>
            </a:ln>
          </c:spPr>
          <c:invertIfNegative val="0"/>
          <c:cat>
            <c:strRef>
              <c:f>'PR chart 2'!$D$46:$F$46</c:f>
              <c:strCache>
                <c:ptCount val="3"/>
                <c:pt idx="0">
                  <c:v>'11</c:v>
                </c:pt>
                <c:pt idx="1">
                  <c:v>'12</c:v>
                </c:pt>
                <c:pt idx="2">
                  <c:v>'13</c:v>
                </c:pt>
              </c:strCache>
            </c:strRef>
          </c:cat>
          <c:val>
            <c:numRef>
              <c:f>'PR chart 2'!$D$47:$F$47</c:f>
              <c:numCache>
                <c:formatCode>#,##0</c:formatCode>
                <c:ptCount val="3"/>
                <c:pt idx="0">
                  <c:v>1512605</c:v>
                </c:pt>
                <c:pt idx="1">
                  <c:v>1520227</c:v>
                </c:pt>
                <c:pt idx="2">
                  <c:v>1552543</c:v>
                </c:pt>
              </c:numCache>
            </c:numRef>
          </c:val>
        </c:ser>
        <c:dLbls>
          <c:showLegendKey val="0"/>
          <c:showVal val="0"/>
          <c:showCatName val="0"/>
          <c:showSerName val="0"/>
          <c:showPercent val="0"/>
          <c:showBubbleSize val="0"/>
        </c:dLbls>
        <c:gapWidth val="48"/>
        <c:axId val="27201536"/>
        <c:axId val="27203072"/>
      </c:barChart>
      <c:catAx>
        <c:axId val="2720153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27203072"/>
        <c:crosses val="autoZero"/>
        <c:auto val="1"/>
        <c:lblAlgn val="ctr"/>
        <c:lblOffset val="100"/>
        <c:noMultiLvlLbl val="0"/>
      </c:catAx>
      <c:valAx>
        <c:axId val="27203072"/>
        <c:scaling>
          <c:orientation val="minMax"/>
          <c:max val="1575000"/>
          <c:min val="1475000"/>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27201536"/>
        <c:crosses val="autoZero"/>
        <c:crossBetween val="between"/>
        <c:majorUnit val="25000"/>
        <c:dispUnits>
          <c:builtInUnit val="thousands"/>
          <c:dispUnitsLbl>
            <c:layout/>
            <c:txPr>
              <a:bodyPr/>
              <a:lstStyle/>
              <a:p>
                <a:pPr>
                  <a:defRPr sz="800"/>
                </a:pPr>
                <a:endParaRPr lang="en-US"/>
              </a:p>
            </c:txPr>
          </c:dispUnitsLbl>
        </c:dispUnits>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68A069CF</Template>
  <TotalTime>46</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wilkij</cp:lastModifiedBy>
  <cp:revision>9</cp:revision>
  <cp:lastPrinted>2013-08-21T14:06:00Z</cp:lastPrinted>
  <dcterms:created xsi:type="dcterms:W3CDTF">2013-08-21T10:36:00Z</dcterms:created>
  <dcterms:modified xsi:type="dcterms:W3CDTF">2013-08-22T07:59:00Z</dcterms:modified>
</cp:coreProperties>
</file>