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A" w:rsidRPr="00A72CAD" w:rsidRDefault="008B46EA" w:rsidP="005E0768">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CAR MANUFACTURING </w:t>
      </w:r>
      <w:r w:rsidRPr="00A72CAD">
        <w:rPr>
          <w:rFonts w:ascii="Arial" w:eastAsiaTheme="minorEastAsia" w:hAnsi="Arial" w:cs="Arial"/>
          <w:b w:val="0"/>
          <w:bCs/>
          <w:color w:val="1074CB"/>
          <w:sz w:val="28"/>
          <w:szCs w:val="28"/>
        </w:rPr>
        <w:t xml:space="preserve">(data for </w:t>
      </w:r>
      <w:r w:rsidR="005C4BC2">
        <w:rPr>
          <w:rFonts w:ascii="Arial" w:eastAsiaTheme="minorEastAsia" w:hAnsi="Arial" w:cs="Arial"/>
          <w:b w:val="0"/>
          <w:bCs/>
          <w:color w:val="1074CB"/>
          <w:sz w:val="28"/>
          <w:szCs w:val="28"/>
        </w:rPr>
        <w:t xml:space="preserve">November </w:t>
      </w:r>
      <w:r>
        <w:rPr>
          <w:rFonts w:ascii="Arial" w:eastAsiaTheme="minorEastAsia" w:hAnsi="Arial" w:cs="Arial"/>
          <w:b w:val="0"/>
          <w:bCs/>
          <w:color w:val="1074CB"/>
          <w:sz w:val="28"/>
          <w:szCs w:val="28"/>
        </w:rPr>
        <w:t>2014</w:t>
      </w:r>
      <w:r w:rsidRPr="00A72CAD">
        <w:rPr>
          <w:rFonts w:ascii="Arial" w:eastAsiaTheme="minorEastAsia" w:hAnsi="Arial" w:cs="Arial"/>
          <w:b w:val="0"/>
          <w:bCs/>
          <w:color w:val="1074CB"/>
          <w:sz w:val="28"/>
          <w:szCs w:val="28"/>
        </w:rPr>
        <w:t>)</w:t>
      </w:r>
    </w:p>
    <w:p w:rsidR="008B46EA" w:rsidRPr="00A72CAD" w:rsidRDefault="008B46EA" w:rsidP="005E0768">
      <w:pPr>
        <w:pStyle w:val="Heading1"/>
        <w:ind w:right="142"/>
        <w:rPr>
          <w:rFonts w:ascii="Arial" w:eastAsiaTheme="minorEastAsia" w:hAnsi="Arial" w:cs="Arial"/>
          <w:b w:val="0"/>
          <w:bCs/>
          <w:color w:val="FF0000"/>
        </w:rPr>
      </w:pPr>
      <w:r w:rsidRPr="00A72CAD">
        <w:rPr>
          <w:rFonts w:ascii="Arial" w:eastAsiaTheme="minorEastAsia" w:hAnsi="Arial" w:cs="Arial"/>
          <w:b w:val="0"/>
          <w:bCs/>
          <w:color w:val="FF0000"/>
          <w:sz w:val="44"/>
          <w:szCs w:val="44"/>
        </w:rPr>
        <w:t xml:space="preserve">Embargoed to 00:01 on </w:t>
      </w:r>
      <w:r w:rsidR="005C4BC2">
        <w:rPr>
          <w:rFonts w:ascii="Arial" w:eastAsiaTheme="minorEastAsia" w:hAnsi="Arial" w:cs="Arial"/>
          <w:b w:val="0"/>
          <w:bCs/>
          <w:color w:val="FF0000"/>
          <w:sz w:val="44"/>
          <w:szCs w:val="44"/>
        </w:rPr>
        <w:t>18</w:t>
      </w:r>
      <w:r w:rsidR="00D16FB8">
        <w:rPr>
          <w:rFonts w:ascii="Arial" w:eastAsiaTheme="minorEastAsia" w:hAnsi="Arial" w:cs="Arial"/>
          <w:b w:val="0"/>
          <w:bCs/>
          <w:color w:val="FF0000"/>
          <w:sz w:val="44"/>
          <w:szCs w:val="44"/>
        </w:rPr>
        <w:t xml:space="preserve"> </w:t>
      </w:r>
      <w:r w:rsidR="00854403">
        <w:rPr>
          <w:rFonts w:ascii="Arial" w:eastAsiaTheme="minorEastAsia" w:hAnsi="Arial" w:cs="Arial"/>
          <w:b w:val="0"/>
          <w:bCs/>
          <w:color w:val="FF0000"/>
          <w:sz w:val="44"/>
          <w:szCs w:val="44"/>
        </w:rPr>
        <w:t>Decem</w:t>
      </w:r>
      <w:r w:rsidR="007D4EAB">
        <w:rPr>
          <w:rFonts w:ascii="Arial" w:eastAsiaTheme="minorEastAsia" w:hAnsi="Arial" w:cs="Arial"/>
          <w:b w:val="0"/>
          <w:bCs/>
          <w:color w:val="FF0000"/>
          <w:sz w:val="44"/>
          <w:szCs w:val="44"/>
        </w:rPr>
        <w:t>ber</w:t>
      </w:r>
      <w:r w:rsidRPr="00A72CAD">
        <w:rPr>
          <w:rFonts w:ascii="Arial" w:eastAsiaTheme="minorEastAsia" w:hAnsi="Arial" w:cs="Arial"/>
          <w:b w:val="0"/>
          <w:bCs/>
          <w:color w:val="FF0000"/>
          <w:szCs w:val="24"/>
        </w:rPr>
        <w:t xml:space="preserve"> </w:t>
      </w:r>
      <w:r w:rsidRPr="00A72CAD">
        <w:rPr>
          <w:rFonts w:ascii="Arial" w:eastAsiaTheme="minorEastAsia" w:hAnsi="Arial" w:cs="Arial"/>
          <w:b w:val="0"/>
          <w:bCs/>
          <w:color w:val="FF0000"/>
          <w:sz w:val="44"/>
          <w:szCs w:val="44"/>
        </w:rPr>
        <w:t>201</w:t>
      </w:r>
      <w:r>
        <w:rPr>
          <w:rFonts w:ascii="Arial" w:eastAsiaTheme="minorEastAsia" w:hAnsi="Arial" w:cs="Arial"/>
          <w:b w:val="0"/>
          <w:bCs/>
          <w:color w:val="FF0000"/>
          <w:sz w:val="44"/>
          <w:szCs w:val="44"/>
        </w:rPr>
        <w:t>4</w:t>
      </w:r>
      <w:r w:rsidRPr="00A72CAD">
        <w:rPr>
          <w:rFonts w:ascii="Arial" w:eastAsiaTheme="minorEastAsia" w:hAnsi="Arial" w:cs="Arial"/>
          <w:b w:val="0"/>
          <w:bCs/>
          <w:color w:val="FF0000"/>
          <w:szCs w:val="24"/>
        </w:rPr>
        <w:t xml:space="preserve"> </w:t>
      </w:r>
    </w:p>
    <w:p w:rsidR="00C23320" w:rsidRPr="002933CF" w:rsidRDefault="001D046A" w:rsidP="005E0768">
      <w:pPr>
        <w:tabs>
          <w:tab w:val="left" w:pos="889"/>
        </w:tabs>
        <w:rPr>
          <w:rFonts w:ascii="Arial" w:eastAsiaTheme="minorEastAsia" w:hAnsi="Arial" w:cs="Arial"/>
          <w:bCs/>
          <w:color w:val="1074CB"/>
          <w:sz w:val="20"/>
        </w:rPr>
      </w:pPr>
      <w:r w:rsidRPr="001D046A">
        <w:rPr>
          <w:rFonts w:ascii="Arial" w:eastAsiaTheme="minorEastAsia" w:hAnsi="Arial" w:cs="Arial"/>
          <w:b/>
          <w:bCs/>
          <w:noProof/>
          <w:color w:val="1074CB"/>
          <w:sz w:val="20"/>
        </w:rPr>
        <w:pict>
          <v:line id="Line 4"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pt,.6pt" to="46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8/AFgIAACkEAAAOAAAAZHJzL2Uyb0RvYy54bWysU8GO2jAQvVfqP1i+QxIaW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" strokecolor="#1074cb"/>
        </w:pict>
      </w:r>
      <w:r w:rsidR="00C80E70">
        <w:rPr>
          <w:rFonts w:ascii="Arial" w:eastAsiaTheme="minorEastAsia" w:hAnsi="Arial" w:cs="Arial"/>
          <w:bCs/>
          <w:color w:val="1074CB"/>
          <w:sz w:val="36"/>
          <w:szCs w:val="36"/>
        </w:rPr>
        <w:t xml:space="preserve"> </w:t>
      </w:r>
    </w:p>
    <w:p w:rsidR="005C4BC2" w:rsidRDefault="005C4BC2" w:rsidP="005C4BC2">
      <w:pPr>
        <w:pStyle w:val="Heading1"/>
        <w:ind w:left="0" w:right="425" w:firstLine="0"/>
      </w:pPr>
      <w:r>
        <w:rPr>
          <w:rFonts w:ascii="Arial" w:hAnsi="Arial" w:cs="Arial"/>
          <w:color w:val="1074CB"/>
          <w:sz w:val="36"/>
          <w:szCs w:val="36"/>
        </w:rPr>
        <w:t>Car manufacturing stable as home market outperforms exports</w:t>
      </w:r>
    </w:p>
    <w:p w:rsidR="00DF5C28" w:rsidRPr="00DF5C28" w:rsidRDefault="008D4D5C" w:rsidP="008D4D5C">
      <w:pPr>
        <w:rPr>
          <w:rFonts w:ascii="Arial" w:hAnsi="Arial" w:cs="Arial"/>
          <w:sz w:val="20"/>
        </w:rPr>
      </w:pPr>
      <w:r>
        <w:rPr>
          <w:rFonts w:ascii="Arial" w:hAnsi="Arial" w:cs="Arial"/>
          <w:sz w:val="20"/>
        </w:rPr>
        <w:t> </w:t>
      </w:r>
    </w:p>
    <w:p w:rsidR="005C4BC2" w:rsidRDefault="005C4BC2" w:rsidP="005C4BC2">
      <w:pPr>
        <w:pStyle w:val="ListParagraph"/>
        <w:numPr>
          <w:ilvl w:val="0"/>
          <w:numId w:val="7"/>
        </w:numPr>
        <w:spacing w:after="120"/>
        <w:contextualSpacing w:val="0"/>
        <w:rPr>
          <w:rFonts w:ascii="Arial" w:hAnsi="Arial" w:cs="Arial"/>
          <w:sz w:val="20"/>
        </w:rPr>
      </w:pPr>
      <w:r>
        <w:rPr>
          <w:rFonts w:ascii="Arial" w:hAnsi="Arial" w:cs="Arial"/>
          <w:sz w:val="20"/>
        </w:rPr>
        <w:t>UK car output fell by 277 units in November, with 137,347 cars produced.</w:t>
      </w:r>
    </w:p>
    <w:p w:rsidR="005C4BC2" w:rsidRDefault="005C4BC2" w:rsidP="005C4BC2">
      <w:pPr>
        <w:pStyle w:val="ListParagraph"/>
        <w:numPr>
          <w:ilvl w:val="0"/>
          <w:numId w:val="7"/>
        </w:numPr>
        <w:spacing w:after="120"/>
        <w:contextualSpacing w:val="0"/>
        <w:rPr>
          <w:rFonts w:ascii="Arial" w:hAnsi="Arial" w:cs="Arial"/>
          <w:sz w:val="20"/>
        </w:rPr>
      </w:pPr>
      <w:r>
        <w:rPr>
          <w:rFonts w:ascii="Arial" w:hAnsi="Arial" w:cs="Arial"/>
          <w:sz w:val="20"/>
        </w:rPr>
        <w:t>Year-to-date output stable at 1,419,427 units, a drop of 0.3%.</w:t>
      </w:r>
    </w:p>
    <w:p w:rsidR="005C4BC2" w:rsidRDefault="005C4BC2" w:rsidP="005C4BC2">
      <w:pPr>
        <w:pStyle w:val="ListParagraph"/>
        <w:numPr>
          <w:ilvl w:val="0"/>
          <w:numId w:val="7"/>
        </w:numPr>
        <w:spacing w:after="120"/>
        <w:contextualSpacing w:val="0"/>
        <w:rPr>
          <w:rFonts w:ascii="Arial" w:hAnsi="Arial" w:cs="Arial"/>
          <w:sz w:val="20"/>
        </w:rPr>
      </w:pPr>
      <w:r>
        <w:rPr>
          <w:rFonts w:ascii="Arial" w:hAnsi="Arial" w:cs="Arial"/>
          <w:sz w:val="20"/>
        </w:rPr>
        <w:t>Exports remain subdued in contrast to continued growth for the home market.</w:t>
      </w:r>
    </w:p>
    <w:p w:rsidR="008D4D5C" w:rsidRPr="005C4BC2" w:rsidRDefault="008D4D5C" w:rsidP="008D4D5C">
      <w:r w:rsidRPr="005C4BC2">
        <w:rPr>
          <w:rFonts w:ascii="Arial" w:hAnsi="Arial" w:cs="Arial"/>
          <w:sz w:val="16"/>
          <w:szCs w:val="16"/>
        </w:rPr>
        <w:t> </w:t>
      </w:r>
    </w:p>
    <w:p w:rsidR="005C4BC2" w:rsidRDefault="005C4BC2" w:rsidP="005C4BC2">
      <w:pPr>
        <w:spacing w:line="276" w:lineRule="auto"/>
      </w:pPr>
      <w:r>
        <w:rPr>
          <w:rFonts w:ascii="Arial" w:hAnsi="Arial" w:cs="Arial"/>
          <w:sz w:val="20"/>
        </w:rPr>
        <w:t>"Model changes and economic uncertainty in export markets have flattened UK car production</w:t>
      </w:r>
      <w:r w:rsidR="003D4A50">
        <w:rPr>
          <w:rFonts w:ascii="Arial" w:hAnsi="Arial" w:cs="Arial"/>
          <w:sz w:val="20"/>
        </w:rPr>
        <w:t>,</w:t>
      </w:r>
      <w:r>
        <w:rPr>
          <w:rFonts w:ascii="Arial" w:hAnsi="Arial" w:cs="Arial"/>
          <w:sz w:val="20"/>
        </w:rPr>
        <w:t xml:space="preserve"> but the industry remains in a strong position with growth expected to return next year," said Mike Hawes, SMMT Chief Executive. "Global demand for UK automotive engineering continues to be at a high level, and manufacturing plants are seeing the benefits of significant recent investments. UK-built cars offer a vast range of technologies to lower carbon emissions and improve air quality, underlining the country’s important role </w:t>
      </w:r>
      <w:bookmarkStart w:id="0" w:name="_GoBack"/>
      <w:bookmarkEnd w:id="0"/>
      <w:r>
        <w:rPr>
          <w:rFonts w:ascii="Arial" w:hAnsi="Arial" w:cs="Arial"/>
          <w:sz w:val="20"/>
        </w:rPr>
        <w:t>in the continuing drive to reduce all emissions."</w:t>
      </w:r>
    </w:p>
    <w:p w:rsidR="00F72297" w:rsidRPr="006B5D2C" w:rsidRDefault="00F72297" w:rsidP="005D34F5">
      <w:pPr>
        <w:spacing w:line="276" w:lineRule="auto"/>
        <w:rPr>
          <w:rFonts w:ascii="Arial" w:hAnsi="Arial" w:cs="Arial"/>
          <w:sz w:val="16"/>
          <w:szCs w:val="16"/>
        </w:rPr>
      </w:pPr>
    </w:p>
    <w:tbl>
      <w:tblPr>
        <w:tblW w:w="9311" w:type="dxa"/>
        <w:tblInd w:w="9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2142"/>
        <w:gridCol w:w="1134"/>
        <w:gridCol w:w="1134"/>
        <w:gridCol w:w="1275"/>
        <w:gridCol w:w="1311"/>
        <w:gridCol w:w="1106"/>
        <w:gridCol w:w="1216"/>
      </w:tblGrid>
      <w:tr w:rsidR="00C75DBA" w:rsidRPr="00C75DBA" w:rsidTr="005C4BC2">
        <w:trPr>
          <w:trHeight w:val="280"/>
        </w:trPr>
        <w:tc>
          <w:tcPr>
            <w:tcW w:w="2142" w:type="dxa"/>
            <w:shd w:val="clear" w:color="auto" w:fill="auto"/>
            <w:noWrap/>
            <w:hideMark/>
          </w:tcPr>
          <w:p w:rsidR="00C75DBA" w:rsidRPr="00741A8B" w:rsidRDefault="00C75DBA" w:rsidP="00C75DBA">
            <w:pPr>
              <w:jc w:val="center"/>
              <w:rPr>
                <w:rFonts w:ascii="Arial" w:eastAsia="Times New Roman" w:hAnsi="Arial" w:cs="Arial"/>
                <w:b/>
                <w:color w:val="002060"/>
                <w:sz w:val="10"/>
                <w:szCs w:val="10"/>
              </w:rPr>
            </w:pPr>
            <w:r w:rsidRPr="00741A8B">
              <w:rPr>
                <w:rFonts w:ascii="Arial" w:eastAsia="Times New Roman" w:hAnsi="Arial" w:cs="Arial"/>
                <w:b/>
                <w:color w:val="002060"/>
                <w:sz w:val="20"/>
              </w:rPr>
              <w:t>Car manufacturing</w:t>
            </w:r>
          </w:p>
        </w:tc>
        <w:tc>
          <w:tcPr>
            <w:tcW w:w="1134" w:type="dxa"/>
            <w:shd w:val="clear" w:color="auto" w:fill="auto"/>
            <w:noWrap/>
            <w:vAlign w:val="bottom"/>
            <w:hideMark/>
          </w:tcPr>
          <w:p w:rsidR="00C75DBA" w:rsidRPr="00741A8B" w:rsidRDefault="00C75DBA" w:rsidP="00C75DBA">
            <w:pPr>
              <w:jc w:val="center"/>
              <w:rPr>
                <w:rFonts w:ascii="Arial" w:eastAsia="Times New Roman" w:hAnsi="Arial" w:cs="Arial"/>
                <w:b/>
                <w:color w:val="002060"/>
                <w:sz w:val="20"/>
              </w:rPr>
            </w:pPr>
            <w:r w:rsidRPr="00741A8B">
              <w:rPr>
                <w:rFonts w:ascii="Arial" w:eastAsia="Times New Roman" w:hAnsi="Arial" w:cs="Arial"/>
                <w:b/>
                <w:color w:val="002060"/>
                <w:sz w:val="20"/>
              </w:rPr>
              <w:t>Nov-13</w:t>
            </w:r>
          </w:p>
        </w:tc>
        <w:tc>
          <w:tcPr>
            <w:tcW w:w="1134" w:type="dxa"/>
            <w:shd w:val="clear" w:color="auto" w:fill="auto"/>
            <w:noWrap/>
            <w:vAlign w:val="bottom"/>
            <w:hideMark/>
          </w:tcPr>
          <w:p w:rsidR="00C75DBA" w:rsidRPr="00741A8B" w:rsidRDefault="00C75DBA" w:rsidP="00C75DBA">
            <w:pPr>
              <w:jc w:val="center"/>
              <w:rPr>
                <w:rFonts w:ascii="Arial" w:eastAsia="Times New Roman" w:hAnsi="Arial" w:cs="Arial"/>
                <w:b/>
                <w:color w:val="002060"/>
                <w:sz w:val="20"/>
              </w:rPr>
            </w:pPr>
            <w:r w:rsidRPr="00741A8B">
              <w:rPr>
                <w:rFonts w:ascii="Arial" w:eastAsia="Times New Roman" w:hAnsi="Arial" w:cs="Arial"/>
                <w:b/>
                <w:color w:val="002060"/>
                <w:sz w:val="20"/>
              </w:rPr>
              <w:t>Nov-14</w:t>
            </w:r>
          </w:p>
        </w:tc>
        <w:tc>
          <w:tcPr>
            <w:tcW w:w="1275" w:type="dxa"/>
            <w:shd w:val="clear" w:color="auto" w:fill="auto"/>
            <w:noWrap/>
            <w:vAlign w:val="bottom"/>
            <w:hideMark/>
          </w:tcPr>
          <w:p w:rsidR="00C75DBA" w:rsidRPr="00741A8B" w:rsidRDefault="00C75DBA" w:rsidP="00C75DBA">
            <w:pPr>
              <w:jc w:val="center"/>
              <w:rPr>
                <w:rFonts w:ascii="Arial" w:eastAsia="Times New Roman" w:hAnsi="Arial" w:cs="Arial"/>
                <w:b/>
                <w:color w:val="002060"/>
                <w:sz w:val="20"/>
              </w:rPr>
            </w:pPr>
            <w:r w:rsidRPr="00741A8B">
              <w:rPr>
                <w:rFonts w:ascii="Arial" w:eastAsia="Times New Roman" w:hAnsi="Arial" w:cs="Arial"/>
                <w:b/>
                <w:color w:val="002060"/>
                <w:sz w:val="20"/>
              </w:rPr>
              <w:t xml:space="preserve">% Change </w:t>
            </w:r>
          </w:p>
        </w:tc>
        <w:tc>
          <w:tcPr>
            <w:tcW w:w="1311" w:type="dxa"/>
            <w:shd w:val="clear" w:color="auto" w:fill="auto"/>
            <w:noWrap/>
            <w:vAlign w:val="bottom"/>
            <w:hideMark/>
          </w:tcPr>
          <w:p w:rsidR="00C75DBA" w:rsidRPr="00741A8B" w:rsidRDefault="00C75DBA" w:rsidP="00C75DBA">
            <w:pPr>
              <w:jc w:val="center"/>
              <w:rPr>
                <w:rFonts w:ascii="Arial" w:eastAsia="Times New Roman" w:hAnsi="Arial" w:cs="Arial"/>
                <w:b/>
                <w:color w:val="002060"/>
                <w:sz w:val="20"/>
              </w:rPr>
            </w:pPr>
            <w:r w:rsidRPr="00741A8B">
              <w:rPr>
                <w:rFonts w:ascii="Arial" w:eastAsia="Times New Roman" w:hAnsi="Arial" w:cs="Arial"/>
                <w:b/>
                <w:color w:val="002060"/>
                <w:sz w:val="20"/>
              </w:rPr>
              <w:t>YTD-13</w:t>
            </w:r>
          </w:p>
        </w:tc>
        <w:tc>
          <w:tcPr>
            <w:tcW w:w="1099" w:type="dxa"/>
            <w:shd w:val="clear" w:color="auto" w:fill="auto"/>
            <w:noWrap/>
            <w:vAlign w:val="bottom"/>
            <w:hideMark/>
          </w:tcPr>
          <w:p w:rsidR="00C75DBA" w:rsidRPr="00741A8B" w:rsidRDefault="00C75DBA" w:rsidP="00C75DBA">
            <w:pPr>
              <w:jc w:val="center"/>
              <w:rPr>
                <w:rFonts w:ascii="Arial" w:eastAsia="Times New Roman" w:hAnsi="Arial" w:cs="Arial"/>
                <w:b/>
                <w:color w:val="002060"/>
                <w:sz w:val="20"/>
              </w:rPr>
            </w:pPr>
            <w:r w:rsidRPr="00741A8B">
              <w:rPr>
                <w:rFonts w:ascii="Arial" w:eastAsia="Times New Roman" w:hAnsi="Arial" w:cs="Arial"/>
                <w:b/>
                <w:color w:val="002060"/>
                <w:sz w:val="20"/>
              </w:rPr>
              <w:t>YTD-14</w:t>
            </w:r>
          </w:p>
        </w:tc>
        <w:tc>
          <w:tcPr>
            <w:tcW w:w="1216" w:type="dxa"/>
            <w:shd w:val="clear" w:color="auto" w:fill="auto"/>
            <w:noWrap/>
            <w:vAlign w:val="bottom"/>
            <w:hideMark/>
          </w:tcPr>
          <w:p w:rsidR="00C75DBA" w:rsidRPr="00741A8B" w:rsidRDefault="00C75DBA" w:rsidP="00C75DBA">
            <w:pPr>
              <w:jc w:val="center"/>
              <w:rPr>
                <w:rFonts w:ascii="Arial" w:eastAsia="Times New Roman" w:hAnsi="Arial" w:cs="Arial"/>
                <w:b/>
                <w:color w:val="002060"/>
                <w:sz w:val="20"/>
              </w:rPr>
            </w:pPr>
            <w:r w:rsidRPr="00741A8B">
              <w:rPr>
                <w:rFonts w:ascii="Arial" w:eastAsia="Times New Roman" w:hAnsi="Arial" w:cs="Arial"/>
                <w:b/>
                <w:color w:val="002060"/>
                <w:sz w:val="20"/>
              </w:rPr>
              <w:t>% Change</w:t>
            </w:r>
          </w:p>
        </w:tc>
      </w:tr>
      <w:tr w:rsidR="00C75DBA" w:rsidRPr="00C75DBA" w:rsidTr="005C4BC2">
        <w:trPr>
          <w:trHeight w:val="280"/>
        </w:trPr>
        <w:tc>
          <w:tcPr>
            <w:tcW w:w="2142" w:type="dxa"/>
            <w:shd w:val="clear" w:color="auto" w:fill="auto"/>
            <w:noWrap/>
            <w:vAlign w:val="bottom"/>
            <w:hideMark/>
          </w:tcPr>
          <w:p w:rsidR="00C75DBA" w:rsidRPr="00741A8B" w:rsidRDefault="00C75DBA" w:rsidP="00C75DBA">
            <w:pPr>
              <w:jc w:val="right"/>
              <w:rPr>
                <w:rFonts w:ascii="Arial" w:eastAsia="Times New Roman" w:hAnsi="Arial" w:cs="Arial"/>
                <w:b/>
                <w:color w:val="002060"/>
                <w:sz w:val="20"/>
              </w:rPr>
            </w:pPr>
            <w:r w:rsidRPr="00741A8B">
              <w:rPr>
                <w:rFonts w:ascii="Arial" w:eastAsia="Times New Roman" w:hAnsi="Arial" w:cs="Arial"/>
                <w:b/>
                <w:color w:val="002060"/>
                <w:sz w:val="20"/>
              </w:rPr>
              <w:t>Total</w:t>
            </w:r>
          </w:p>
        </w:tc>
        <w:tc>
          <w:tcPr>
            <w:tcW w:w="1134" w:type="dxa"/>
            <w:shd w:val="clear" w:color="auto" w:fill="auto"/>
            <w:noWrap/>
            <w:vAlign w:val="bottom"/>
            <w:hideMark/>
          </w:tcPr>
          <w:p w:rsidR="00C75DBA" w:rsidRPr="00741A8B" w:rsidRDefault="00C75DBA" w:rsidP="00C75DBA">
            <w:pPr>
              <w:jc w:val="right"/>
              <w:rPr>
                <w:rFonts w:ascii="Arial" w:eastAsia="Times New Roman" w:hAnsi="Arial" w:cs="Arial"/>
                <w:b/>
                <w:color w:val="002060"/>
                <w:sz w:val="20"/>
              </w:rPr>
            </w:pPr>
            <w:r w:rsidRPr="00741A8B">
              <w:rPr>
                <w:rFonts w:ascii="Arial" w:eastAsia="Times New Roman" w:hAnsi="Arial" w:cs="Arial"/>
                <w:b/>
                <w:color w:val="002060"/>
                <w:sz w:val="20"/>
              </w:rPr>
              <w:t>137,624</w:t>
            </w:r>
          </w:p>
        </w:tc>
        <w:tc>
          <w:tcPr>
            <w:tcW w:w="1134" w:type="dxa"/>
            <w:shd w:val="clear" w:color="auto" w:fill="auto"/>
            <w:noWrap/>
            <w:vAlign w:val="bottom"/>
            <w:hideMark/>
          </w:tcPr>
          <w:p w:rsidR="00C75DBA" w:rsidRPr="00741A8B" w:rsidRDefault="00C75DBA" w:rsidP="00C75DBA">
            <w:pPr>
              <w:jc w:val="right"/>
              <w:rPr>
                <w:rFonts w:ascii="Arial" w:eastAsia="Times New Roman" w:hAnsi="Arial" w:cs="Arial"/>
                <w:b/>
                <w:color w:val="002060"/>
                <w:sz w:val="20"/>
              </w:rPr>
            </w:pPr>
            <w:r w:rsidRPr="00741A8B">
              <w:rPr>
                <w:rFonts w:ascii="Arial" w:eastAsia="Times New Roman" w:hAnsi="Arial" w:cs="Arial"/>
                <w:b/>
                <w:color w:val="002060"/>
                <w:sz w:val="20"/>
              </w:rPr>
              <w:t>137,347</w:t>
            </w:r>
          </w:p>
        </w:tc>
        <w:tc>
          <w:tcPr>
            <w:tcW w:w="1275" w:type="dxa"/>
            <w:shd w:val="clear" w:color="auto" w:fill="auto"/>
            <w:noWrap/>
            <w:vAlign w:val="bottom"/>
            <w:hideMark/>
          </w:tcPr>
          <w:p w:rsidR="00C75DBA" w:rsidRPr="00741A8B" w:rsidRDefault="00C75DBA" w:rsidP="00C75DBA">
            <w:pPr>
              <w:jc w:val="right"/>
              <w:rPr>
                <w:rFonts w:ascii="Arial" w:eastAsia="Times New Roman" w:hAnsi="Arial" w:cs="Arial"/>
                <w:b/>
                <w:color w:val="002060"/>
                <w:sz w:val="18"/>
                <w:szCs w:val="18"/>
              </w:rPr>
            </w:pPr>
            <w:r w:rsidRPr="00741A8B">
              <w:rPr>
                <w:rFonts w:ascii="Arial" w:eastAsia="Times New Roman" w:hAnsi="Arial" w:cs="Arial"/>
                <w:b/>
                <w:color w:val="002060"/>
                <w:sz w:val="18"/>
                <w:szCs w:val="18"/>
              </w:rPr>
              <w:t>-0.2%</w:t>
            </w:r>
          </w:p>
        </w:tc>
        <w:tc>
          <w:tcPr>
            <w:tcW w:w="1311" w:type="dxa"/>
            <w:shd w:val="clear" w:color="auto" w:fill="auto"/>
            <w:noWrap/>
            <w:vAlign w:val="bottom"/>
            <w:hideMark/>
          </w:tcPr>
          <w:p w:rsidR="00C75DBA" w:rsidRPr="00741A8B" w:rsidRDefault="00C75DBA" w:rsidP="00C75DBA">
            <w:pPr>
              <w:jc w:val="right"/>
              <w:rPr>
                <w:rFonts w:ascii="Arial" w:eastAsia="Times New Roman" w:hAnsi="Arial" w:cs="Arial"/>
                <w:b/>
                <w:color w:val="002060"/>
                <w:sz w:val="20"/>
              </w:rPr>
            </w:pPr>
            <w:r w:rsidRPr="00741A8B">
              <w:rPr>
                <w:rFonts w:ascii="Arial" w:eastAsia="Times New Roman" w:hAnsi="Arial" w:cs="Arial"/>
                <w:b/>
                <w:color w:val="002060"/>
                <w:sz w:val="20"/>
              </w:rPr>
              <w:t>1,424,196</w:t>
            </w:r>
          </w:p>
        </w:tc>
        <w:tc>
          <w:tcPr>
            <w:tcW w:w="1099" w:type="dxa"/>
            <w:shd w:val="clear" w:color="auto" w:fill="auto"/>
            <w:noWrap/>
            <w:vAlign w:val="bottom"/>
            <w:hideMark/>
          </w:tcPr>
          <w:p w:rsidR="00C75DBA" w:rsidRPr="00741A8B" w:rsidRDefault="00C75DBA" w:rsidP="00C75DBA">
            <w:pPr>
              <w:jc w:val="right"/>
              <w:rPr>
                <w:rFonts w:ascii="Arial" w:eastAsia="Times New Roman" w:hAnsi="Arial" w:cs="Arial"/>
                <w:b/>
                <w:color w:val="002060"/>
                <w:sz w:val="20"/>
              </w:rPr>
            </w:pPr>
            <w:r w:rsidRPr="00741A8B">
              <w:rPr>
                <w:rFonts w:ascii="Arial" w:eastAsia="Times New Roman" w:hAnsi="Arial" w:cs="Arial"/>
                <w:b/>
                <w:color w:val="002060"/>
                <w:sz w:val="20"/>
              </w:rPr>
              <w:t>1,419,427</w:t>
            </w:r>
          </w:p>
        </w:tc>
        <w:tc>
          <w:tcPr>
            <w:tcW w:w="1216" w:type="dxa"/>
            <w:shd w:val="clear" w:color="auto" w:fill="auto"/>
            <w:noWrap/>
            <w:vAlign w:val="bottom"/>
            <w:hideMark/>
          </w:tcPr>
          <w:p w:rsidR="00C75DBA" w:rsidRPr="00741A8B" w:rsidRDefault="00C75DBA" w:rsidP="00C75DBA">
            <w:pPr>
              <w:jc w:val="right"/>
              <w:rPr>
                <w:rFonts w:ascii="Arial" w:eastAsia="Times New Roman" w:hAnsi="Arial" w:cs="Arial"/>
                <w:b/>
                <w:color w:val="002060"/>
                <w:sz w:val="18"/>
                <w:szCs w:val="18"/>
              </w:rPr>
            </w:pPr>
            <w:r w:rsidRPr="00741A8B">
              <w:rPr>
                <w:rFonts w:ascii="Arial" w:eastAsia="Times New Roman" w:hAnsi="Arial" w:cs="Arial"/>
                <w:b/>
                <w:color w:val="002060"/>
                <w:sz w:val="18"/>
                <w:szCs w:val="18"/>
              </w:rPr>
              <w:t>-0.3%</w:t>
            </w:r>
          </w:p>
        </w:tc>
      </w:tr>
      <w:tr w:rsidR="00C75DBA" w:rsidRPr="00C75DBA" w:rsidTr="005C4BC2">
        <w:trPr>
          <w:trHeight w:val="280"/>
        </w:trPr>
        <w:tc>
          <w:tcPr>
            <w:tcW w:w="2142" w:type="dxa"/>
            <w:shd w:val="clear" w:color="auto" w:fill="auto"/>
            <w:noWrap/>
            <w:vAlign w:val="bottom"/>
            <w:hideMark/>
          </w:tcPr>
          <w:p w:rsidR="00C75DBA" w:rsidRPr="00741A8B" w:rsidRDefault="00C75DBA" w:rsidP="00C75DBA">
            <w:pPr>
              <w:jc w:val="right"/>
              <w:rPr>
                <w:rFonts w:ascii="Arial" w:eastAsia="Times New Roman" w:hAnsi="Arial" w:cs="Arial"/>
                <w:color w:val="002060"/>
                <w:sz w:val="20"/>
              </w:rPr>
            </w:pPr>
            <w:r w:rsidRPr="00741A8B">
              <w:rPr>
                <w:rFonts w:ascii="Arial" w:eastAsia="Times New Roman" w:hAnsi="Arial" w:cs="Arial"/>
                <w:color w:val="002060"/>
                <w:sz w:val="20"/>
              </w:rPr>
              <w:t>Home</w:t>
            </w:r>
          </w:p>
        </w:tc>
        <w:tc>
          <w:tcPr>
            <w:tcW w:w="1134" w:type="dxa"/>
            <w:shd w:val="clear" w:color="auto" w:fill="auto"/>
            <w:noWrap/>
            <w:vAlign w:val="bottom"/>
            <w:hideMark/>
          </w:tcPr>
          <w:p w:rsidR="00C75DBA" w:rsidRPr="00741A8B" w:rsidRDefault="00C75DBA" w:rsidP="00C75DBA">
            <w:pPr>
              <w:jc w:val="right"/>
              <w:rPr>
                <w:rFonts w:ascii="Arial" w:eastAsia="Times New Roman" w:hAnsi="Arial" w:cs="Arial"/>
                <w:color w:val="002060"/>
                <w:sz w:val="20"/>
              </w:rPr>
            </w:pPr>
            <w:r w:rsidRPr="00741A8B">
              <w:rPr>
                <w:rFonts w:ascii="Arial" w:eastAsia="Times New Roman" w:hAnsi="Arial" w:cs="Arial"/>
                <w:color w:val="002060"/>
                <w:sz w:val="20"/>
              </w:rPr>
              <w:t>21,714</w:t>
            </w:r>
          </w:p>
        </w:tc>
        <w:tc>
          <w:tcPr>
            <w:tcW w:w="1134" w:type="dxa"/>
            <w:shd w:val="clear" w:color="auto" w:fill="auto"/>
            <w:noWrap/>
            <w:vAlign w:val="bottom"/>
            <w:hideMark/>
          </w:tcPr>
          <w:p w:rsidR="00C75DBA" w:rsidRPr="00741A8B" w:rsidRDefault="00C75DBA" w:rsidP="00C75DBA">
            <w:pPr>
              <w:jc w:val="right"/>
              <w:rPr>
                <w:rFonts w:ascii="Arial" w:eastAsia="Times New Roman" w:hAnsi="Arial" w:cs="Arial"/>
                <w:color w:val="002060"/>
                <w:sz w:val="20"/>
              </w:rPr>
            </w:pPr>
            <w:r w:rsidRPr="00741A8B">
              <w:rPr>
                <w:rFonts w:ascii="Arial" w:eastAsia="Times New Roman" w:hAnsi="Arial" w:cs="Arial"/>
                <w:color w:val="002060"/>
                <w:sz w:val="20"/>
              </w:rPr>
              <w:t>28,628</w:t>
            </w:r>
          </w:p>
        </w:tc>
        <w:tc>
          <w:tcPr>
            <w:tcW w:w="1275" w:type="dxa"/>
            <w:shd w:val="clear" w:color="auto" w:fill="auto"/>
            <w:noWrap/>
            <w:vAlign w:val="bottom"/>
            <w:hideMark/>
          </w:tcPr>
          <w:p w:rsidR="00C75DBA" w:rsidRPr="00741A8B" w:rsidRDefault="00C75DBA" w:rsidP="00C75DBA">
            <w:pPr>
              <w:jc w:val="right"/>
              <w:rPr>
                <w:rFonts w:ascii="Arial" w:eastAsia="Times New Roman" w:hAnsi="Arial" w:cs="Arial"/>
                <w:color w:val="002060"/>
                <w:sz w:val="18"/>
                <w:szCs w:val="18"/>
              </w:rPr>
            </w:pPr>
            <w:r w:rsidRPr="00741A8B">
              <w:rPr>
                <w:rFonts w:ascii="Arial" w:eastAsia="Times New Roman" w:hAnsi="Arial" w:cs="Arial"/>
                <w:color w:val="002060"/>
                <w:sz w:val="18"/>
                <w:szCs w:val="18"/>
              </w:rPr>
              <w:t>31.8%</w:t>
            </w:r>
          </w:p>
        </w:tc>
        <w:tc>
          <w:tcPr>
            <w:tcW w:w="1311" w:type="dxa"/>
            <w:shd w:val="clear" w:color="auto" w:fill="auto"/>
            <w:noWrap/>
            <w:vAlign w:val="bottom"/>
            <w:hideMark/>
          </w:tcPr>
          <w:p w:rsidR="00C75DBA" w:rsidRPr="00741A8B" w:rsidRDefault="00C75DBA" w:rsidP="00C75DBA">
            <w:pPr>
              <w:jc w:val="right"/>
              <w:rPr>
                <w:rFonts w:ascii="Arial" w:eastAsia="Times New Roman" w:hAnsi="Arial" w:cs="Arial"/>
                <w:color w:val="002060"/>
                <w:sz w:val="20"/>
              </w:rPr>
            </w:pPr>
            <w:r w:rsidRPr="00741A8B">
              <w:rPr>
                <w:rFonts w:ascii="Arial" w:eastAsia="Times New Roman" w:hAnsi="Arial" w:cs="Arial"/>
                <w:color w:val="002060"/>
                <w:sz w:val="20"/>
              </w:rPr>
              <w:t>293,292</w:t>
            </w:r>
          </w:p>
        </w:tc>
        <w:tc>
          <w:tcPr>
            <w:tcW w:w="1099" w:type="dxa"/>
            <w:shd w:val="clear" w:color="auto" w:fill="auto"/>
            <w:noWrap/>
            <w:vAlign w:val="bottom"/>
            <w:hideMark/>
          </w:tcPr>
          <w:p w:rsidR="00C75DBA" w:rsidRPr="00741A8B" w:rsidRDefault="00C75DBA" w:rsidP="00C75DBA">
            <w:pPr>
              <w:jc w:val="right"/>
              <w:rPr>
                <w:rFonts w:ascii="Arial" w:eastAsia="Times New Roman" w:hAnsi="Arial" w:cs="Arial"/>
                <w:color w:val="002060"/>
                <w:sz w:val="20"/>
              </w:rPr>
            </w:pPr>
            <w:r w:rsidRPr="00741A8B">
              <w:rPr>
                <w:rFonts w:ascii="Arial" w:eastAsia="Times New Roman" w:hAnsi="Arial" w:cs="Arial"/>
                <w:color w:val="002060"/>
                <w:sz w:val="20"/>
              </w:rPr>
              <w:t>299,517</w:t>
            </w:r>
          </w:p>
        </w:tc>
        <w:tc>
          <w:tcPr>
            <w:tcW w:w="1216" w:type="dxa"/>
            <w:shd w:val="clear" w:color="auto" w:fill="auto"/>
            <w:noWrap/>
            <w:vAlign w:val="bottom"/>
            <w:hideMark/>
          </w:tcPr>
          <w:p w:rsidR="00C75DBA" w:rsidRPr="00741A8B" w:rsidRDefault="00C75DBA" w:rsidP="00C75DBA">
            <w:pPr>
              <w:jc w:val="right"/>
              <w:rPr>
                <w:rFonts w:ascii="Arial" w:eastAsia="Times New Roman" w:hAnsi="Arial" w:cs="Arial"/>
                <w:color w:val="002060"/>
                <w:sz w:val="18"/>
                <w:szCs w:val="18"/>
              </w:rPr>
            </w:pPr>
            <w:r w:rsidRPr="00741A8B">
              <w:rPr>
                <w:rFonts w:ascii="Arial" w:eastAsia="Times New Roman" w:hAnsi="Arial" w:cs="Arial"/>
                <w:color w:val="002060"/>
                <w:sz w:val="18"/>
                <w:szCs w:val="18"/>
              </w:rPr>
              <w:t>2.1%</w:t>
            </w:r>
          </w:p>
        </w:tc>
      </w:tr>
      <w:tr w:rsidR="00C75DBA" w:rsidRPr="00C75DBA" w:rsidTr="005C4BC2">
        <w:trPr>
          <w:trHeight w:val="280"/>
        </w:trPr>
        <w:tc>
          <w:tcPr>
            <w:tcW w:w="2142" w:type="dxa"/>
            <w:shd w:val="clear" w:color="auto" w:fill="auto"/>
            <w:noWrap/>
            <w:vAlign w:val="bottom"/>
            <w:hideMark/>
          </w:tcPr>
          <w:p w:rsidR="00C75DBA" w:rsidRPr="00741A8B" w:rsidRDefault="00C75DBA" w:rsidP="00C75DBA">
            <w:pPr>
              <w:jc w:val="right"/>
              <w:rPr>
                <w:rFonts w:ascii="Arial" w:eastAsia="Times New Roman" w:hAnsi="Arial" w:cs="Arial"/>
                <w:color w:val="002060"/>
                <w:sz w:val="20"/>
              </w:rPr>
            </w:pPr>
            <w:r w:rsidRPr="00741A8B">
              <w:rPr>
                <w:rFonts w:ascii="Arial" w:eastAsia="Times New Roman" w:hAnsi="Arial" w:cs="Arial"/>
                <w:color w:val="002060"/>
                <w:sz w:val="20"/>
              </w:rPr>
              <w:t>Export</w:t>
            </w:r>
          </w:p>
        </w:tc>
        <w:tc>
          <w:tcPr>
            <w:tcW w:w="1134" w:type="dxa"/>
            <w:shd w:val="clear" w:color="auto" w:fill="auto"/>
            <w:noWrap/>
            <w:vAlign w:val="bottom"/>
            <w:hideMark/>
          </w:tcPr>
          <w:p w:rsidR="00C75DBA" w:rsidRPr="00741A8B" w:rsidRDefault="00C75DBA" w:rsidP="00C75DBA">
            <w:pPr>
              <w:jc w:val="right"/>
              <w:rPr>
                <w:rFonts w:ascii="Arial" w:eastAsia="Times New Roman" w:hAnsi="Arial" w:cs="Arial"/>
                <w:color w:val="002060"/>
                <w:sz w:val="20"/>
              </w:rPr>
            </w:pPr>
            <w:r w:rsidRPr="00741A8B">
              <w:rPr>
                <w:rFonts w:ascii="Arial" w:eastAsia="Times New Roman" w:hAnsi="Arial" w:cs="Arial"/>
                <w:color w:val="002060"/>
                <w:sz w:val="20"/>
              </w:rPr>
              <w:t>115,910</w:t>
            </w:r>
          </w:p>
        </w:tc>
        <w:tc>
          <w:tcPr>
            <w:tcW w:w="1134" w:type="dxa"/>
            <w:shd w:val="clear" w:color="auto" w:fill="auto"/>
            <w:noWrap/>
            <w:vAlign w:val="bottom"/>
            <w:hideMark/>
          </w:tcPr>
          <w:p w:rsidR="00C75DBA" w:rsidRPr="00741A8B" w:rsidRDefault="00C75DBA" w:rsidP="00C75DBA">
            <w:pPr>
              <w:jc w:val="right"/>
              <w:rPr>
                <w:rFonts w:ascii="Arial" w:eastAsia="Times New Roman" w:hAnsi="Arial" w:cs="Arial"/>
                <w:color w:val="002060"/>
                <w:sz w:val="20"/>
              </w:rPr>
            </w:pPr>
            <w:r w:rsidRPr="00741A8B">
              <w:rPr>
                <w:rFonts w:ascii="Arial" w:eastAsia="Times New Roman" w:hAnsi="Arial" w:cs="Arial"/>
                <w:color w:val="002060"/>
                <w:sz w:val="20"/>
              </w:rPr>
              <w:t>108,719</w:t>
            </w:r>
          </w:p>
        </w:tc>
        <w:tc>
          <w:tcPr>
            <w:tcW w:w="1275" w:type="dxa"/>
            <w:shd w:val="clear" w:color="auto" w:fill="auto"/>
            <w:noWrap/>
            <w:vAlign w:val="bottom"/>
            <w:hideMark/>
          </w:tcPr>
          <w:p w:rsidR="00C75DBA" w:rsidRPr="00741A8B" w:rsidRDefault="00C75DBA" w:rsidP="00C75DBA">
            <w:pPr>
              <w:jc w:val="right"/>
              <w:rPr>
                <w:rFonts w:ascii="Arial" w:eastAsia="Times New Roman" w:hAnsi="Arial" w:cs="Arial"/>
                <w:color w:val="002060"/>
                <w:sz w:val="18"/>
                <w:szCs w:val="18"/>
              </w:rPr>
            </w:pPr>
            <w:r w:rsidRPr="00741A8B">
              <w:rPr>
                <w:rFonts w:ascii="Arial" w:eastAsia="Times New Roman" w:hAnsi="Arial" w:cs="Arial"/>
                <w:color w:val="002060"/>
                <w:sz w:val="18"/>
                <w:szCs w:val="18"/>
              </w:rPr>
              <w:t>-6.2%</w:t>
            </w:r>
          </w:p>
        </w:tc>
        <w:tc>
          <w:tcPr>
            <w:tcW w:w="1311" w:type="dxa"/>
            <w:shd w:val="clear" w:color="auto" w:fill="auto"/>
            <w:noWrap/>
            <w:vAlign w:val="bottom"/>
            <w:hideMark/>
          </w:tcPr>
          <w:p w:rsidR="00C75DBA" w:rsidRPr="00741A8B" w:rsidRDefault="00C75DBA" w:rsidP="00C75DBA">
            <w:pPr>
              <w:jc w:val="right"/>
              <w:rPr>
                <w:rFonts w:ascii="Arial" w:eastAsia="Times New Roman" w:hAnsi="Arial" w:cs="Arial"/>
                <w:color w:val="002060"/>
                <w:sz w:val="20"/>
              </w:rPr>
            </w:pPr>
            <w:r w:rsidRPr="00741A8B">
              <w:rPr>
                <w:rFonts w:ascii="Arial" w:eastAsia="Times New Roman" w:hAnsi="Arial" w:cs="Arial"/>
                <w:color w:val="002060"/>
                <w:sz w:val="20"/>
              </w:rPr>
              <w:t>1,130,904</w:t>
            </w:r>
          </w:p>
        </w:tc>
        <w:tc>
          <w:tcPr>
            <w:tcW w:w="1099" w:type="dxa"/>
            <w:shd w:val="clear" w:color="auto" w:fill="auto"/>
            <w:noWrap/>
            <w:vAlign w:val="bottom"/>
            <w:hideMark/>
          </w:tcPr>
          <w:p w:rsidR="00C75DBA" w:rsidRPr="00741A8B" w:rsidRDefault="00C75DBA" w:rsidP="00C75DBA">
            <w:pPr>
              <w:jc w:val="right"/>
              <w:rPr>
                <w:rFonts w:ascii="Arial" w:eastAsia="Times New Roman" w:hAnsi="Arial" w:cs="Arial"/>
                <w:color w:val="002060"/>
                <w:sz w:val="20"/>
              </w:rPr>
            </w:pPr>
            <w:r w:rsidRPr="00741A8B">
              <w:rPr>
                <w:rFonts w:ascii="Arial" w:eastAsia="Times New Roman" w:hAnsi="Arial" w:cs="Arial"/>
                <w:color w:val="002060"/>
                <w:sz w:val="20"/>
              </w:rPr>
              <w:t>1,119,910</w:t>
            </w:r>
          </w:p>
        </w:tc>
        <w:tc>
          <w:tcPr>
            <w:tcW w:w="1216" w:type="dxa"/>
            <w:shd w:val="clear" w:color="auto" w:fill="auto"/>
            <w:noWrap/>
            <w:vAlign w:val="bottom"/>
            <w:hideMark/>
          </w:tcPr>
          <w:p w:rsidR="00C75DBA" w:rsidRPr="00741A8B" w:rsidRDefault="00C75DBA" w:rsidP="00C75DBA">
            <w:pPr>
              <w:jc w:val="right"/>
              <w:rPr>
                <w:rFonts w:ascii="Arial" w:eastAsia="Times New Roman" w:hAnsi="Arial" w:cs="Arial"/>
                <w:color w:val="002060"/>
                <w:sz w:val="18"/>
                <w:szCs w:val="18"/>
              </w:rPr>
            </w:pPr>
            <w:r w:rsidRPr="00741A8B">
              <w:rPr>
                <w:rFonts w:ascii="Arial" w:eastAsia="Times New Roman" w:hAnsi="Arial" w:cs="Arial"/>
                <w:color w:val="002060"/>
                <w:sz w:val="18"/>
                <w:szCs w:val="18"/>
              </w:rPr>
              <w:t>-1.0%</w:t>
            </w:r>
          </w:p>
        </w:tc>
      </w:tr>
      <w:tr w:rsidR="00C75DBA" w:rsidRPr="00C75DBA" w:rsidTr="005C4BC2">
        <w:trPr>
          <w:trHeight w:val="280"/>
        </w:trPr>
        <w:tc>
          <w:tcPr>
            <w:tcW w:w="2142" w:type="dxa"/>
            <w:shd w:val="clear" w:color="auto" w:fill="auto"/>
            <w:noWrap/>
            <w:vAlign w:val="bottom"/>
            <w:hideMark/>
          </w:tcPr>
          <w:p w:rsidR="00C75DBA" w:rsidRPr="00741A8B" w:rsidRDefault="00C75DBA" w:rsidP="00C75DBA">
            <w:pPr>
              <w:jc w:val="right"/>
              <w:rPr>
                <w:rFonts w:ascii="Arial" w:eastAsia="Times New Roman" w:hAnsi="Arial" w:cs="Arial"/>
                <w:color w:val="002060"/>
                <w:sz w:val="20"/>
              </w:rPr>
            </w:pPr>
            <w:r w:rsidRPr="00741A8B">
              <w:rPr>
                <w:rFonts w:ascii="Arial" w:eastAsia="Times New Roman" w:hAnsi="Arial" w:cs="Arial"/>
                <w:color w:val="002060"/>
                <w:sz w:val="20"/>
              </w:rPr>
              <w:t>% export</w:t>
            </w:r>
          </w:p>
        </w:tc>
        <w:tc>
          <w:tcPr>
            <w:tcW w:w="1134" w:type="dxa"/>
            <w:shd w:val="clear" w:color="auto" w:fill="auto"/>
            <w:noWrap/>
            <w:vAlign w:val="bottom"/>
            <w:hideMark/>
          </w:tcPr>
          <w:p w:rsidR="00C75DBA" w:rsidRPr="00741A8B" w:rsidRDefault="00C75DBA" w:rsidP="00C75DBA">
            <w:pPr>
              <w:jc w:val="right"/>
              <w:rPr>
                <w:rFonts w:ascii="Arial" w:eastAsia="Times New Roman" w:hAnsi="Arial" w:cs="Arial"/>
                <w:color w:val="002060"/>
                <w:sz w:val="20"/>
              </w:rPr>
            </w:pPr>
            <w:r w:rsidRPr="00741A8B">
              <w:rPr>
                <w:rFonts w:ascii="Arial" w:eastAsia="Times New Roman" w:hAnsi="Arial" w:cs="Arial"/>
                <w:color w:val="002060"/>
                <w:sz w:val="20"/>
              </w:rPr>
              <w:t>84.2%</w:t>
            </w:r>
          </w:p>
        </w:tc>
        <w:tc>
          <w:tcPr>
            <w:tcW w:w="1134" w:type="dxa"/>
            <w:shd w:val="clear" w:color="auto" w:fill="auto"/>
            <w:noWrap/>
            <w:vAlign w:val="bottom"/>
            <w:hideMark/>
          </w:tcPr>
          <w:p w:rsidR="00C75DBA" w:rsidRPr="00741A8B" w:rsidRDefault="00C75DBA" w:rsidP="00C75DBA">
            <w:pPr>
              <w:jc w:val="right"/>
              <w:rPr>
                <w:rFonts w:ascii="Arial" w:eastAsia="Times New Roman" w:hAnsi="Arial" w:cs="Arial"/>
                <w:color w:val="002060"/>
                <w:sz w:val="20"/>
              </w:rPr>
            </w:pPr>
            <w:r w:rsidRPr="00741A8B">
              <w:rPr>
                <w:rFonts w:ascii="Arial" w:eastAsia="Times New Roman" w:hAnsi="Arial" w:cs="Arial"/>
                <w:color w:val="002060"/>
                <w:sz w:val="20"/>
              </w:rPr>
              <w:t>79.2%</w:t>
            </w:r>
          </w:p>
        </w:tc>
        <w:tc>
          <w:tcPr>
            <w:tcW w:w="1275" w:type="dxa"/>
            <w:shd w:val="clear" w:color="auto" w:fill="auto"/>
            <w:noWrap/>
            <w:vAlign w:val="bottom"/>
            <w:hideMark/>
          </w:tcPr>
          <w:p w:rsidR="00C75DBA" w:rsidRPr="00741A8B" w:rsidRDefault="00C75DBA" w:rsidP="00C75DBA">
            <w:pPr>
              <w:jc w:val="right"/>
              <w:rPr>
                <w:rFonts w:ascii="Arial" w:eastAsia="Times New Roman" w:hAnsi="Arial" w:cs="Arial"/>
                <w:color w:val="002060"/>
                <w:sz w:val="20"/>
              </w:rPr>
            </w:pPr>
            <w:r w:rsidRPr="00741A8B">
              <w:rPr>
                <w:rFonts w:ascii="Arial" w:eastAsia="Times New Roman" w:hAnsi="Arial" w:cs="Arial"/>
                <w:color w:val="002060"/>
                <w:sz w:val="20"/>
              </w:rPr>
              <w:t> </w:t>
            </w:r>
          </w:p>
        </w:tc>
        <w:tc>
          <w:tcPr>
            <w:tcW w:w="1311" w:type="dxa"/>
            <w:shd w:val="clear" w:color="auto" w:fill="auto"/>
            <w:noWrap/>
            <w:vAlign w:val="bottom"/>
            <w:hideMark/>
          </w:tcPr>
          <w:p w:rsidR="00C75DBA" w:rsidRPr="00741A8B" w:rsidRDefault="00C75DBA" w:rsidP="00C75DBA">
            <w:pPr>
              <w:jc w:val="right"/>
              <w:rPr>
                <w:rFonts w:ascii="Arial" w:eastAsia="Times New Roman" w:hAnsi="Arial" w:cs="Arial"/>
                <w:color w:val="002060"/>
                <w:sz w:val="20"/>
              </w:rPr>
            </w:pPr>
            <w:r w:rsidRPr="00741A8B">
              <w:rPr>
                <w:rFonts w:ascii="Arial" w:eastAsia="Times New Roman" w:hAnsi="Arial" w:cs="Arial"/>
                <w:color w:val="002060"/>
                <w:sz w:val="20"/>
              </w:rPr>
              <w:t>79.4%</w:t>
            </w:r>
          </w:p>
        </w:tc>
        <w:tc>
          <w:tcPr>
            <w:tcW w:w="1099" w:type="dxa"/>
            <w:shd w:val="clear" w:color="auto" w:fill="auto"/>
            <w:noWrap/>
            <w:vAlign w:val="bottom"/>
            <w:hideMark/>
          </w:tcPr>
          <w:p w:rsidR="00C75DBA" w:rsidRPr="00741A8B" w:rsidRDefault="00C75DBA" w:rsidP="00C75DBA">
            <w:pPr>
              <w:jc w:val="right"/>
              <w:rPr>
                <w:rFonts w:ascii="Arial" w:eastAsia="Times New Roman" w:hAnsi="Arial" w:cs="Arial"/>
                <w:color w:val="002060"/>
                <w:sz w:val="20"/>
              </w:rPr>
            </w:pPr>
            <w:r w:rsidRPr="00741A8B">
              <w:rPr>
                <w:rFonts w:ascii="Arial" w:eastAsia="Times New Roman" w:hAnsi="Arial" w:cs="Arial"/>
                <w:color w:val="002060"/>
                <w:sz w:val="20"/>
              </w:rPr>
              <w:t>78.9%</w:t>
            </w:r>
          </w:p>
        </w:tc>
        <w:tc>
          <w:tcPr>
            <w:tcW w:w="1216" w:type="dxa"/>
            <w:shd w:val="clear" w:color="auto" w:fill="auto"/>
            <w:noWrap/>
            <w:vAlign w:val="bottom"/>
            <w:hideMark/>
          </w:tcPr>
          <w:p w:rsidR="00C75DBA" w:rsidRPr="00741A8B" w:rsidRDefault="00C75DBA" w:rsidP="00C75DBA">
            <w:pPr>
              <w:jc w:val="right"/>
              <w:rPr>
                <w:rFonts w:ascii="Arial" w:eastAsia="Times New Roman" w:hAnsi="Arial" w:cs="Arial"/>
                <w:color w:val="002060"/>
                <w:sz w:val="20"/>
              </w:rPr>
            </w:pPr>
            <w:r w:rsidRPr="00741A8B">
              <w:rPr>
                <w:rFonts w:ascii="Arial" w:eastAsia="Times New Roman" w:hAnsi="Arial" w:cs="Arial"/>
                <w:color w:val="002060"/>
                <w:sz w:val="20"/>
              </w:rPr>
              <w:t> </w:t>
            </w:r>
          </w:p>
        </w:tc>
      </w:tr>
    </w:tbl>
    <w:p w:rsidR="00585DB0" w:rsidRPr="009524D1" w:rsidRDefault="00585DB0" w:rsidP="009F47F6">
      <w:pPr>
        <w:keepNext/>
        <w:rPr>
          <w:rFonts w:ascii="Arial" w:hAnsi="Arial" w:cs="Arial"/>
          <w:b/>
          <w:color w:val="1F497D" w:themeColor="text2"/>
          <w:sz w:val="20"/>
        </w:rPr>
      </w:pPr>
      <w:r w:rsidRPr="009524D1">
        <w:rPr>
          <w:rFonts w:ascii="Arial" w:hAnsi="Arial" w:cs="Arial"/>
          <w:b/>
          <w:color w:val="1F497D" w:themeColor="text2"/>
          <w:sz w:val="20"/>
        </w:rPr>
        <w:tab/>
      </w:r>
      <w:r w:rsidR="0028787F" w:rsidRPr="009524D1">
        <w:rPr>
          <w:rFonts w:ascii="Arial" w:hAnsi="Arial" w:cs="Arial"/>
          <w:b/>
          <w:color w:val="1F497D" w:themeColor="text2"/>
          <w:sz w:val="20"/>
        </w:rPr>
        <w:t xml:space="preserve">      </w:t>
      </w:r>
    </w:p>
    <w:p w:rsidR="009F47F6" w:rsidRDefault="009F47F6" w:rsidP="001A77A6">
      <w:pPr>
        <w:tabs>
          <w:tab w:val="right" w:pos="9332"/>
        </w:tabs>
        <w:rPr>
          <w:rFonts w:ascii="Arial" w:hAnsi="Arial" w:cs="Arial"/>
          <w:b/>
          <w:color w:val="0D2255"/>
          <w:sz w:val="20"/>
        </w:rPr>
      </w:pPr>
      <w:r>
        <w:rPr>
          <w:rFonts w:ascii="Arial" w:hAnsi="Arial" w:cs="Arial"/>
          <w:b/>
          <w:color w:val="0D2255"/>
          <w:sz w:val="20"/>
        </w:rPr>
        <w:t xml:space="preserve">        Car output </w:t>
      </w:r>
      <w:r w:rsidR="00A94C58">
        <w:rPr>
          <w:rFonts w:ascii="Arial" w:hAnsi="Arial" w:cs="Arial"/>
          <w:b/>
          <w:color w:val="0D2255"/>
          <w:sz w:val="20"/>
        </w:rPr>
        <w:t xml:space="preserve">– </w:t>
      </w:r>
      <w:r>
        <w:rPr>
          <w:rFonts w:ascii="Arial" w:hAnsi="Arial" w:cs="Arial"/>
          <w:b/>
          <w:color w:val="0D2255"/>
          <w:sz w:val="20"/>
        </w:rPr>
        <w:t xml:space="preserve">rolling year total                                        </w:t>
      </w:r>
      <w:r w:rsidR="00A94C58">
        <w:rPr>
          <w:rFonts w:ascii="Arial" w:hAnsi="Arial" w:cs="Arial"/>
          <w:b/>
          <w:color w:val="0D2255"/>
          <w:sz w:val="20"/>
        </w:rPr>
        <w:t xml:space="preserve">   Car output –</w:t>
      </w:r>
      <w:r>
        <w:rPr>
          <w:rFonts w:ascii="Arial" w:hAnsi="Arial" w:cs="Arial"/>
          <w:b/>
          <w:color w:val="0D2255"/>
          <w:sz w:val="20"/>
        </w:rPr>
        <w:t xml:space="preserve"> </w:t>
      </w:r>
      <w:r w:rsidR="00A94C58">
        <w:rPr>
          <w:rFonts w:ascii="Arial" w:hAnsi="Arial" w:cs="Arial"/>
          <w:b/>
          <w:color w:val="0D2255"/>
          <w:sz w:val="20"/>
        </w:rPr>
        <w:t>January-</w:t>
      </w:r>
      <w:r w:rsidR="00741A8B">
        <w:rPr>
          <w:rFonts w:ascii="Arial" w:hAnsi="Arial" w:cs="Arial"/>
          <w:b/>
          <w:color w:val="0D2255"/>
          <w:sz w:val="20"/>
        </w:rPr>
        <w:t>November</w:t>
      </w:r>
      <w:r w:rsidR="00A94C58">
        <w:rPr>
          <w:rFonts w:ascii="Arial" w:hAnsi="Arial" w:cs="Arial"/>
          <w:b/>
          <w:color w:val="0D2255"/>
          <w:sz w:val="20"/>
        </w:rPr>
        <w:t xml:space="preserve"> totals</w:t>
      </w:r>
    </w:p>
    <w:p w:rsidR="009F47F6" w:rsidRDefault="00741A8B" w:rsidP="001A77A6">
      <w:pPr>
        <w:tabs>
          <w:tab w:val="right" w:pos="9332"/>
        </w:tabs>
        <w:rPr>
          <w:rFonts w:ascii="Arial" w:hAnsi="Arial" w:cs="Arial"/>
          <w:sz w:val="16"/>
          <w:szCs w:val="16"/>
        </w:rPr>
      </w:pPr>
      <w:r w:rsidRPr="00741A8B">
        <w:rPr>
          <w:noProof/>
        </w:rPr>
        <w:drawing>
          <wp:inline distT="0" distB="0" distL="0" distR="0">
            <wp:extent cx="3000375" cy="220980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072EC">
        <w:rPr>
          <w:noProof/>
        </w:rPr>
        <w:t xml:space="preserve"> </w:t>
      </w:r>
      <w:r w:rsidR="00DB4704">
        <w:rPr>
          <w:noProof/>
        </w:rPr>
        <w:t xml:space="preserve">   </w:t>
      </w:r>
      <w:r w:rsidR="001072EC" w:rsidRPr="001072EC">
        <w:rPr>
          <w:noProof/>
        </w:rPr>
        <w:drawing>
          <wp:inline distT="0" distB="0" distL="0" distR="0">
            <wp:extent cx="2809875" cy="2076450"/>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9F47F6" w:rsidSect="005C4BC2">
      <w:headerReference w:type="default" r:id="rId10"/>
      <w:footerReference w:type="default" r:id="rId11"/>
      <w:pgSz w:w="11906" w:h="16838"/>
      <w:pgMar w:top="1440" w:right="1134" w:bottom="1440"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569" w:rsidRDefault="00780569" w:rsidP="00C80E70">
      <w:r>
        <w:separator/>
      </w:r>
    </w:p>
  </w:endnote>
  <w:endnote w:type="continuationSeparator" w:id="0">
    <w:p w:rsidR="00780569" w:rsidRDefault="00780569"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4C" w:rsidRPr="00853E71" w:rsidRDefault="003E784C" w:rsidP="00853E71">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3E784C" w:rsidRPr="00853E71" w:rsidRDefault="003E784C" w:rsidP="00853E7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3E784C" w:rsidRPr="00853E71" w:rsidRDefault="003E784C" w:rsidP="00853E71">
    <w:pPr>
      <w:spacing w:afterAutospacing="1"/>
      <w:contextualSpacing/>
      <w:rPr>
        <w:rFonts w:ascii="Arial" w:eastAsia="Times New Roman" w:hAnsi="Arial" w:cs="Arial"/>
        <w:color w:val="1074CB"/>
        <w:sz w:val="16"/>
        <w:szCs w:val="16"/>
      </w:rPr>
    </w:pPr>
  </w:p>
  <w:p w:rsidR="003E784C" w:rsidRPr="00853E71" w:rsidRDefault="003E784C" w:rsidP="00853E7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3E784C" w:rsidRPr="00853E71" w:rsidRDefault="003E784C" w:rsidP="00853E71">
    <w:pPr>
      <w:spacing w:afterAutospacing="1"/>
      <w:contextualSpacing/>
      <w:rPr>
        <w:rFonts w:ascii="Arial" w:eastAsia="Times New Roman" w:hAnsi="Arial" w:cs="Arial"/>
        <w:color w:val="1074CB"/>
        <w:sz w:val="16"/>
        <w:szCs w:val="16"/>
      </w:rPr>
    </w:pPr>
  </w:p>
  <w:p w:rsidR="003E784C" w:rsidRPr="00853E71" w:rsidRDefault="003E784C" w:rsidP="00853E71">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3E784C" w:rsidRPr="00853E71" w:rsidRDefault="003E784C" w:rsidP="00853E71">
    <w:pPr>
      <w:spacing w:afterAutospacing="1"/>
      <w:contextualSpacing/>
      <w:rPr>
        <w:rFonts w:ascii="Arial" w:eastAsia="Times New Roman" w:hAnsi="Arial" w:cs="Arial"/>
        <w:color w:val="1074CB"/>
        <w:sz w:val="16"/>
        <w:szCs w:val="16"/>
      </w:rPr>
    </w:pPr>
  </w:p>
  <w:p w:rsidR="003E784C" w:rsidRPr="00853E71" w:rsidRDefault="003E784C" w:rsidP="00853E71">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3E784C" w:rsidRPr="00853E71" w:rsidRDefault="003E784C" w:rsidP="00853E71">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3E784C" w:rsidRDefault="003E784C" w:rsidP="009524D1">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2" w:history="1">
      <w:r w:rsidRPr="00C6769D">
        <w:rPr>
          <w:rStyle w:val="Hyperlink"/>
          <w:rFonts w:ascii="Arial" w:eastAsia="Times New Roman" w:hAnsi="Arial" w:cs="Arial"/>
          <w:sz w:val="16"/>
          <w:szCs w:val="16"/>
        </w:rPr>
        <w:t>bfoulds@smmt.co.uk</w:t>
      </w:r>
    </w:hyperlink>
  </w:p>
  <w:p w:rsidR="003E784C" w:rsidRPr="00D16FB8" w:rsidRDefault="003E784C" w:rsidP="009524D1">
    <w:pPr>
      <w:rPr>
        <w:rFonts w:ascii="Arial" w:eastAsia="Times New Roman" w:hAnsi="Arial" w:cs="Arial"/>
        <w:color w:val="0000FF"/>
        <w:sz w:val="16"/>
        <w:szCs w:val="16"/>
        <w:u w:val="single"/>
      </w:rPr>
    </w:pPr>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120B6E">
        <w:rPr>
          <w:rStyle w:val="Hyperlink"/>
          <w:rFonts w:ascii="Arial" w:eastAsia="Times New Roman" w:hAnsi="Arial" w:cs="Arial"/>
          <w:sz w:val="16"/>
          <w:szCs w:val="16"/>
        </w:rPr>
        <w:t>amichaelides@smmt.co.uk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569" w:rsidRDefault="00780569" w:rsidP="00C80E70">
      <w:r>
        <w:separator/>
      </w:r>
    </w:p>
  </w:footnote>
  <w:footnote w:type="continuationSeparator" w:id="0">
    <w:p w:rsidR="00780569" w:rsidRDefault="00780569"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4C" w:rsidRDefault="003E784C"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A05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C80E70"/>
    <w:rsid w:val="00000EA7"/>
    <w:rsid w:val="00002F84"/>
    <w:rsid w:val="0000491C"/>
    <w:rsid w:val="00006B7F"/>
    <w:rsid w:val="000109D8"/>
    <w:rsid w:val="00031DB4"/>
    <w:rsid w:val="00046A50"/>
    <w:rsid w:val="00066F55"/>
    <w:rsid w:val="000A4DE9"/>
    <w:rsid w:val="000A5DC2"/>
    <w:rsid w:val="000B47D6"/>
    <w:rsid w:val="000C0CE4"/>
    <w:rsid w:val="000D1505"/>
    <w:rsid w:val="000D245D"/>
    <w:rsid w:val="00100F35"/>
    <w:rsid w:val="00102817"/>
    <w:rsid w:val="00104853"/>
    <w:rsid w:val="001072EC"/>
    <w:rsid w:val="00107861"/>
    <w:rsid w:val="00111C19"/>
    <w:rsid w:val="00116498"/>
    <w:rsid w:val="00116666"/>
    <w:rsid w:val="00133B87"/>
    <w:rsid w:val="00143CC9"/>
    <w:rsid w:val="00153740"/>
    <w:rsid w:val="00156CB8"/>
    <w:rsid w:val="00157C8D"/>
    <w:rsid w:val="00161C0A"/>
    <w:rsid w:val="00166121"/>
    <w:rsid w:val="00170111"/>
    <w:rsid w:val="00170EFD"/>
    <w:rsid w:val="001737CD"/>
    <w:rsid w:val="001854E1"/>
    <w:rsid w:val="00192CE4"/>
    <w:rsid w:val="00192FBC"/>
    <w:rsid w:val="001A67B5"/>
    <w:rsid w:val="001A77A6"/>
    <w:rsid w:val="001B1AA6"/>
    <w:rsid w:val="001C171F"/>
    <w:rsid w:val="001C389E"/>
    <w:rsid w:val="001D046A"/>
    <w:rsid w:val="001D6CB9"/>
    <w:rsid w:val="001D7212"/>
    <w:rsid w:val="001E33CE"/>
    <w:rsid w:val="001E7E3E"/>
    <w:rsid w:val="001F7740"/>
    <w:rsid w:val="00200F65"/>
    <w:rsid w:val="0020649D"/>
    <w:rsid w:val="002161F4"/>
    <w:rsid w:val="00224DDD"/>
    <w:rsid w:val="00226D70"/>
    <w:rsid w:val="0025075E"/>
    <w:rsid w:val="00252DCB"/>
    <w:rsid w:val="00264687"/>
    <w:rsid w:val="00266A9A"/>
    <w:rsid w:val="00286B24"/>
    <w:rsid w:val="0028787F"/>
    <w:rsid w:val="002933CF"/>
    <w:rsid w:val="002A5934"/>
    <w:rsid w:val="002B3FAF"/>
    <w:rsid w:val="002B4F7D"/>
    <w:rsid w:val="002C7321"/>
    <w:rsid w:val="002D0197"/>
    <w:rsid w:val="002E4A51"/>
    <w:rsid w:val="002E5457"/>
    <w:rsid w:val="002F673C"/>
    <w:rsid w:val="003050BA"/>
    <w:rsid w:val="00320C83"/>
    <w:rsid w:val="00345B59"/>
    <w:rsid w:val="003552CF"/>
    <w:rsid w:val="00356443"/>
    <w:rsid w:val="00371917"/>
    <w:rsid w:val="00375DF8"/>
    <w:rsid w:val="00377406"/>
    <w:rsid w:val="003A01D6"/>
    <w:rsid w:val="003A2548"/>
    <w:rsid w:val="003A645F"/>
    <w:rsid w:val="003B1C39"/>
    <w:rsid w:val="003C684D"/>
    <w:rsid w:val="003D08D1"/>
    <w:rsid w:val="003D4A50"/>
    <w:rsid w:val="003D5FBD"/>
    <w:rsid w:val="003D6FB9"/>
    <w:rsid w:val="003E423F"/>
    <w:rsid w:val="003E53DB"/>
    <w:rsid w:val="003E69D3"/>
    <w:rsid w:val="003E784C"/>
    <w:rsid w:val="004002C5"/>
    <w:rsid w:val="00410539"/>
    <w:rsid w:val="004319DB"/>
    <w:rsid w:val="00443FDD"/>
    <w:rsid w:val="00447CDA"/>
    <w:rsid w:val="00456EBB"/>
    <w:rsid w:val="00465C9D"/>
    <w:rsid w:val="00467D20"/>
    <w:rsid w:val="00477E03"/>
    <w:rsid w:val="00482D22"/>
    <w:rsid w:val="00483A6D"/>
    <w:rsid w:val="0048607B"/>
    <w:rsid w:val="00486897"/>
    <w:rsid w:val="004919AF"/>
    <w:rsid w:val="00493B48"/>
    <w:rsid w:val="00494E5E"/>
    <w:rsid w:val="00495611"/>
    <w:rsid w:val="004B0132"/>
    <w:rsid w:val="004B727E"/>
    <w:rsid w:val="004C0CA5"/>
    <w:rsid w:val="004C6507"/>
    <w:rsid w:val="004E239F"/>
    <w:rsid w:val="004E48D4"/>
    <w:rsid w:val="004F195D"/>
    <w:rsid w:val="00505C8C"/>
    <w:rsid w:val="005218AC"/>
    <w:rsid w:val="00525D1A"/>
    <w:rsid w:val="00534F79"/>
    <w:rsid w:val="005407A6"/>
    <w:rsid w:val="00542422"/>
    <w:rsid w:val="0055683E"/>
    <w:rsid w:val="005709F5"/>
    <w:rsid w:val="005733CD"/>
    <w:rsid w:val="00577A32"/>
    <w:rsid w:val="005830EF"/>
    <w:rsid w:val="00583B9B"/>
    <w:rsid w:val="00583E20"/>
    <w:rsid w:val="00585DB0"/>
    <w:rsid w:val="005A0ACF"/>
    <w:rsid w:val="005A69CE"/>
    <w:rsid w:val="005B33EF"/>
    <w:rsid w:val="005B536B"/>
    <w:rsid w:val="005C4BC2"/>
    <w:rsid w:val="005C668F"/>
    <w:rsid w:val="005C7E78"/>
    <w:rsid w:val="005D34F5"/>
    <w:rsid w:val="005E0768"/>
    <w:rsid w:val="005E2C9D"/>
    <w:rsid w:val="005F44DC"/>
    <w:rsid w:val="005F7C94"/>
    <w:rsid w:val="0060762E"/>
    <w:rsid w:val="00616CD2"/>
    <w:rsid w:val="006315A6"/>
    <w:rsid w:val="006523B5"/>
    <w:rsid w:val="006623D6"/>
    <w:rsid w:val="00662FB8"/>
    <w:rsid w:val="006639EF"/>
    <w:rsid w:val="0066425C"/>
    <w:rsid w:val="00672A24"/>
    <w:rsid w:val="00681ACD"/>
    <w:rsid w:val="00686576"/>
    <w:rsid w:val="006A0B4F"/>
    <w:rsid w:val="006B47DA"/>
    <w:rsid w:val="006B4C72"/>
    <w:rsid w:val="006B5968"/>
    <w:rsid w:val="006B5D2C"/>
    <w:rsid w:val="006B65B6"/>
    <w:rsid w:val="006B7F8A"/>
    <w:rsid w:val="006D458E"/>
    <w:rsid w:val="006D538E"/>
    <w:rsid w:val="006E2AC9"/>
    <w:rsid w:val="006E4BD9"/>
    <w:rsid w:val="006E534D"/>
    <w:rsid w:val="006E5BF9"/>
    <w:rsid w:val="00707D9A"/>
    <w:rsid w:val="0071028F"/>
    <w:rsid w:val="00714EF7"/>
    <w:rsid w:val="0073709A"/>
    <w:rsid w:val="00741A8B"/>
    <w:rsid w:val="00742FA5"/>
    <w:rsid w:val="007433FE"/>
    <w:rsid w:val="00761183"/>
    <w:rsid w:val="007679BE"/>
    <w:rsid w:val="0077274C"/>
    <w:rsid w:val="007736AF"/>
    <w:rsid w:val="00777E82"/>
    <w:rsid w:val="00780569"/>
    <w:rsid w:val="00783D6D"/>
    <w:rsid w:val="007851A1"/>
    <w:rsid w:val="00787B6E"/>
    <w:rsid w:val="00791C3D"/>
    <w:rsid w:val="007951F0"/>
    <w:rsid w:val="0079765E"/>
    <w:rsid w:val="007A0020"/>
    <w:rsid w:val="007A3F55"/>
    <w:rsid w:val="007A7B05"/>
    <w:rsid w:val="007B20DF"/>
    <w:rsid w:val="007B7669"/>
    <w:rsid w:val="007D2D63"/>
    <w:rsid w:val="007D31B3"/>
    <w:rsid w:val="007D4EAB"/>
    <w:rsid w:val="007E3B55"/>
    <w:rsid w:val="007F10B4"/>
    <w:rsid w:val="007F73B4"/>
    <w:rsid w:val="008030A3"/>
    <w:rsid w:val="00804C47"/>
    <w:rsid w:val="00806662"/>
    <w:rsid w:val="00806C8E"/>
    <w:rsid w:val="008152E4"/>
    <w:rsid w:val="00835F96"/>
    <w:rsid w:val="008372BE"/>
    <w:rsid w:val="00853B7F"/>
    <w:rsid w:val="00853E71"/>
    <w:rsid w:val="00854403"/>
    <w:rsid w:val="00856BDA"/>
    <w:rsid w:val="00861E9C"/>
    <w:rsid w:val="0086619E"/>
    <w:rsid w:val="00866A2F"/>
    <w:rsid w:val="008716AA"/>
    <w:rsid w:val="00871FF2"/>
    <w:rsid w:val="00875A4A"/>
    <w:rsid w:val="008B04AD"/>
    <w:rsid w:val="008B287D"/>
    <w:rsid w:val="008B39A0"/>
    <w:rsid w:val="008B46EA"/>
    <w:rsid w:val="008B50CB"/>
    <w:rsid w:val="008B5B80"/>
    <w:rsid w:val="008C49F7"/>
    <w:rsid w:val="008D4D5C"/>
    <w:rsid w:val="008E4462"/>
    <w:rsid w:val="008E7A24"/>
    <w:rsid w:val="008F126A"/>
    <w:rsid w:val="008F17E6"/>
    <w:rsid w:val="008F40B8"/>
    <w:rsid w:val="008F4D92"/>
    <w:rsid w:val="008F55A4"/>
    <w:rsid w:val="0091033F"/>
    <w:rsid w:val="00924274"/>
    <w:rsid w:val="00931C26"/>
    <w:rsid w:val="009524D1"/>
    <w:rsid w:val="009529B3"/>
    <w:rsid w:val="00957143"/>
    <w:rsid w:val="00963663"/>
    <w:rsid w:val="00964455"/>
    <w:rsid w:val="0097483C"/>
    <w:rsid w:val="00981DD8"/>
    <w:rsid w:val="00983575"/>
    <w:rsid w:val="009A00FC"/>
    <w:rsid w:val="009B01D2"/>
    <w:rsid w:val="009C2F5C"/>
    <w:rsid w:val="009C6875"/>
    <w:rsid w:val="009C74E7"/>
    <w:rsid w:val="009D58F5"/>
    <w:rsid w:val="009D6484"/>
    <w:rsid w:val="009E6768"/>
    <w:rsid w:val="009E79A4"/>
    <w:rsid w:val="009F1E13"/>
    <w:rsid w:val="009F47F6"/>
    <w:rsid w:val="009F480D"/>
    <w:rsid w:val="009F5D30"/>
    <w:rsid w:val="00A11D46"/>
    <w:rsid w:val="00A2060E"/>
    <w:rsid w:val="00A24874"/>
    <w:rsid w:val="00A25078"/>
    <w:rsid w:val="00A32987"/>
    <w:rsid w:val="00A46B80"/>
    <w:rsid w:val="00A46C94"/>
    <w:rsid w:val="00A65EDE"/>
    <w:rsid w:val="00A67F90"/>
    <w:rsid w:val="00A77124"/>
    <w:rsid w:val="00A773DB"/>
    <w:rsid w:val="00A85A7A"/>
    <w:rsid w:val="00A86E0E"/>
    <w:rsid w:val="00A92CB7"/>
    <w:rsid w:val="00A93DE9"/>
    <w:rsid w:val="00A94474"/>
    <w:rsid w:val="00A94C58"/>
    <w:rsid w:val="00A97A7E"/>
    <w:rsid w:val="00AA048C"/>
    <w:rsid w:val="00AA1402"/>
    <w:rsid w:val="00AA2084"/>
    <w:rsid w:val="00AA432C"/>
    <w:rsid w:val="00AB33BB"/>
    <w:rsid w:val="00AC363D"/>
    <w:rsid w:val="00AC641E"/>
    <w:rsid w:val="00AE21CA"/>
    <w:rsid w:val="00AE3831"/>
    <w:rsid w:val="00AF5209"/>
    <w:rsid w:val="00AF7D70"/>
    <w:rsid w:val="00B02E7D"/>
    <w:rsid w:val="00B062C8"/>
    <w:rsid w:val="00B228C1"/>
    <w:rsid w:val="00B36DF8"/>
    <w:rsid w:val="00B40BAA"/>
    <w:rsid w:val="00B52EB2"/>
    <w:rsid w:val="00B67EBD"/>
    <w:rsid w:val="00B8295C"/>
    <w:rsid w:val="00BA570F"/>
    <w:rsid w:val="00BA64BD"/>
    <w:rsid w:val="00BB2704"/>
    <w:rsid w:val="00BC48CA"/>
    <w:rsid w:val="00BC5083"/>
    <w:rsid w:val="00BC7B6B"/>
    <w:rsid w:val="00BD12B0"/>
    <w:rsid w:val="00BE5BD9"/>
    <w:rsid w:val="00BF0D4C"/>
    <w:rsid w:val="00BF0E2C"/>
    <w:rsid w:val="00BF4C94"/>
    <w:rsid w:val="00C07099"/>
    <w:rsid w:val="00C13462"/>
    <w:rsid w:val="00C23320"/>
    <w:rsid w:val="00C51D6F"/>
    <w:rsid w:val="00C657AB"/>
    <w:rsid w:val="00C73F08"/>
    <w:rsid w:val="00C75DBA"/>
    <w:rsid w:val="00C802D4"/>
    <w:rsid w:val="00C80E70"/>
    <w:rsid w:val="00C81B6C"/>
    <w:rsid w:val="00C84572"/>
    <w:rsid w:val="00CA3369"/>
    <w:rsid w:val="00CD1B9E"/>
    <w:rsid w:val="00CD2B5F"/>
    <w:rsid w:val="00CE21EA"/>
    <w:rsid w:val="00CE230C"/>
    <w:rsid w:val="00CE3518"/>
    <w:rsid w:val="00CF0876"/>
    <w:rsid w:val="00D10336"/>
    <w:rsid w:val="00D16FB8"/>
    <w:rsid w:val="00D215AE"/>
    <w:rsid w:val="00D27995"/>
    <w:rsid w:val="00D446D8"/>
    <w:rsid w:val="00D55AD9"/>
    <w:rsid w:val="00D561FB"/>
    <w:rsid w:val="00D6067E"/>
    <w:rsid w:val="00D6336B"/>
    <w:rsid w:val="00D750C6"/>
    <w:rsid w:val="00D80BA0"/>
    <w:rsid w:val="00D86627"/>
    <w:rsid w:val="00D911A4"/>
    <w:rsid w:val="00D92B21"/>
    <w:rsid w:val="00D9331D"/>
    <w:rsid w:val="00DA01A2"/>
    <w:rsid w:val="00DA726D"/>
    <w:rsid w:val="00DB3768"/>
    <w:rsid w:val="00DB4704"/>
    <w:rsid w:val="00DC45C1"/>
    <w:rsid w:val="00DD0C07"/>
    <w:rsid w:val="00DD26FB"/>
    <w:rsid w:val="00DD3689"/>
    <w:rsid w:val="00DD5AF0"/>
    <w:rsid w:val="00DE5D6C"/>
    <w:rsid w:val="00DF19D9"/>
    <w:rsid w:val="00DF5C28"/>
    <w:rsid w:val="00E03CCD"/>
    <w:rsid w:val="00E07249"/>
    <w:rsid w:val="00E166AD"/>
    <w:rsid w:val="00E270BD"/>
    <w:rsid w:val="00E3007C"/>
    <w:rsid w:val="00E343D2"/>
    <w:rsid w:val="00E45A7A"/>
    <w:rsid w:val="00E60BCB"/>
    <w:rsid w:val="00E61191"/>
    <w:rsid w:val="00E63248"/>
    <w:rsid w:val="00E634A1"/>
    <w:rsid w:val="00E67C34"/>
    <w:rsid w:val="00E93BC7"/>
    <w:rsid w:val="00EA2295"/>
    <w:rsid w:val="00EA5064"/>
    <w:rsid w:val="00EB2457"/>
    <w:rsid w:val="00EB2FB8"/>
    <w:rsid w:val="00EB5924"/>
    <w:rsid w:val="00EB5EA2"/>
    <w:rsid w:val="00EC65AF"/>
    <w:rsid w:val="00ED05CB"/>
    <w:rsid w:val="00EE3781"/>
    <w:rsid w:val="00EF35D8"/>
    <w:rsid w:val="00EF5953"/>
    <w:rsid w:val="00F205F0"/>
    <w:rsid w:val="00F24827"/>
    <w:rsid w:val="00F43472"/>
    <w:rsid w:val="00F50743"/>
    <w:rsid w:val="00F72297"/>
    <w:rsid w:val="00F73D70"/>
    <w:rsid w:val="00F83C9A"/>
    <w:rsid w:val="00F850C5"/>
    <w:rsid w:val="00F85A76"/>
    <w:rsid w:val="00FC14BC"/>
    <w:rsid w:val="00FF63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amichaelides@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NOV).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NOV).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757740282464692"/>
          <c:y val="8.1093764141551269E-2"/>
          <c:w val="0.76251435237262011"/>
          <c:h val="0.70722599330256153"/>
        </c:manualLayout>
      </c:layout>
      <c:lineChart>
        <c:grouping val="standard"/>
        <c:ser>
          <c:idx val="0"/>
          <c:order val="0"/>
          <c:tx>
            <c:strRef>
              <c:f>'PR&amp;12MONTHROLL-CHARTS'!$B$4</c:f>
              <c:strCache>
                <c:ptCount val="1"/>
                <c:pt idx="0">
                  <c:v>Total Car</c:v>
                </c:pt>
              </c:strCache>
            </c:strRef>
          </c:tx>
          <c:spPr>
            <a:ln>
              <a:solidFill>
                <a:schemeClr val="tx2">
                  <a:lumMod val="75000"/>
                </a:schemeClr>
              </a:solidFill>
            </a:ln>
          </c:spPr>
          <c:marker>
            <c:symbol val="none"/>
          </c:marker>
          <c:cat>
            <c:numRef>
              <c:f>'PR&amp;12MONTHROLL-CHARTS'!$C$3:$CH$3</c:f>
              <c:numCache>
                <c:formatCode>General</c:formatCode>
                <c:ptCount val="84"/>
                <c:pt idx="0">
                  <c:v>2008</c:v>
                </c:pt>
                <c:pt idx="12">
                  <c:v>2009</c:v>
                </c:pt>
                <c:pt idx="24">
                  <c:v>2010</c:v>
                </c:pt>
                <c:pt idx="36">
                  <c:v>2011</c:v>
                </c:pt>
                <c:pt idx="48">
                  <c:v>2012</c:v>
                </c:pt>
                <c:pt idx="60">
                  <c:v>2013</c:v>
                </c:pt>
                <c:pt idx="72">
                  <c:v>2014</c:v>
                </c:pt>
              </c:numCache>
            </c:numRef>
          </c:cat>
          <c:val>
            <c:numRef>
              <c:f>'PR&amp;12MONTHROLL-CHARTS'!$C$4:$CH$4</c:f>
              <c:numCache>
                <c:formatCode>General</c:formatCode>
                <c:ptCount val="84"/>
                <c:pt idx="0">
                  <c:v>1559.021</c:v>
                </c:pt>
                <c:pt idx="1">
                  <c:v>1589.1929999999998</c:v>
                </c:pt>
                <c:pt idx="2">
                  <c:v>1578.221</c:v>
                </c:pt>
                <c:pt idx="3">
                  <c:v>1610.53</c:v>
                </c:pt>
                <c:pt idx="4">
                  <c:v>1600.8989999999999</c:v>
                </c:pt>
                <c:pt idx="5">
                  <c:v>1594.8639999999998</c:v>
                </c:pt>
                <c:pt idx="6">
                  <c:v>1596.2080000000001</c:v>
                </c:pt>
                <c:pt idx="7">
                  <c:v>1578.866</c:v>
                </c:pt>
                <c:pt idx="8">
                  <c:v>1582.1889999999999</c:v>
                </c:pt>
                <c:pt idx="9">
                  <c:v>1544.019</c:v>
                </c:pt>
                <c:pt idx="10">
                  <c:v>1495.3869999999999</c:v>
                </c:pt>
                <c:pt idx="11">
                  <c:v>1446.6189999999999</c:v>
                </c:pt>
                <c:pt idx="12">
                  <c:v>1359.3789999999999</c:v>
                </c:pt>
                <c:pt idx="13">
                  <c:v>1273.3329999999999</c:v>
                </c:pt>
                <c:pt idx="14">
                  <c:v>1208.098</c:v>
                </c:pt>
                <c:pt idx="15">
                  <c:v>1123.6299999999999</c:v>
                </c:pt>
                <c:pt idx="16">
                  <c:v>1072.518</c:v>
                </c:pt>
                <c:pt idx="17">
                  <c:v>1032.768</c:v>
                </c:pt>
                <c:pt idx="18">
                  <c:v>1009.3649999999998</c:v>
                </c:pt>
                <c:pt idx="19">
                  <c:v>983.24400000000003</c:v>
                </c:pt>
                <c:pt idx="20">
                  <c:v>960.25400000000002</c:v>
                </c:pt>
                <c:pt idx="21">
                  <c:v>952.62300000000005</c:v>
                </c:pt>
                <c:pt idx="22">
                  <c:v>967.96699999999976</c:v>
                </c:pt>
                <c:pt idx="23">
                  <c:v>999.45999999999981</c:v>
                </c:pt>
                <c:pt idx="24">
                  <c:v>1039.2460000000001</c:v>
                </c:pt>
                <c:pt idx="25">
                  <c:v>1076.7239999999999</c:v>
                </c:pt>
                <c:pt idx="26">
                  <c:v>1132.5170000000001</c:v>
                </c:pt>
                <c:pt idx="27">
                  <c:v>1162.549</c:v>
                </c:pt>
                <c:pt idx="28">
                  <c:v>1199.1599999999999</c:v>
                </c:pt>
                <c:pt idx="29">
                  <c:v>1225.3799999999999</c:v>
                </c:pt>
                <c:pt idx="30">
                  <c:v>1214.5050000000001</c:v>
                </c:pt>
                <c:pt idx="31">
                  <c:v>1235.6499999999999</c:v>
                </c:pt>
                <c:pt idx="32">
                  <c:v>1242.5819999999999</c:v>
                </c:pt>
                <c:pt idx="33">
                  <c:v>1248.953</c:v>
                </c:pt>
                <c:pt idx="34">
                  <c:v>1261.4349999999999</c:v>
                </c:pt>
                <c:pt idx="35">
                  <c:v>1270.444</c:v>
                </c:pt>
                <c:pt idx="36">
                  <c:v>1279.4490000000001</c:v>
                </c:pt>
                <c:pt idx="37">
                  <c:v>1294.1769999999999</c:v>
                </c:pt>
                <c:pt idx="38">
                  <c:v>1311.607</c:v>
                </c:pt>
                <c:pt idx="39">
                  <c:v>1299.6229999999998</c:v>
                </c:pt>
                <c:pt idx="40">
                  <c:v>1294.538</c:v>
                </c:pt>
                <c:pt idx="41">
                  <c:v>1296.636</c:v>
                </c:pt>
                <c:pt idx="42">
                  <c:v>1297.9290000000001</c:v>
                </c:pt>
                <c:pt idx="43">
                  <c:v>1306.297</c:v>
                </c:pt>
                <c:pt idx="44">
                  <c:v>1315.8</c:v>
                </c:pt>
                <c:pt idx="45">
                  <c:v>1331.6559999999999</c:v>
                </c:pt>
                <c:pt idx="46">
                  <c:v>1342.337</c:v>
                </c:pt>
                <c:pt idx="47">
                  <c:v>1343.81</c:v>
                </c:pt>
                <c:pt idx="48">
                  <c:v>1361.165</c:v>
                </c:pt>
                <c:pt idx="49">
                  <c:v>1387.665</c:v>
                </c:pt>
                <c:pt idx="50">
                  <c:v>1388.0050000000001</c:v>
                </c:pt>
                <c:pt idx="51">
                  <c:v>1396.0509999999999</c:v>
                </c:pt>
                <c:pt idx="52">
                  <c:v>1437.9170000000001</c:v>
                </c:pt>
                <c:pt idx="53">
                  <c:v>1437.0739999999998</c:v>
                </c:pt>
                <c:pt idx="54">
                  <c:v>1459.3709999999999</c:v>
                </c:pt>
                <c:pt idx="55">
                  <c:v>1451.6979999999999</c:v>
                </c:pt>
                <c:pt idx="56">
                  <c:v>1443.876</c:v>
                </c:pt>
                <c:pt idx="57">
                  <c:v>1452.25</c:v>
                </c:pt>
                <c:pt idx="58">
                  <c:v>1458.9639999999999</c:v>
                </c:pt>
                <c:pt idx="59">
                  <c:v>1464.9060000000004</c:v>
                </c:pt>
                <c:pt idx="60">
                  <c:v>1466.4050000000004</c:v>
                </c:pt>
                <c:pt idx="61">
                  <c:v>1465.3799999999999</c:v>
                </c:pt>
                <c:pt idx="62">
                  <c:v>1456.8969999999999</c:v>
                </c:pt>
                <c:pt idx="63">
                  <c:v>1472.578</c:v>
                </c:pt>
                <c:pt idx="64">
                  <c:v>1460.787</c:v>
                </c:pt>
                <c:pt idx="65">
                  <c:v>1473.1799999999998</c:v>
                </c:pt>
                <c:pt idx="66">
                  <c:v>1481.7349999999999</c:v>
                </c:pt>
                <c:pt idx="67">
                  <c:v>1494.44</c:v>
                </c:pt>
                <c:pt idx="68">
                  <c:v>1507.2670000000001</c:v>
                </c:pt>
                <c:pt idx="69">
                  <c:v>1531.1369999999999</c:v>
                </c:pt>
                <c:pt idx="70">
                  <c:v>1525.9360000000001</c:v>
                </c:pt>
                <c:pt idx="71">
                  <c:v>1509.7619999999999</c:v>
                </c:pt>
                <c:pt idx="72">
                  <c:v>1509.6279999999999</c:v>
                </c:pt>
                <c:pt idx="73">
                  <c:v>1505.9</c:v>
                </c:pt>
                <c:pt idx="74">
                  <c:v>1521.1489999999999</c:v>
                </c:pt>
                <c:pt idx="75">
                  <c:v>1544.5529999999999</c:v>
                </c:pt>
                <c:pt idx="76">
                  <c:v>1531.8529999999998</c:v>
                </c:pt>
                <c:pt idx="77">
                  <c:v>1536.6859999999999</c:v>
                </c:pt>
                <c:pt idx="78">
                  <c:v>1540.31</c:v>
                </c:pt>
                <c:pt idx="79">
                  <c:v>1520.0929999999998</c:v>
                </c:pt>
                <c:pt idx="80">
                  <c:v>1516.105</c:v>
                </c:pt>
                <c:pt idx="81">
                  <c:v>1505.2670000000001</c:v>
                </c:pt>
                <c:pt idx="82">
                  <c:v>1504.99</c:v>
                </c:pt>
              </c:numCache>
            </c:numRef>
          </c:val>
        </c:ser>
        <c:ser>
          <c:idx val="1"/>
          <c:order val="1"/>
          <c:tx>
            <c:strRef>
              <c:f>'PR&amp;12MONTHROLL-CHARTS'!$B$5</c:f>
              <c:strCache>
                <c:ptCount val="1"/>
                <c:pt idx="0">
                  <c:v>Car Exports</c:v>
                </c:pt>
              </c:strCache>
            </c:strRef>
          </c:tx>
          <c:spPr>
            <a:ln>
              <a:solidFill>
                <a:schemeClr val="tx2">
                  <a:lumMod val="40000"/>
                  <a:lumOff val="60000"/>
                </a:schemeClr>
              </a:solidFill>
            </a:ln>
          </c:spPr>
          <c:marker>
            <c:symbol val="none"/>
          </c:marker>
          <c:cat>
            <c:numRef>
              <c:f>'PR&amp;12MONTHROLL-CHARTS'!$C$3:$CH$3</c:f>
              <c:numCache>
                <c:formatCode>General</c:formatCode>
                <c:ptCount val="84"/>
                <c:pt idx="0">
                  <c:v>2008</c:v>
                </c:pt>
                <c:pt idx="12">
                  <c:v>2009</c:v>
                </c:pt>
                <c:pt idx="24">
                  <c:v>2010</c:v>
                </c:pt>
                <c:pt idx="36">
                  <c:v>2011</c:v>
                </c:pt>
                <c:pt idx="48">
                  <c:v>2012</c:v>
                </c:pt>
                <c:pt idx="60">
                  <c:v>2013</c:v>
                </c:pt>
                <c:pt idx="72">
                  <c:v>2014</c:v>
                </c:pt>
              </c:numCache>
            </c:numRef>
          </c:cat>
          <c:val>
            <c:numRef>
              <c:f>'PR&amp;12MONTHROLL-CHARTS'!$C$5:$CH$5</c:f>
              <c:numCache>
                <c:formatCode>General</c:formatCode>
                <c:ptCount val="84"/>
                <c:pt idx="0">
                  <c:v>1202.5839999999998</c:v>
                </c:pt>
                <c:pt idx="1">
                  <c:v>1228.625</c:v>
                </c:pt>
                <c:pt idx="2">
                  <c:v>1226.4100000000001</c:v>
                </c:pt>
                <c:pt idx="3">
                  <c:v>1252.585</c:v>
                </c:pt>
                <c:pt idx="4">
                  <c:v>1242.4749999999999</c:v>
                </c:pt>
                <c:pt idx="5">
                  <c:v>1234.6959999999999</c:v>
                </c:pt>
                <c:pt idx="6">
                  <c:v>1234.9680000000001</c:v>
                </c:pt>
                <c:pt idx="7">
                  <c:v>1225.3579999999999</c:v>
                </c:pt>
                <c:pt idx="8">
                  <c:v>1231.2439999999999</c:v>
                </c:pt>
                <c:pt idx="9">
                  <c:v>1201.3009999999999</c:v>
                </c:pt>
                <c:pt idx="10">
                  <c:v>1165.7170000000001</c:v>
                </c:pt>
                <c:pt idx="11">
                  <c:v>1128.586</c:v>
                </c:pt>
                <c:pt idx="12">
                  <c:v>1067.8409999999999</c:v>
                </c:pt>
                <c:pt idx="13">
                  <c:v>1003.4599999999998</c:v>
                </c:pt>
                <c:pt idx="14">
                  <c:v>951.97</c:v>
                </c:pt>
                <c:pt idx="15">
                  <c:v>887.52599999999973</c:v>
                </c:pt>
                <c:pt idx="16">
                  <c:v>848.56499999999983</c:v>
                </c:pt>
                <c:pt idx="17">
                  <c:v>819.971</c:v>
                </c:pt>
                <c:pt idx="18">
                  <c:v>801.24800000000005</c:v>
                </c:pt>
                <c:pt idx="19">
                  <c:v>778.755</c:v>
                </c:pt>
                <c:pt idx="20">
                  <c:v>743.75099999999998</c:v>
                </c:pt>
                <c:pt idx="21">
                  <c:v>737.03599999999972</c:v>
                </c:pt>
                <c:pt idx="22">
                  <c:v>742.12099999999998</c:v>
                </c:pt>
                <c:pt idx="23">
                  <c:v>762.23400000000004</c:v>
                </c:pt>
                <c:pt idx="24">
                  <c:v>784.01499999999999</c:v>
                </c:pt>
                <c:pt idx="25">
                  <c:v>807.88</c:v>
                </c:pt>
                <c:pt idx="26">
                  <c:v>846.79900000000021</c:v>
                </c:pt>
                <c:pt idx="27">
                  <c:v>862.95899999999972</c:v>
                </c:pt>
                <c:pt idx="28">
                  <c:v>883.37900000000002</c:v>
                </c:pt>
                <c:pt idx="29">
                  <c:v>895.63599999999997</c:v>
                </c:pt>
                <c:pt idx="30">
                  <c:v>886.52199999999982</c:v>
                </c:pt>
                <c:pt idx="31">
                  <c:v>905.96299999999962</c:v>
                </c:pt>
                <c:pt idx="32">
                  <c:v>922.69299999999998</c:v>
                </c:pt>
                <c:pt idx="33">
                  <c:v>928.33599999999979</c:v>
                </c:pt>
                <c:pt idx="34">
                  <c:v>946.99900000000002</c:v>
                </c:pt>
                <c:pt idx="35">
                  <c:v>961.42</c:v>
                </c:pt>
                <c:pt idx="36">
                  <c:v>982.45899999999972</c:v>
                </c:pt>
                <c:pt idx="37">
                  <c:v>1005.0119999999997</c:v>
                </c:pt>
                <c:pt idx="38">
                  <c:v>1029.3819999999998</c:v>
                </c:pt>
                <c:pt idx="39">
                  <c:v>1030.5829999999999</c:v>
                </c:pt>
                <c:pt idx="40">
                  <c:v>1038.749</c:v>
                </c:pt>
                <c:pt idx="41">
                  <c:v>1051.087</c:v>
                </c:pt>
                <c:pt idx="42">
                  <c:v>1062.3429999999998</c:v>
                </c:pt>
                <c:pt idx="43">
                  <c:v>1072.626</c:v>
                </c:pt>
                <c:pt idx="44">
                  <c:v>1092.9190000000001</c:v>
                </c:pt>
                <c:pt idx="45">
                  <c:v>1111.2160000000001</c:v>
                </c:pt>
                <c:pt idx="46">
                  <c:v>1124.2280000000001</c:v>
                </c:pt>
                <c:pt idx="47">
                  <c:v>1124.6759999999999</c:v>
                </c:pt>
                <c:pt idx="48">
                  <c:v>1136.7739999999999</c:v>
                </c:pt>
                <c:pt idx="49">
                  <c:v>1156.9939999999999</c:v>
                </c:pt>
                <c:pt idx="50">
                  <c:v>1154.95</c:v>
                </c:pt>
                <c:pt idx="51">
                  <c:v>1162.258</c:v>
                </c:pt>
                <c:pt idx="52">
                  <c:v>1199.8119999999999</c:v>
                </c:pt>
                <c:pt idx="53">
                  <c:v>1199.9050000000004</c:v>
                </c:pt>
                <c:pt idx="54">
                  <c:v>1217.319</c:v>
                </c:pt>
                <c:pt idx="55">
                  <c:v>1211.8429999999998</c:v>
                </c:pt>
                <c:pt idx="56">
                  <c:v>1201.8609999999999</c:v>
                </c:pt>
                <c:pt idx="57">
                  <c:v>1207.1529999999998</c:v>
                </c:pt>
                <c:pt idx="58">
                  <c:v>1208.6089999999999</c:v>
                </c:pt>
                <c:pt idx="59">
                  <c:v>1211.788</c:v>
                </c:pt>
                <c:pt idx="60">
                  <c:v>1207.7360000000001</c:v>
                </c:pt>
                <c:pt idx="61">
                  <c:v>1196.6879999999999</c:v>
                </c:pt>
                <c:pt idx="62">
                  <c:v>1187.8029999999999</c:v>
                </c:pt>
                <c:pt idx="63">
                  <c:v>1194.6219999999998</c:v>
                </c:pt>
                <c:pt idx="64">
                  <c:v>1179.846</c:v>
                </c:pt>
                <c:pt idx="65">
                  <c:v>1188.1099999999999</c:v>
                </c:pt>
                <c:pt idx="66">
                  <c:v>1188.787</c:v>
                </c:pt>
                <c:pt idx="67">
                  <c:v>1197.9590000000001</c:v>
                </c:pt>
                <c:pt idx="68">
                  <c:v>1207.6539999999998</c:v>
                </c:pt>
                <c:pt idx="69">
                  <c:v>1221.018</c:v>
                </c:pt>
                <c:pt idx="70">
                  <c:v>1215.625</c:v>
                </c:pt>
                <c:pt idx="71">
                  <c:v>1201.395</c:v>
                </c:pt>
                <c:pt idx="72">
                  <c:v>1202.7909999999999</c:v>
                </c:pt>
                <c:pt idx="73">
                  <c:v>1206.4010000000001</c:v>
                </c:pt>
                <c:pt idx="74">
                  <c:v>1216.53</c:v>
                </c:pt>
                <c:pt idx="75">
                  <c:v>1235.2819999999999</c:v>
                </c:pt>
                <c:pt idx="76">
                  <c:v>1224.7049999999999</c:v>
                </c:pt>
                <c:pt idx="77">
                  <c:v>1225.2180000000001</c:v>
                </c:pt>
                <c:pt idx="78">
                  <c:v>1228.1479999999999</c:v>
                </c:pt>
                <c:pt idx="79">
                  <c:v>1209.9010000000001</c:v>
                </c:pt>
                <c:pt idx="80">
                  <c:v>1200.788</c:v>
                </c:pt>
                <c:pt idx="81">
                  <c:v>1186.6899999999998</c:v>
                </c:pt>
                <c:pt idx="82">
                  <c:v>1179.499</c:v>
                </c:pt>
              </c:numCache>
            </c:numRef>
          </c:val>
        </c:ser>
        <c:dLbls/>
        <c:marker val="1"/>
        <c:axId val="39722368"/>
        <c:axId val="39732352"/>
      </c:lineChart>
      <c:catAx>
        <c:axId val="39722368"/>
        <c:scaling>
          <c:orientation val="minMax"/>
        </c:scaling>
        <c:axPos val="b"/>
        <c:numFmt formatCode="General" sourceLinked="1"/>
        <c:majorTickMark val="none"/>
        <c:tickLblPos val="nextTo"/>
        <c:txPr>
          <a:bodyPr rot="-1980000" vert="horz"/>
          <a:lstStyle/>
          <a:p>
            <a:pPr>
              <a:defRPr sz="1000" b="0" i="0" u="none" strike="noStrike" baseline="0">
                <a:solidFill>
                  <a:srgbClr val="000000"/>
                </a:solidFill>
                <a:latin typeface="Arial"/>
                <a:ea typeface="Arial"/>
                <a:cs typeface="Arial"/>
              </a:defRPr>
            </a:pPr>
            <a:endParaRPr lang="en-US"/>
          </a:p>
        </c:txPr>
        <c:crossAx val="39732352"/>
        <c:crosses val="autoZero"/>
        <c:auto val="1"/>
        <c:lblAlgn val="ctr"/>
        <c:lblOffset val="100"/>
        <c:tickMarkSkip val="12"/>
      </c:catAx>
      <c:valAx>
        <c:axId val="39732352"/>
        <c:scaling>
          <c:orientation val="minMax"/>
          <c:min val="600"/>
        </c:scaling>
        <c:axPos val="l"/>
        <c:majorGridlines/>
        <c:title>
          <c:tx>
            <c:rich>
              <a:bodyPr/>
              <a:lstStyle/>
              <a:p>
                <a:pPr>
                  <a:defRPr sz="1000" b="0" i="0" u="none" strike="noStrike" baseline="0">
                    <a:solidFill>
                      <a:srgbClr val="000000"/>
                    </a:solidFill>
                    <a:latin typeface="Arial"/>
                    <a:ea typeface="Arial"/>
                    <a:cs typeface="Arial"/>
                  </a:defRPr>
                </a:pPr>
                <a:r>
                  <a:rPr lang="en-GB" b="1"/>
                  <a:t>Millions</a:t>
                </a:r>
              </a:p>
            </c:rich>
          </c:tx>
          <c:layout>
            <c:manualLayout>
              <c:xMode val="edge"/>
              <c:yMode val="edge"/>
              <c:x val="2.5495741603728118E-2"/>
              <c:y val="0.33921802878088536"/>
            </c:manualLayout>
          </c:layout>
        </c:title>
        <c:numFmt formatCode="General" sourceLinked="1"/>
        <c:majorTickMark val="none"/>
        <c:tickLblPos val="nextTo"/>
        <c:txPr>
          <a:bodyPr rot="0" vert="horz"/>
          <a:lstStyle/>
          <a:p>
            <a:pPr>
              <a:defRPr sz="1000" b="0" i="0" u="none" strike="noStrike" baseline="0">
                <a:solidFill>
                  <a:srgbClr val="000000"/>
                </a:solidFill>
                <a:latin typeface="Arial"/>
                <a:ea typeface="Arial"/>
                <a:cs typeface="Arial"/>
              </a:defRPr>
            </a:pPr>
            <a:endParaRPr lang="en-US"/>
          </a:p>
        </c:txPr>
        <c:crossAx val="39722368"/>
        <c:crosses val="autoZero"/>
        <c:crossBetween val="between"/>
        <c:dispUnits>
          <c:builtInUnit val="thousands"/>
        </c:dispUnits>
      </c:valAx>
    </c:plotArea>
    <c:legend>
      <c:legendPos val="r"/>
      <c:layout>
        <c:manualLayout>
          <c:xMode val="edge"/>
          <c:yMode val="edge"/>
          <c:x val="0.62853679261315365"/>
          <c:y val="0.61476061182007447"/>
          <c:w val="0.27025319854820129"/>
          <c:h val="0.15470721332247275"/>
        </c:manualLayout>
      </c:layout>
      <c:txPr>
        <a:bodyPr/>
        <a:lstStyle/>
        <a:p>
          <a:pPr>
            <a:defRPr sz="595"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3683570904119299"/>
          <c:y val="5.1816321124997011E-2"/>
          <c:w val="0.83795359985146556"/>
          <c:h val="0.80752100941510763"/>
        </c:manualLayout>
      </c:layout>
      <c:barChart>
        <c:barDir val="col"/>
        <c:grouping val="stacked"/>
        <c:ser>
          <c:idx val="0"/>
          <c:order val="0"/>
          <c:tx>
            <c:strRef>
              <c:f>'PR chart 2 A'!$B$137</c:f>
              <c:strCache>
                <c:ptCount val="1"/>
                <c:pt idx="0">
                  <c:v>Exports</c:v>
                </c:pt>
              </c:strCache>
            </c:strRef>
          </c:tx>
          <c:cat>
            <c:numRef>
              <c:f>'PR chart 2 A'!$C$136:$G$136</c:f>
              <c:numCache>
                <c:formatCode>General</c:formatCode>
                <c:ptCount val="5"/>
                <c:pt idx="0">
                  <c:v>2008</c:v>
                </c:pt>
                <c:pt idx="1">
                  <c:v>2009</c:v>
                </c:pt>
                <c:pt idx="2">
                  <c:v>2012</c:v>
                </c:pt>
                <c:pt idx="3">
                  <c:v>2013</c:v>
                </c:pt>
                <c:pt idx="4">
                  <c:v>2014</c:v>
                </c:pt>
              </c:numCache>
            </c:numRef>
          </c:cat>
          <c:val>
            <c:numRef>
              <c:f>'PR chart 2 A'!$C$137:$G$137</c:f>
              <c:numCache>
                <c:formatCode>General</c:formatCode>
                <c:ptCount val="5"/>
                <c:pt idx="0">
                  <c:v>1082026</c:v>
                </c:pt>
                <c:pt idx="1">
                  <c:v>695561</c:v>
                </c:pt>
                <c:pt idx="2">
                  <c:v>1127067</c:v>
                </c:pt>
                <c:pt idx="3">
                  <c:v>1130904</c:v>
                </c:pt>
                <c:pt idx="4">
                  <c:v>1109008</c:v>
                </c:pt>
              </c:numCache>
            </c:numRef>
          </c:val>
        </c:ser>
        <c:ser>
          <c:idx val="13"/>
          <c:order val="1"/>
          <c:tx>
            <c:strRef>
              <c:f>'PR chart 2 A'!$B$138</c:f>
              <c:strCache>
                <c:ptCount val="1"/>
                <c:pt idx="0">
                  <c:v>Home</c:v>
                </c:pt>
              </c:strCache>
            </c:strRef>
          </c:tx>
          <c:spPr>
            <a:solidFill>
              <a:schemeClr val="bg1">
                <a:lumMod val="75000"/>
              </a:schemeClr>
            </a:solidFill>
            <a:ln w="31750">
              <a:noFill/>
              <a:prstDash val="solid"/>
            </a:ln>
          </c:spPr>
          <c:cat>
            <c:numRef>
              <c:f>'PR chart 2 A'!$C$136:$G$136</c:f>
              <c:numCache>
                <c:formatCode>General</c:formatCode>
                <c:ptCount val="5"/>
                <c:pt idx="0">
                  <c:v>2008</c:v>
                </c:pt>
                <c:pt idx="1">
                  <c:v>2009</c:v>
                </c:pt>
                <c:pt idx="2">
                  <c:v>2012</c:v>
                </c:pt>
                <c:pt idx="3">
                  <c:v>2013</c:v>
                </c:pt>
                <c:pt idx="4">
                  <c:v>2014</c:v>
                </c:pt>
              </c:numCache>
            </c:numRef>
          </c:cat>
          <c:val>
            <c:numRef>
              <c:f>'PR chart 2 A'!$C$138:$G$138</c:f>
              <c:numCache>
                <c:formatCode>General</c:formatCode>
                <c:ptCount val="5"/>
                <c:pt idx="0">
                  <c:v>310770</c:v>
                </c:pt>
                <c:pt idx="1">
                  <c:v>218583</c:v>
                </c:pt>
                <c:pt idx="2">
                  <c:v>236099</c:v>
                </c:pt>
                <c:pt idx="3">
                  <c:v>293292</c:v>
                </c:pt>
                <c:pt idx="4">
                  <c:v>310416</c:v>
                </c:pt>
              </c:numCache>
            </c:numRef>
          </c:val>
        </c:ser>
        <c:dLbls/>
        <c:gapWidth val="35"/>
        <c:overlap val="100"/>
        <c:axId val="39775232"/>
        <c:axId val="39060224"/>
      </c:barChart>
      <c:catAx>
        <c:axId val="39775232"/>
        <c:scaling>
          <c:orientation val="minMax"/>
        </c:scaling>
        <c:axPos val="b"/>
        <c:numFmt formatCode="General" sourceLinked="0"/>
        <c:tickLblPos val="nextTo"/>
        <c:spPr>
          <a:ln w="3175">
            <a:solidFill>
              <a:srgbClr val="000000"/>
            </a:solidFill>
            <a:prstDash val="solid"/>
          </a:ln>
        </c:spPr>
        <c:txPr>
          <a:bodyPr rot="-1740000" vert="horz"/>
          <a:lstStyle/>
          <a:p>
            <a:pPr>
              <a:defRPr/>
            </a:pPr>
            <a:endParaRPr lang="en-US"/>
          </a:p>
        </c:txPr>
        <c:crossAx val="39060224"/>
        <c:crosses val="autoZero"/>
        <c:auto val="1"/>
        <c:lblAlgn val="ctr"/>
        <c:lblOffset val="100"/>
        <c:tickLblSkip val="1"/>
        <c:tickMarkSkip val="1"/>
      </c:catAx>
      <c:valAx>
        <c:axId val="3906022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900000" vert="horz"/>
          <a:lstStyle/>
          <a:p>
            <a:pPr>
              <a:defRPr b="1">
                <a:solidFill>
                  <a:sysClr val="windowText" lastClr="000000"/>
                </a:solidFill>
              </a:defRPr>
            </a:pPr>
            <a:endParaRPr lang="en-US"/>
          </a:p>
        </c:txPr>
        <c:crossAx val="39775232"/>
        <c:crosses val="autoZero"/>
        <c:crossBetween val="between"/>
        <c:dispUnits>
          <c:builtInUnit val="millions"/>
          <c:dispUnitsLbl>
            <c:layout>
              <c:manualLayout>
                <c:xMode val="edge"/>
                <c:yMode val="edge"/>
                <c:x val="8.1903266914786776E-3"/>
                <c:y val="0.32412290206843425"/>
              </c:manualLayout>
            </c:layout>
            <c:tx>
              <c:rich>
                <a:bodyPr/>
                <a:lstStyle/>
                <a:p>
                  <a:pPr>
                    <a:defRPr/>
                  </a:pPr>
                  <a:r>
                    <a:rPr lang="en-GB" sz="1000" b="1" i="0"/>
                    <a:t>Millions</a:t>
                  </a:r>
                </a:p>
              </c:rich>
            </c:tx>
          </c:dispUnitsLbl>
        </c:dispUnits>
      </c:valAx>
      <c:spPr>
        <a:noFill/>
        <a:ln w="12700">
          <a:solidFill>
            <a:srgbClr val="808080"/>
          </a:solidFill>
          <a:prstDash val="solid"/>
        </a:ln>
      </c:spPr>
    </c:plotArea>
    <c:legend>
      <c:legendPos val="r"/>
      <c:layout>
        <c:manualLayout>
          <c:xMode val="edge"/>
          <c:yMode val="edge"/>
          <c:x val="0.29692957871791475"/>
          <c:y val="8.0130992800211895E-2"/>
          <c:w val="0.1713402179867704"/>
          <c:h val="0.20016903850321469"/>
        </c:manualLayout>
      </c:layout>
      <c:spPr>
        <a:solidFill>
          <a:srgbClr val="FFFFFF"/>
        </a:solidFill>
        <a:ln w="3175">
          <a:solidFill>
            <a:srgbClr val="000000"/>
          </a:solidFill>
          <a:prstDash val="solid"/>
        </a:ln>
      </c:spPr>
    </c:legend>
    <c:plotVisOnly val="1"/>
    <c:dispBlanksAs val="zero"/>
  </c:chart>
  <c:spPr>
    <a:solidFill>
      <a:srgbClr val="FFFFFF"/>
    </a:solidFill>
    <a:ln w="3175">
      <a:noFill/>
      <a:prstDash val="solid"/>
    </a:ln>
  </c:spPr>
  <c:txPr>
    <a:bodyPr/>
    <a:lstStyle/>
    <a:p>
      <a:pPr>
        <a:defRPr sz="800" b="0" i="1"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B030C-813D-4EA9-95F2-1FFBC873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Lucy BIelby</cp:lastModifiedBy>
  <cp:revision>5</cp:revision>
  <cp:lastPrinted>2014-12-17T09:01:00Z</cp:lastPrinted>
  <dcterms:created xsi:type="dcterms:W3CDTF">2014-12-17T08:56:00Z</dcterms:created>
  <dcterms:modified xsi:type="dcterms:W3CDTF">2014-12-17T09:32:00Z</dcterms:modified>
</cp:coreProperties>
</file>