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Pr="001C51CC" w:rsidRDefault="001C51CC" w:rsidP="00C078E2">
      <w:pPr>
        <w:pStyle w:val="Heading1"/>
        <w:ind w:right="142"/>
        <w:rPr>
          <w:rFonts w:ascii="Arial" w:eastAsiaTheme="minorEastAsia" w:hAnsi="Arial" w:cs="Arial"/>
          <w:bCs/>
          <w:color w:val="1074CB"/>
          <w:sz w:val="10"/>
          <w:szCs w:val="10"/>
        </w:rPr>
      </w:pPr>
    </w:p>
    <w:p w:rsidR="00C078E2" w:rsidRPr="00176BC5" w:rsidRDefault="00C078E2" w:rsidP="00C078E2">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C078E2" w:rsidRDefault="004E5D68" w:rsidP="00C078E2">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AA635D">
        <w:rPr>
          <w:rFonts w:ascii="Arial" w:eastAsiaTheme="minorEastAsia" w:hAnsi="Arial" w:cs="Arial"/>
          <w:b w:val="0"/>
          <w:bCs/>
          <w:color w:val="1074CB"/>
          <w:sz w:val="44"/>
          <w:szCs w:val="44"/>
        </w:rPr>
        <w:t>5</w:t>
      </w:r>
      <w:r>
        <w:rPr>
          <w:rFonts w:ascii="Arial" w:eastAsiaTheme="minorEastAsia" w:hAnsi="Arial" w:cs="Arial"/>
          <w:b w:val="0"/>
          <w:bCs/>
          <w:color w:val="1074CB"/>
          <w:sz w:val="44"/>
          <w:szCs w:val="44"/>
        </w:rPr>
        <w:t xml:space="preserve"> </w:t>
      </w:r>
      <w:r w:rsidR="00AA635D">
        <w:rPr>
          <w:rFonts w:ascii="Arial" w:eastAsiaTheme="minorEastAsia" w:hAnsi="Arial" w:cs="Arial"/>
          <w:b w:val="0"/>
          <w:bCs/>
          <w:color w:val="1074CB"/>
          <w:sz w:val="44"/>
          <w:szCs w:val="44"/>
        </w:rPr>
        <w:t>November</w:t>
      </w:r>
      <w:r w:rsidR="00C078E2">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44"/>
          <w:szCs w:val="44"/>
        </w:rPr>
        <w:t>201</w:t>
      </w:r>
      <w:r w:rsidR="00C078E2">
        <w:rPr>
          <w:rFonts w:ascii="Arial" w:eastAsiaTheme="minorEastAsia" w:hAnsi="Arial" w:cs="Arial"/>
          <w:b w:val="0"/>
          <w:bCs/>
          <w:color w:val="1074CB"/>
          <w:sz w:val="44"/>
          <w:szCs w:val="44"/>
        </w:rPr>
        <w:t>2</w:t>
      </w:r>
      <w:r w:rsidR="00C078E2" w:rsidRPr="00176BC5">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32"/>
          <w:szCs w:val="32"/>
        </w:rPr>
        <w:t xml:space="preserve">(data for </w:t>
      </w:r>
      <w:r w:rsidR="00AA635D">
        <w:rPr>
          <w:rFonts w:ascii="Arial" w:eastAsiaTheme="minorEastAsia" w:hAnsi="Arial" w:cs="Arial"/>
          <w:b w:val="0"/>
          <w:bCs/>
          <w:color w:val="1074CB"/>
          <w:sz w:val="32"/>
          <w:szCs w:val="32"/>
        </w:rPr>
        <w:t>October</w:t>
      </w:r>
      <w:r w:rsidR="00C078E2">
        <w:rPr>
          <w:rFonts w:ascii="Arial" w:eastAsiaTheme="minorEastAsia" w:hAnsi="Arial" w:cs="Arial"/>
          <w:b w:val="0"/>
          <w:bCs/>
          <w:color w:val="1074CB"/>
          <w:sz w:val="32"/>
          <w:szCs w:val="32"/>
        </w:rPr>
        <w:t xml:space="preserve"> 2012</w:t>
      </w:r>
      <w:r w:rsidR="00C078E2" w:rsidRPr="00176BC5">
        <w:rPr>
          <w:rFonts w:ascii="Arial" w:eastAsiaTheme="minorEastAsia" w:hAnsi="Arial" w:cs="Arial"/>
          <w:b w:val="0"/>
          <w:bCs/>
          <w:color w:val="1074CB"/>
          <w:sz w:val="32"/>
          <w:szCs w:val="32"/>
        </w:rPr>
        <w:t>)</w:t>
      </w:r>
    </w:p>
    <w:p w:rsidR="00C078E2" w:rsidRPr="009F32FF" w:rsidRDefault="00C078E2" w:rsidP="00C078E2">
      <w:pPr>
        <w:rPr>
          <w:sz w:val="8"/>
          <w:szCs w:val="8"/>
        </w:rPr>
      </w:pPr>
    </w:p>
    <w:p w:rsidR="00C078E2" w:rsidRPr="001A5B1A" w:rsidRDefault="00C078E2" w:rsidP="00C078E2">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2F380D">
        <w:rPr>
          <w:rFonts w:ascii="Arial" w:eastAsiaTheme="minorEastAsia" w:hAnsi="Arial" w:cs="Arial"/>
          <w:b w:val="0"/>
          <w:bCs/>
          <w:color w:val="1074CB"/>
        </w:rPr>
        <w:t>5078</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C078E2" w:rsidRPr="00176BC5" w:rsidRDefault="00F33CFA" w:rsidP="00C078E2">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28" style="position:absolute;z-index:251660288" from=".55pt,3.1pt" to="455.9pt,3.1pt" strokecolor="#1074cb"/>
        </w:pict>
      </w:r>
    </w:p>
    <w:p w:rsidR="00C078E2" w:rsidRPr="00176BC5" w:rsidRDefault="000316AE" w:rsidP="00C078E2">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UK auto</w:t>
      </w:r>
      <w:r w:rsidR="002006D0">
        <w:rPr>
          <w:rFonts w:ascii="Arial" w:eastAsiaTheme="minorEastAsia" w:hAnsi="Arial" w:cs="Arial"/>
          <w:bCs/>
          <w:color w:val="1074CB"/>
          <w:sz w:val="36"/>
          <w:szCs w:val="36"/>
        </w:rPr>
        <w:t xml:space="preserve"> </w:t>
      </w:r>
      <w:r>
        <w:rPr>
          <w:rFonts w:ascii="Arial" w:eastAsiaTheme="minorEastAsia" w:hAnsi="Arial" w:cs="Arial"/>
          <w:bCs/>
          <w:color w:val="1074CB"/>
          <w:sz w:val="36"/>
          <w:szCs w:val="36"/>
        </w:rPr>
        <w:t xml:space="preserve">manufacturing </w:t>
      </w:r>
      <w:r w:rsidR="00A502AB">
        <w:rPr>
          <w:rFonts w:ascii="Arial" w:eastAsiaTheme="minorEastAsia" w:hAnsi="Arial" w:cs="Arial"/>
          <w:bCs/>
          <w:color w:val="1074CB"/>
          <w:sz w:val="36"/>
          <w:szCs w:val="36"/>
        </w:rPr>
        <w:t>regains</w:t>
      </w:r>
      <w:r>
        <w:rPr>
          <w:rFonts w:ascii="Arial" w:eastAsiaTheme="minorEastAsia" w:hAnsi="Arial" w:cs="Arial"/>
          <w:bCs/>
          <w:color w:val="1074CB"/>
          <w:sz w:val="36"/>
          <w:szCs w:val="36"/>
        </w:rPr>
        <w:t xml:space="preserve"> strength in October</w:t>
      </w:r>
    </w:p>
    <w:p w:rsidR="00C078E2" w:rsidRPr="00C078E2" w:rsidRDefault="00C078E2" w:rsidP="00C078E2">
      <w:pPr>
        <w:ind w:right="283"/>
        <w:rPr>
          <w:sz w:val="8"/>
          <w:szCs w:val="8"/>
        </w:rPr>
      </w:pPr>
    </w:p>
    <w:p w:rsidR="00C078E2" w:rsidRDefault="00C078E2" w:rsidP="00C078E2">
      <w:pPr>
        <w:numPr>
          <w:ilvl w:val="0"/>
          <w:numId w:val="1"/>
        </w:numPr>
        <w:spacing w:line="288" w:lineRule="auto"/>
        <w:rPr>
          <w:rFonts w:ascii="Arial" w:hAnsi="Arial" w:cs="Arial"/>
          <w:sz w:val="20"/>
        </w:rPr>
      </w:pPr>
      <w:r w:rsidRPr="00CB5253">
        <w:rPr>
          <w:rFonts w:ascii="Arial" w:hAnsi="Arial" w:cs="Arial"/>
          <w:sz w:val="20"/>
        </w:rPr>
        <w:t xml:space="preserve">Car </w:t>
      </w:r>
      <w:r w:rsidR="001C51CC">
        <w:rPr>
          <w:rFonts w:ascii="Arial" w:hAnsi="Arial" w:cs="Arial"/>
          <w:sz w:val="20"/>
        </w:rPr>
        <w:t>manufacturing</w:t>
      </w:r>
      <w:r w:rsidR="001C51CC" w:rsidRPr="00CB5253">
        <w:rPr>
          <w:rFonts w:ascii="Arial" w:hAnsi="Arial" w:cs="Arial"/>
          <w:sz w:val="20"/>
        </w:rPr>
        <w:t xml:space="preserve"> </w:t>
      </w:r>
      <w:r w:rsidR="00AA635D">
        <w:rPr>
          <w:rFonts w:ascii="Arial" w:hAnsi="Arial" w:cs="Arial"/>
          <w:sz w:val="20"/>
        </w:rPr>
        <w:t>rose 6.</w:t>
      </w:r>
      <w:r w:rsidR="00A93A3E">
        <w:rPr>
          <w:rFonts w:ascii="Arial" w:hAnsi="Arial" w:cs="Arial"/>
          <w:sz w:val="20"/>
        </w:rPr>
        <w:t>5</w:t>
      </w:r>
      <w:r w:rsidR="0039040F">
        <w:rPr>
          <w:rFonts w:ascii="Arial" w:hAnsi="Arial" w:cs="Arial"/>
          <w:sz w:val="20"/>
        </w:rPr>
        <w:t xml:space="preserve">% in </w:t>
      </w:r>
      <w:r w:rsidR="00AA635D">
        <w:rPr>
          <w:rFonts w:ascii="Arial" w:hAnsi="Arial" w:cs="Arial"/>
          <w:sz w:val="20"/>
        </w:rPr>
        <w:t>October and was up 9.7</w:t>
      </w:r>
      <w:r w:rsidR="0039040F">
        <w:rPr>
          <w:rFonts w:ascii="Arial" w:hAnsi="Arial" w:cs="Arial"/>
          <w:sz w:val="20"/>
        </w:rPr>
        <w:t xml:space="preserve">% over </w:t>
      </w:r>
      <w:r>
        <w:rPr>
          <w:rFonts w:ascii="Arial" w:hAnsi="Arial" w:cs="Arial"/>
          <w:sz w:val="20"/>
        </w:rPr>
        <w:t>the year-to-date.</w:t>
      </w:r>
    </w:p>
    <w:p w:rsidR="00C078E2" w:rsidRPr="00CB5253" w:rsidRDefault="00C078E2" w:rsidP="00C078E2">
      <w:pPr>
        <w:numPr>
          <w:ilvl w:val="0"/>
          <w:numId w:val="1"/>
        </w:numPr>
        <w:spacing w:line="288" w:lineRule="auto"/>
        <w:rPr>
          <w:rFonts w:ascii="Arial" w:hAnsi="Arial" w:cs="Arial"/>
          <w:sz w:val="20"/>
        </w:rPr>
      </w:pPr>
      <w:r>
        <w:rPr>
          <w:rFonts w:ascii="Arial" w:hAnsi="Arial" w:cs="Arial"/>
          <w:sz w:val="20"/>
        </w:rPr>
        <w:t xml:space="preserve">CV output </w:t>
      </w:r>
      <w:r w:rsidR="00AA635D">
        <w:rPr>
          <w:rFonts w:ascii="Arial" w:hAnsi="Arial" w:cs="Arial"/>
          <w:sz w:val="20"/>
        </w:rPr>
        <w:t>rose 5.0</w:t>
      </w:r>
      <w:r w:rsidR="0039040F">
        <w:rPr>
          <w:rFonts w:ascii="Arial" w:hAnsi="Arial" w:cs="Arial"/>
          <w:sz w:val="20"/>
        </w:rPr>
        <w:t xml:space="preserve">% in </w:t>
      </w:r>
      <w:r w:rsidR="00AA635D">
        <w:rPr>
          <w:rFonts w:ascii="Arial" w:hAnsi="Arial" w:cs="Arial"/>
          <w:sz w:val="20"/>
        </w:rPr>
        <w:t>October, but remained down 6.1</w:t>
      </w:r>
      <w:r w:rsidR="0039040F">
        <w:rPr>
          <w:rFonts w:ascii="Arial" w:hAnsi="Arial" w:cs="Arial"/>
          <w:sz w:val="20"/>
        </w:rPr>
        <w:t>%</w:t>
      </w:r>
      <w:r>
        <w:rPr>
          <w:rFonts w:ascii="Arial" w:hAnsi="Arial" w:cs="Arial"/>
          <w:sz w:val="20"/>
        </w:rPr>
        <w:t xml:space="preserve"> </w:t>
      </w:r>
      <w:r w:rsidR="0039040F">
        <w:rPr>
          <w:rFonts w:ascii="Arial" w:hAnsi="Arial" w:cs="Arial"/>
          <w:sz w:val="20"/>
        </w:rPr>
        <w:t>over the f</w:t>
      </w:r>
      <w:r>
        <w:rPr>
          <w:rFonts w:ascii="Arial" w:hAnsi="Arial" w:cs="Arial"/>
          <w:sz w:val="20"/>
        </w:rPr>
        <w:t xml:space="preserve">irst </w:t>
      </w:r>
      <w:r w:rsidR="001C51CC">
        <w:rPr>
          <w:rFonts w:ascii="Arial" w:hAnsi="Arial" w:cs="Arial"/>
          <w:sz w:val="20"/>
        </w:rPr>
        <w:t xml:space="preserve">10 </w:t>
      </w:r>
      <w:r>
        <w:rPr>
          <w:rFonts w:ascii="Arial" w:hAnsi="Arial" w:cs="Arial"/>
          <w:sz w:val="20"/>
        </w:rPr>
        <w:t>months</w:t>
      </w:r>
      <w:r w:rsidR="0039040F">
        <w:rPr>
          <w:rFonts w:ascii="Arial" w:hAnsi="Arial" w:cs="Arial"/>
          <w:sz w:val="20"/>
        </w:rPr>
        <w:t xml:space="preserve"> of 2012</w:t>
      </w:r>
      <w:r>
        <w:rPr>
          <w:rFonts w:ascii="Arial" w:hAnsi="Arial" w:cs="Arial"/>
          <w:sz w:val="20"/>
        </w:rPr>
        <w:t>.</w:t>
      </w:r>
    </w:p>
    <w:p w:rsidR="00C078E2" w:rsidRPr="00CB5253" w:rsidRDefault="00C078E2" w:rsidP="00C078E2">
      <w:pPr>
        <w:numPr>
          <w:ilvl w:val="0"/>
          <w:numId w:val="1"/>
        </w:numPr>
        <w:spacing w:line="288" w:lineRule="auto"/>
        <w:rPr>
          <w:rFonts w:ascii="Arial" w:hAnsi="Arial" w:cs="Arial"/>
          <w:sz w:val="20"/>
        </w:rPr>
      </w:pPr>
      <w:r w:rsidRPr="00CB5253">
        <w:rPr>
          <w:rFonts w:ascii="Arial" w:hAnsi="Arial" w:cs="Arial"/>
          <w:sz w:val="20"/>
        </w:rPr>
        <w:t>UK</w:t>
      </w:r>
      <w:r>
        <w:rPr>
          <w:rFonts w:ascii="Arial" w:hAnsi="Arial" w:cs="Arial"/>
          <w:sz w:val="20"/>
        </w:rPr>
        <w:t xml:space="preserve"> engine production was </w:t>
      </w:r>
      <w:r w:rsidR="00AA635D">
        <w:rPr>
          <w:rFonts w:ascii="Arial" w:hAnsi="Arial" w:cs="Arial"/>
          <w:sz w:val="20"/>
        </w:rPr>
        <w:t>up</w:t>
      </w:r>
      <w:r w:rsidR="001C51CC">
        <w:rPr>
          <w:rFonts w:ascii="Arial" w:hAnsi="Arial" w:cs="Arial"/>
          <w:sz w:val="20"/>
        </w:rPr>
        <w:t xml:space="preserve"> </w:t>
      </w:r>
      <w:r w:rsidR="00A93A3E">
        <w:rPr>
          <w:rFonts w:ascii="Arial" w:hAnsi="Arial" w:cs="Arial"/>
          <w:sz w:val="20"/>
        </w:rPr>
        <w:t>1</w:t>
      </w:r>
      <w:r w:rsidR="00AA635D">
        <w:rPr>
          <w:rFonts w:ascii="Arial" w:hAnsi="Arial" w:cs="Arial"/>
          <w:sz w:val="20"/>
        </w:rPr>
        <w:t>.</w:t>
      </w:r>
      <w:r w:rsidR="00A93A3E">
        <w:rPr>
          <w:rFonts w:ascii="Arial" w:hAnsi="Arial" w:cs="Arial"/>
          <w:sz w:val="20"/>
        </w:rPr>
        <w:t>2%</w:t>
      </w:r>
      <w:r w:rsidR="00AA635D">
        <w:rPr>
          <w:rFonts w:ascii="Arial" w:hAnsi="Arial" w:cs="Arial"/>
          <w:sz w:val="20"/>
        </w:rPr>
        <w:t xml:space="preserve">, with output over the </w:t>
      </w:r>
      <w:r w:rsidR="0039040F">
        <w:rPr>
          <w:rFonts w:ascii="Arial" w:hAnsi="Arial" w:cs="Arial"/>
          <w:sz w:val="20"/>
        </w:rPr>
        <w:t>year-to-date</w:t>
      </w:r>
      <w:r w:rsidR="00A93A3E">
        <w:rPr>
          <w:rFonts w:ascii="Arial" w:hAnsi="Arial" w:cs="Arial"/>
          <w:sz w:val="20"/>
        </w:rPr>
        <w:t xml:space="preserve"> down 0.</w:t>
      </w:r>
      <w:r w:rsidR="00AA635D">
        <w:rPr>
          <w:rFonts w:ascii="Arial" w:hAnsi="Arial" w:cs="Arial"/>
          <w:sz w:val="20"/>
        </w:rPr>
        <w:t>2</w:t>
      </w:r>
      <w:r w:rsidR="00A93A3E">
        <w:rPr>
          <w:rFonts w:ascii="Arial" w:hAnsi="Arial" w:cs="Arial"/>
          <w:sz w:val="20"/>
        </w:rPr>
        <w:t>%</w:t>
      </w:r>
      <w:r>
        <w:rPr>
          <w:rFonts w:ascii="Arial" w:hAnsi="Arial" w:cs="Arial"/>
          <w:sz w:val="20"/>
        </w:rPr>
        <w:t>.</w:t>
      </w:r>
    </w:p>
    <w:p w:rsidR="00C078E2" w:rsidRPr="00C078E2" w:rsidRDefault="00C078E2" w:rsidP="00C078E2">
      <w:pPr>
        <w:pStyle w:val="PlainText"/>
        <w:spacing w:line="120" w:lineRule="auto"/>
        <w:rPr>
          <w:rFonts w:eastAsia="Times" w:cs="Arial"/>
          <w:sz w:val="8"/>
          <w:szCs w:val="8"/>
          <w:lang w:eastAsia="en-GB"/>
        </w:rPr>
      </w:pPr>
    </w:p>
    <w:p w:rsidR="001C51CC" w:rsidRDefault="001C51CC" w:rsidP="000316AE">
      <w:pPr>
        <w:ind w:right="709"/>
        <w:rPr>
          <w:rFonts w:ascii="Arial" w:hAnsi="Arial" w:cs="Arial"/>
          <w:sz w:val="20"/>
        </w:rPr>
      </w:pPr>
    </w:p>
    <w:p w:rsidR="007929FE" w:rsidRDefault="007929FE" w:rsidP="007929FE">
      <w:pPr>
        <w:ind w:right="709"/>
        <w:rPr>
          <w:rFonts w:ascii="Arial" w:hAnsi="Arial" w:cs="Arial"/>
          <w:sz w:val="20"/>
        </w:rPr>
      </w:pPr>
      <w:r>
        <w:rPr>
          <w:rFonts w:ascii="Arial" w:hAnsi="Arial" w:cs="Arial"/>
          <w:sz w:val="20"/>
        </w:rPr>
        <w:t>"The UK automotive industry got back on track in</w:t>
      </w:r>
      <w:r w:rsidR="00C86F46">
        <w:rPr>
          <w:rFonts w:ascii="Arial" w:hAnsi="Arial" w:cs="Arial"/>
          <w:sz w:val="20"/>
        </w:rPr>
        <w:t xml:space="preserve"> October with vehicle manufacturing</w:t>
      </w:r>
      <w:r>
        <w:rPr>
          <w:rFonts w:ascii="Arial" w:hAnsi="Arial" w:cs="Arial"/>
          <w:sz w:val="20"/>
        </w:rPr>
        <w:t xml:space="preserve"> up 6.4% and a 1.2% increase in engine output</w:t>
      </w:r>
      <w:r w:rsidR="00A615FB">
        <w:rPr>
          <w:rFonts w:ascii="Arial" w:hAnsi="Arial" w:cs="Arial"/>
          <w:sz w:val="20"/>
        </w:rPr>
        <w:t>,</w:t>
      </w:r>
      <w:r>
        <w:rPr>
          <w:rFonts w:ascii="Arial" w:hAnsi="Arial" w:cs="Arial"/>
          <w:sz w:val="20"/>
        </w:rPr>
        <w:t>" said Paul Everitt, SMMT Chief Executive. "Sustained, high-value investment in R&amp;D, facilities and new products is paving the way to a prosperous future for UK automotive, but there remain significant challenges as European market demand remains weak. It is essential government continues to focus on boosting economic growth an</w:t>
      </w:r>
      <w:r w:rsidR="00A615FB">
        <w:rPr>
          <w:rFonts w:ascii="Arial" w:hAnsi="Arial" w:cs="Arial"/>
          <w:sz w:val="20"/>
        </w:rPr>
        <w:t>d enhancing UK competitiveness."</w:t>
      </w:r>
      <w:r>
        <w:rPr>
          <w:rFonts w:ascii="Arial" w:hAnsi="Arial" w:cs="Arial"/>
          <w:sz w:val="20"/>
        </w:rPr>
        <w:t xml:space="preserve">  </w:t>
      </w:r>
    </w:p>
    <w:p w:rsidR="00C078E2" w:rsidRDefault="00C078E2" w:rsidP="00C078E2">
      <w:pPr>
        <w:rPr>
          <w:rFonts w:ascii="Arial" w:hAnsi="Arial" w:cs="Arial"/>
          <w:sz w:val="12"/>
          <w:szCs w:val="12"/>
        </w:rPr>
      </w:pPr>
    </w:p>
    <w:p w:rsidR="001C51CC" w:rsidRPr="00C078E2" w:rsidRDefault="001C51CC" w:rsidP="00C078E2">
      <w:pPr>
        <w:rPr>
          <w:rFonts w:ascii="Arial" w:hAnsi="Arial" w:cs="Arial"/>
          <w:sz w:val="12"/>
          <w:szCs w:val="12"/>
        </w:rPr>
      </w:pPr>
    </w:p>
    <w:tbl>
      <w:tblPr>
        <w:tblW w:w="9256"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67"/>
        <w:gridCol w:w="1288"/>
        <w:gridCol w:w="1032"/>
        <w:gridCol w:w="1284"/>
        <w:gridCol w:w="867"/>
        <w:gridCol w:w="1017"/>
        <w:gridCol w:w="867"/>
        <w:gridCol w:w="1017"/>
      </w:tblGrid>
      <w:tr w:rsidR="00C078E2" w:rsidRPr="00307829" w:rsidTr="004E5D68">
        <w:trPr>
          <w:trHeight w:val="288"/>
        </w:trPr>
        <w:tc>
          <w:tcPr>
            <w:tcW w:w="0" w:type="auto"/>
            <w:tcBorders>
              <w:left w:val="nil"/>
            </w:tcBorders>
            <w:shd w:val="clear" w:color="auto" w:fill="auto"/>
            <w:noWrap/>
            <w:hideMark/>
          </w:tcPr>
          <w:p w:rsidR="00C078E2" w:rsidRPr="00BE2914" w:rsidRDefault="00C078E2" w:rsidP="00AF2748">
            <w:pPr>
              <w:rPr>
                <w:rFonts w:ascii="Arial" w:hAnsi="Arial" w:cs="Arial"/>
                <w:b/>
                <w:bCs/>
                <w:color w:val="1074CB"/>
                <w:sz w:val="18"/>
                <w:szCs w:val="18"/>
              </w:rPr>
            </w:pPr>
            <w:r>
              <w:rPr>
                <w:rFonts w:ascii="Arial" w:hAnsi="Arial" w:cs="Arial"/>
                <w:b/>
                <w:bCs/>
                <w:color w:val="1074CB"/>
                <w:sz w:val="18"/>
                <w:szCs w:val="18"/>
              </w:rPr>
              <w:t>SMMT</w:t>
            </w:r>
          </w:p>
        </w:tc>
        <w:tc>
          <w:tcPr>
            <w:tcW w:w="2155" w:type="dxa"/>
            <w:gridSpan w:val="2"/>
            <w:shd w:val="clear" w:color="auto" w:fill="auto"/>
            <w:noWrap/>
            <w:hideMark/>
          </w:tcPr>
          <w:p w:rsidR="00C078E2" w:rsidRPr="00BE2914" w:rsidRDefault="00C078E2" w:rsidP="00AF2748">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C078E2" w:rsidRPr="00BE2914" w:rsidRDefault="00C078E2" w:rsidP="00AF2748">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C078E2" w:rsidRPr="00BE2914" w:rsidRDefault="00C078E2" w:rsidP="00AF2748">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C078E2" w:rsidRPr="00BE2914" w:rsidRDefault="00C078E2" w:rsidP="00AF2748">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164E43" w:rsidRPr="00307829" w:rsidTr="004E5D68">
        <w:trPr>
          <w:trHeight w:val="288"/>
        </w:trPr>
        <w:tc>
          <w:tcPr>
            <w:tcW w:w="0" w:type="auto"/>
            <w:tcBorders>
              <w:left w:val="nil"/>
            </w:tcBorders>
            <w:shd w:val="clear" w:color="auto" w:fill="auto"/>
            <w:noWrap/>
            <w:hideMark/>
          </w:tcPr>
          <w:p w:rsidR="00164E43" w:rsidRPr="00BE2914" w:rsidRDefault="00164E43" w:rsidP="00AF2748">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Oct-12</w:t>
            </w:r>
          </w:p>
        </w:tc>
        <w:tc>
          <w:tcPr>
            <w:tcW w:w="1288"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Oct-12</w:t>
            </w:r>
          </w:p>
        </w:tc>
        <w:tc>
          <w:tcPr>
            <w:tcW w:w="1284"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Oct-12</w:t>
            </w:r>
          </w:p>
        </w:tc>
        <w:tc>
          <w:tcPr>
            <w:tcW w:w="0" w:type="auto"/>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Oct-12</w:t>
            </w:r>
          </w:p>
        </w:tc>
        <w:tc>
          <w:tcPr>
            <w:tcW w:w="1017" w:type="dxa"/>
            <w:tcBorders>
              <w:left w:val="nil"/>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YTD-12</w:t>
            </w:r>
          </w:p>
        </w:tc>
      </w:tr>
      <w:tr w:rsidR="00164E43" w:rsidRPr="002C57DA" w:rsidTr="004E5D68">
        <w:trPr>
          <w:trHeight w:val="288"/>
        </w:trPr>
        <w:tc>
          <w:tcPr>
            <w:tcW w:w="0" w:type="auto"/>
            <w:tcBorders>
              <w:left w:val="nil"/>
            </w:tcBorders>
            <w:shd w:val="clear" w:color="auto" w:fill="auto"/>
            <w:noWrap/>
            <w:vAlign w:val="center"/>
            <w:hideMark/>
          </w:tcPr>
          <w:p w:rsidR="00164E43" w:rsidRPr="002C57DA" w:rsidRDefault="00164E43" w:rsidP="00AF2748">
            <w:pPr>
              <w:rPr>
                <w:rFonts w:ascii="Arial" w:hAnsi="Arial" w:cs="Arial"/>
                <w:bCs/>
                <w:color w:val="1074CB"/>
                <w:sz w:val="18"/>
                <w:szCs w:val="18"/>
              </w:rPr>
            </w:pPr>
            <w:r w:rsidRPr="002C57DA">
              <w:rPr>
                <w:rFonts w:ascii="Arial" w:hAnsi="Arial" w:cs="Arial"/>
                <w:bCs/>
                <w:color w:val="1074CB"/>
                <w:sz w:val="18"/>
                <w:szCs w:val="18"/>
              </w:rPr>
              <w:t>Total</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137,028</w:t>
            </w:r>
          </w:p>
        </w:tc>
        <w:tc>
          <w:tcPr>
            <w:tcW w:w="1288"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1,220,304</w:t>
            </w:r>
          </w:p>
        </w:tc>
        <w:tc>
          <w:tcPr>
            <w:tcW w:w="1032" w:type="dxa"/>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11,899</w:t>
            </w:r>
          </w:p>
        </w:tc>
        <w:tc>
          <w:tcPr>
            <w:tcW w:w="1284"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94,214</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148,927</w:t>
            </w:r>
          </w:p>
        </w:tc>
        <w:tc>
          <w:tcPr>
            <w:tcW w:w="0" w:type="auto"/>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1,314,518</w:t>
            </w:r>
          </w:p>
        </w:tc>
        <w:tc>
          <w:tcPr>
            <w:tcW w:w="867" w:type="dxa"/>
            <w:tcBorders>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239,011</w:t>
            </w:r>
          </w:p>
        </w:tc>
        <w:tc>
          <w:tcPr>
            <w:tcW w:w="1017" w:type="dxa"/>
            <w:tcBorders>
              <w:left w:val="nil"/>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2,121,314</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6.5%</w:t>
            </w:r>
          </w:p>
        </w:tc>
        <w:tc>
          <w:tcPr>
            <w:tcW w:w="1288"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9.7%</w:t>
            </w:r>
          </w:p>
        </w:tc>
        <w:tc>
          <w:tcPr>
            <w:tcW w:w="1032" w:type="dxa"/>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5.0%</w:t>
            </w:r>
          </w:p>
        </w:tc>
        <w:tc>
          <w:tcPr>
            <w:tcW w:w="1284"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-6.1%</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6.4%</w:t>
            </w:r>
          </w:p>
        </w:tc>
        <w:tc>
          <w:tcPr>
            <w:tcW w:w="0" w:type="auto"/>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8.4%</w:t>
            </w:r>
          </w:p>
        </w:tc>
        <w:tc>
          <w:tcPr>
            <w:tcW w:w="867" w:type="dxa"/>
            <w:tcBorders>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1.2%</w:t>
            </w:r>
          </w:p>
        </w:tc>
        <w:tc>
          <w:tcPr>
            <w:tcW w:w="1017" w:type="dxa"/>
            <w:tcBorders>
              <w:left w:val="nil"/>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-0.2%</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116,899</w:t>
            </w:r>
          </w:p>
        </w:tc>
        <w:tc>
          <w:tcPr>
            <w:tcW w:w="1288"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1,005,742</w:t>
            </w:r>
          </w:p>
        </w:tc>
        <w:tc>
          <w:tcPr>
            <w:tcW w:w="1032" w:type="dxa"/>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6,656</w:t>
            </w:r>
          </w:p>
        </w:tc>
        <w:tc>
          <w:tcPr>
            <w:tcW w:w="1284"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54,552</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123,555</w:t>
            </w:r>
          </w:p>
        </w:tc>
        <w:tc>
          <w:tcPr>
            <w:tcW w:w="0" w:type="auto"/>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1,060,294</w:t>
            </w:r>
          </w:p>
        </w:tc>
        <w:tc>
          <w:tcPr>
            <w:tcW w:w="867" w:type="dxa"/>
            <w:tcBorders>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144,206</w:t>
            </w:r>
          </w:p>
        </w:tc>
        <w:tc>
          <w:tcPr>
            <w:tcW w:w="1017" w:type="dxa"/>
            <w:tcBorders>
              <w:left w:val="nil"/>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1,324,802</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4.7%</w:t>
            </w:r>
          </w:p>
        </w:tc>
        <w:tc>
          <w:tcPr>
            <w:tcW w:w="1288"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8.9%</w:t>
            </w:r>
          </w:p>
        </w:tc>
        <w:tc>
          <w:tcPr>
            <w:tcW w:w="1032" w:type="dxa"/>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1.0%</w:t>
            </w:r>
          </w:p>
        </w:tc>
        <w:tc>
          <w:tcPr>
            <w:tcW w:w="1284"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-6.5%</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4.5%</w:t>
            </w:r>
          </w:p>
        </w:tc>
        <w:tc>
          <w:tcPr>
            <w:tcW w:w="0" w:type="auto"/>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8.0%</w:t>
            </w:r>
          </w:p>
        </w:tc>
        <w:tc>
          <w:tcPr>
            <w:tcW w:w="867" w:type="dxa"/>
            <w:tcBorders>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-6.5%</w:t>
            </w:r>
          </w:p>
        </w:tc>
        <w:tc>
          <w:tcPr>
            <w:tcW w:w="1017" w:type="dxa"/>
            <w:tcBorders>
              <w:left w:val="nil"/>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-12.5%</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85.3%</w:t>
            </w:r>
          </w:p>
        </w:tc>
        <w:tc>
          <w:tcPr>
            <w:tcW w:w="1288" w:type="dxa"/>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82.4%</w:t>
            </w:r>
          </w:p>
        </w:tc>
        <w:tc>
          <w:tcPr>
            <w:tcW w:w="1032" w:type="dxa"/>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55.9%</w:t>
            </w:r>
          </w:p>
        </w:tc>
        <w:tc>
          <w:tcPr>
            <w:tcW w:w="1284" w:type="dxa"/>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57.9%</w:t>
            </w:r>
          </w:p>
        </w:tc>
        <w:tc>
          <w:tcPr>
            <w:tcW w:w="0" w:type="auto"/>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83.0%</w:t>
            </w:r>
          </w:p>
        </w:tc>
        <w:tc>
          <w:tcPr>
            <w:tcW w:w="0" w:type="auto"/>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80.7%</w:t>
            </w:r>
          </w:p>
        </w:tc>
        <w:tc>
          <w:tcPr>
            <w:tcW w:w="867" w:type="dxa"/>
            <w:tcBorders>
              <w:right w:val="nil"/>
            </w:tcBorders>
            <w:shd w:val="clear" w:color="auto" w:fill="auto"/>
            <w:vAlign w:val="bottom"/>
          </w:tcPr>
          <w:p w:rsidR="00164E43" w:rsidRDefault="00164E43">
            <w:pPr>
              <w:jc w:val="center"/>
              <w:rPr>
                <w:rFonts w:ascii="Arial" w:hAnsi="Arial" w:cs="Arial"/>
                <w:i/>
                <w:iCs/>
                <w:color w:val="0070C0"/>
                <w:sz w:val="18"/>
                <w:szCs w:val="18"/>
              </w:rPr>
            </w:pPr>
            <w:r>
              <w:rPr>
                <w:rFonts w:ascii="Arial" w:hAnsi="Arial" w:cs="Arial"/>
                <w:i/>
                <w:iCs/>
                <w:color w:val="0070C0"/>
                <w:sz w:val="18"/>
                <w:szCs w:val="18"/>
              </w:rPr>
              <w:t>60.3%</w:t>
            </w:r>
          </w:p>
        </w:tc>
        <w:tc>
          <w:tcPr>
            <w:tcW w:w="1017" w:type="dxa"/>
            <w:tcBorders>
              <w:left w:val="nil"/>
              <w:right w:val="nil"/>
            </w:tcBorders>
            <w:shd w:val="clear" w:color="auto" w:fill="auto"/>
            <w:vAlign w:val="bottom"/>
          </w:tcPr>
          <w:p w:rsidR="00164E43" w:rsidRDefault="00164E43">
            <w:pPr>
              <w:jc w:val="center"/>
              <w:rPr>
                <w:rFonts w:ascii="Arial" w:hAnsi="Arial" w:cs="Arial"/>
                <w:i/>
                <w:iCs/>
                <w:color w:val="0070C0"/>
                <w:sz w:val="18"/>
                <w:szCs w:val="18"/>
              </w:rPr>
            </w:pPr>
            <w:r>
              <w:rPr>
                <w:rFonts w:ascii="Arial" w:hAnsi="Arial" w:cs="Arial"/>
                <w:i/>
                <w:iCs/>
                <w:color w:val="0070C0"/>
                <w:sz w:val="18"/>
                <w:szCs w:val="18"/>
              </w:rPr>
              <w:t>62.5%</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20,129</w:t>
            </w:r>
          </w:p>
        </w:tc>
        <w:tc>
          <w:tcPr>
            <w:tcW w:w="1288"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214,562</w:t>
            </w:r>
          </w:p>
        </w:tc>
        <w:tc>
          <w:tcPr>
            <w:tcW w:w="1032" w:type="dxa"/>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5,243</w:t>
            </w:r>
          </w:p>
        </w:tc>
        <w:tc>
          <w:tcPr>
            <w:tcW w:w="1284" w:type="dxa"/>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39,662</w:t>
            </w:r>
          </w:p>
        </w:tc>
        <w:tc>
          <w:tcPr>
            <w:tcW w:w="0" w:type="auto"/>
            <w:tcBorders>
              <w:righ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25,372</w:t>
            </w:r>
          </w:p>
        </w:tc>
        <w:tc>
          <w:tcPr>
            <w:tcW w:w="0" w:type="auto"/>
            <w:tcBorders>
              <w:left w:val="nil"/>
            </w:tcBorders>
            <w:shd w:val="clear" w:color="auto" w:fill="auto"/>
            <w:noWrap/>
            <w:vAlign w:val="bottom"/>
            <w:hideMark/>
          </w:tcPr>
          <w:p w:rsidR="00164E43" w:rsidRDefault="00164E43">
            <w:pPr>
              <w:jc w:val="center"/>
              <w:rPr>
                <w:rFonts w:ascii="Arial" w:hAnsi="Arial" w:cs="Arial"/>
                <w:b/>
                <w:bCs/>
                <w:color w:val="0070C0"/>
                <w:sz w:val="18"/>
                <w:szCs w:val="18"/>
              </w:rPr>
            </w:pPr>
            <w:r>
              <w:rPr>
                <w:rFonts w:ascii="Arial" w:hAnsi="Arial" w:cs="Arial"/>
                <w:b/>
                <w:bCs/>
                <w:color w:val="0070C0"/>
                <w:sz w:val="18"/>
                <w:szCs w:val="18"/>
              </w:rPr>
              <w:t>254,224</w:t>
            </w:r>
          </w:p>
        </w:tc>
        <w:tc>
          <w:tcPr>
            <w:tcW w:w="867" w:type="dxa"/>
            <w:tcBorders>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94,805</w:t>
            </w:r>
          </w:p>
        </w:tc>
        <w:tc>
          <w:tcPr>
            <w:tcW w:w="1017" w:type="dxa"/>
            <w:tcBorders>
              <w:left w:val="nil"/>
              <w:right w:val="nil"/>
            </w:tcBorders>
            <w:shd w:val="clear" w:color="auto" w:fill="auto"/>
            <w:vAlign w:val="bottom"/>
          </w:tcPr>
          <w:p w:rsidR="00164E43" w:rsidRDefault="00164E43">
            <w:pPr>
              <w:jc w:val="center"/>
              <w:rPr>
                <w:rFonts w:ascii="Arial" w:hAnsi="Arial" w:cs="Arial"/>
                <w:b/>
                <w:bCs/>
                <w:color w:val="0070C0"/>
                <w:sz w:val="18"/>
                <w:szCs w:val="18"/>
              </w:rPr>
            </w:pPr>
            <w:r>
              <w:rPr>
                <w:rFonts w:ascii="Arial" w:hAnsi="Arial" w:cs="Arial"/>
                <w:b/>
                <w:bCs/>
                <w:color w:val="0070C0"/>
                <w:sz w:val="18"/>
                <w:szCs w:val="18"/>
              </w:rPr>
              <w:t>796,512</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18.1%</w:t>
            </w:r>
          </w:p>
        </w:tc>
        <w:tc>
          <w:tcPr>
            <w:tcW w:w="1288"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13.8%</w:t>
            </w:r>
          </w:p>
        </w:tc>
        <w:tc>
          <w:tcPr>
            <w:tcW w:w="1032" w:type="dxa"/>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10.5%</w:t>
            </w:r>
          </w:p>
        </w:tc>
        <w:tc>
          <w:tcPr>
            <w:tcW w:w="1284" w:type="dxa"/>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-5.6%</w:t>
            </w:r>
          </w:p>
        </w:tc>
        <w:tc>
          <w:tcPr>
            <w:tcW w:w="0" w:type="auto"/>
            <w:tcBorders>
              <w:righ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16.4%</w:t>
            </w:r>
          </w:p>
        </w:tc>
        <w:tc>
          <w:tcPr>
            <w:tcW w:w="0" w:type="auto"/>
            <w:tcBorders>
              <w:left w:val="nil"/>
            </w:tcBorders>
            <w:shd w:val="clear" w:color="auto" w:fill="auto"/>
            <w:noWrap/>
            <w:vAlign w:val="bottom"/>
            <w:hideMark/>
          </w:tcPr>
          <w:p w:rsidR="00164E43" w:rsidRDefault="00164E43">
            <w:pPr>
              <w:jc w:val="center"/>
              <w:rPr>
                <w:rFonts w:ascii="Arial" w:hAnsi="Arial" w:cs="Arial"/>
                <w:color w:val="0070C0"/>
                <w:sz w:val="18"/>
                <w:szCs w:val="18"/>
              </w:rPr>
            </w:pPr>
            <w:r>
              <w:rPr>
                <w:rFonts w:ascii="Arial" w:hAnsi="Arial" w:cs="Arial"/>
                <w:color w:val="0070C0"/>
                <w:sz w:val="18"/>
                <w:szCs w:val="18"/>
              </w:rPr>
              <w:t>10.2%</w:t>
            </w:r>
          </w:p>
        </w:tc>
        <w:tc>
          <w:tcPr>
            <w:tcW w:w="867" w:type="dxa"/>
            <w:tcBorders>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15.7%</w:t>
            </w:r>
          </w:p>
        </w:tc>
        <w:tc>
          <w:tcPr>
            <w:tcW w:w="1017" w:type="dxa"/>
            <w:tcBorders>
              <w:left w:val="nil"/>
              <w:right w:val="nil"/>
            </w:tcBorders>
            <w:shd w:val="clear" w:color="auto" w:fill="auto"/>
            <w:vAlign w:val="bottom"/>
          </w:tcPr>
          <w:p w:rsidR="00164E43" w:rsidRDefault="00164E43">
            <w:pPr>
              <w:jc w:val="center"/>
              <w:rPr>
                <w:rFonts w:ascii="Arial" w:hAnsi="Arial" w:cs="Arial"/>
                <w:color w:val="0070C0"/>
                <w:sz w:val="18"/>
                <w:szCs w:val="18"/>
              </w:rPr>
            </w:pPr>
            <w:r>
              <w:rPr>
                <w:rFonts w:ascii="Arial" w:hAnsi="Arial" w:cs="Arial"/>
                <w:color w:val="0070C0"/>
                <w:sz w:val="18"/>
                <w:szCs w:val="18"/>
              </w:rPr>
              <w:t>30.3%</w:t>
            </w:r>
          </w:p>
        </w:tc>
      </w:tr>
      <w:tr w:rsidR="00164E43" w:rsidRPr="00307829" w:rsidTr="004E5D68">
        <w:trPr>
          <w:trHeight w:val="288"/>
        </w:trPr>
        <w:tc>
          <w:tcPr>
            <w:tcW w:w="0" w:type="auto"/>
            <w:tcBorders>
              <w:left w:val="nil"/>
            </w:tcBorders>
            <w:shd w:val="clear" w:color="auto" w:fill="auto"/>
            <w:noWrap/>
            <w:vAlign w:val="center"/>
            <w:hideMark/>
          </w:tcPr>
          <w:p w:rsidR="00164E43" w:rsidRPr="00BE2914" w:rsidRDefault="00164E43" w:rsidP="00AF2748">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14.7%</w:t>
            </w:r>
          </w:p>
        </w:tc>
        <w:tc>
          <w:tcPr>
            <w:tcW w:w="1288" w:type="dxa"/>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17.6%</w:t>
            </w:r>
          </w:p>
        </w:tc>
        <w:tc>
          <w:tcPr>
            <w:tcW w:w="1032" w:type="dxa"/>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44.1%</w:t>
            </w:r>
          </w:p>
        </w:tc>
        <w:tc>
          <w:tcPr>
            <w:tcW w:w="1284" w:type="dxa"/>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42.1%</w:t>
            </w:r>
          </w:p>
        </w:tc>
        <w:tc>
          <w:tcPr>
            <w:tcW w:w="0" w:type="auto"/>
            <w:tcBorders>
              <w:righ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17.0%</w:t>
            </w:r>
          </w:p>
        </w:tc>
        <w:tc>
          <w:tcPr>
            <w:tcW w:w="0" w:type="auto"/>
            <w:tcBorders>
              <w:left w:val="nil"/>
            </w:tcBorders>
            <w:shd w:val="clear" w:color="auto" w:fill="auto"/>
            <w:noWrap/>
            <w:vAlign w:val="bottom"/>
            <w:hideMark/>
          </w:tcPr>
          <w:p w:rsidR="00164E43" w:rsidRDefault="00164E43">
            <w:pPr>
              <w:jc w:val="center"/>
              <w:rPr>
                <w:rFonts w:ascii="Arial" w:hAnsi="Arial" w:cs="Arial"/>
                <w:i/>
                <w:iCs/>
                <w:color w:val="0070C0"/>
                <w:sz w:val="18"/>
                <w:szCs w:val="18"/>
              </w:rPr>
            </w:pPr>
            <w:r>
              <w:rPr>
                <w:rFonts w:ascii="Arial" w:hAnsi="Arial" w:cs="Arial"/>
                <w:i/>
                <w:iCs/>
                <w:color w:val="0070C0"/>
                <w:sz w:val="18"/>
                <w:szCs w:val="18"/>
              </w:rPr>
              <w:t>19.3%</w:t>
            </w:r>
          </w:p>
        </w:tc>
        <w:tc>
          <w:tcPr>
            <w:tcW w:w="867" w:type="dxa"/>
            <w:tcBorders>
              <w:right w:val="nil"/>
            </w:tcBorders>
            <w:shd w:val="clear" w:color="auto" w:fill="auto"/>
            <w:vAlign w:val="bottom"/>
          </w:tcPr>
          <w:p w:rsidR="00164E43" w:rsidRDefault="00164E43">
            <w:pPr>
              <w:jc w:val="center"/>
              <w:rPr>
                <w:rFonts w:ascii="Arial" w:hAnsi="Arial" w:cs="Arial"/>
                <w:i/>
                <w:iCs/>
                <w:color w:val="0070C0"/>
                <w:sz w:val="18"/>
                <w:szCs w:val="18"/>
              </w:rPr>
            </w:pPr>
            <w:r>
              <w:rPr>
                <w:rFonts w:ascii="Arial" w:hAnsi="Arial" w:cs="Arial"/>
                <w:i/>
                <w:iCs/>
                <w:color w:val="0070C0"/>
                <w:sz w:val="18"/>
                <w:szCs w:val="18"/>
              </w:rPr>
              <w:t>39.7%</w:t>
            </w:r>
          </w:p>
        </w:tc>
        <w:tc>
          <w:tcPr>
            <w:tcW w:w="1017" w:type="dxa"/>
            <w:tcBorders>
              <w:left w:val="nil"/>
              <w:right w:val="nil"/>
            </w:tcBorders>
            <w:shd w:val="clear" w:color="auto" w:fill="auto"/>
            <w:vAlign w:val="bottom"/>
          </w:tcPr>
          <w:p w:rsidR="00164E43" w:rsidRDefault="00164E43">
            <w:pPr>
              <w:jc w:val="center"/>
              <w:rPr>
                <w:rFonts w:ascii="Arial" w:hAnsi="Arial" w:cs="Arial"/>
                <w:i/>
                <w:iCs/>
                <w:color w:val="0070C0"/>
                <w:sz w:val="18"/>
                <w:szCs w:val="18"/>
              </w:rPr>
            </w:pPr>
            <w:r>
              <w:rPr>
                <w:rFonts w:ascii="Arial" w:hAnsi="Arial" w:cs="Arial"/>
                <w:i/>
                <w:iCs/>
                <w:color w:val="0070C0"/>
                <w:sz w:val="18"/>
                <w:szCs w:val="18"/>
              </w:rPr>
              <w:t>37.5%</w:t>
            </w:r>
          </w:p>
        </w:tc>
      </w:tr>
    </w:tbl>
    <w:p w:rsidR="00361F75" w:rsidRPr="00EE4E1C" w:rsidRDefault="00C078E2" w:rsidP="00C078E2">
      <w:pPr>
        <w:keepNext/>
        <w:spacing w:line="276" w:lineRule="auto"/>
        <w:rPr>
          <w:rFonts w:ascii="Arial" w:hAnsi="Arial" w:cs="Arial"/>
          <w:b/>
          <w:color w:val="0D2255"/>
          <w:sz w:val="8"/>
          <w:szCs w:val="8"/>
        </w:rPr>
      </w:pPr>
      <w:r>
        <w:rPr>
          <w:rFonts w:ascii="Arial" w:hAnsi="Arial" w:cs="Arial"/>
          <w:b/>
          <w:color w:val="0D2255"/>
          <w:sz w:val="20"/>
        </w:rPr>
        <w:t xml:space="preserve">      </w:t>
      </w:r>
      <w:r w:rsidR="00EE4E1C">
        <w:rPr>
          <w:rFonts w:ascii="Arial" w:hAnsi="Arial" w:cs="Arial"/>
          <w:b/>
          <w:color w:val="0D2255"/>
          <w:sz w:val="8"/>
          <w:szCs w:val="8"/>
        </w:rPr>
        <w:br/>
      </w:r>
    </w:p>
    <w:p w:rsidR="001C51CC" w:rsidRDefault="00C078E2" w:rsidP="000316AE">
      <w:pPr>
        <w:keepNext/>
        <w:spacing w:line="276" w:lineRule="auto"/>
      </w:pPr>
      <w:r w:rsidRPr="0081561D">
        <w:rPr>
          <w:rFonts w:ascii="Arial" w:hAnsi="Arial" w:cs="Arial"/>
          <w:b/>
          <w:color w:val="0D2255"/>
          <w:sz w:val="20"/>
        </w:rPr>
        <w:t xml:space="preserve">Car </w:t>
      </w:r>
      <w:r w:rsidR="00361F75">
        <w:rPr>
          <w:rFonts w:ascii="Arial" w:hAnsi="Arial" w:cs="Arial"/>
          <w:b/>
          <w:color w:val="0D2255"/>
          <w:sz w:val="20"/>
        </w:rPr>
        <w:t>o</w:t>
      </w:r>
      <w:r>
        <w:rPr>
          <w:rFonts w:ascii="Arial" w:hAnsi="Arial" w:cs="Arial"/>
          <w:b/>
          <w:color w:val="0D2255"/>
          <w:sz w:val="20"/>
        </w:rPr>
        <w:t>utput</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t xml:space="preserve">           </w:t>
      </w:r>
      <w:r w:rsidR="00361F75">
        <w:rPr>
          <w:rFonts w:ascii="Arial" w:hAnsi="Arial" w:cs="Arial"/>
          <w:b/>
          <w:color w:val="0D2255"/>
          <w:sz w:val="20"/>
        </w:rPr>
        <w:t xml:space="preserve">      CV output rolling year total </w:t>
      </w:r>
      <w:r w:rsidR="00AA635D" w:rsidRPr="00AA635D">
        <w:rPr>
          <w:rFonts w:ascii="Arial" w:hAnsi="Arial" w:cs="Arial"/>
          <w:b/>
          <w:noProof/>
          <w:color w:val="0D2255"/>
          <w:sz w:val="20"/>
        </w:rPr>
        <w:drawing>
          <wp:inline distT="0" distB="0" distL="0" distR="0">
            <wp:extent cx="2886075" cy="2667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A635D" w:rsidRPr="00AA635D">
        <w:rPr>
          <w:rFonts w:ascii="Arial" w:hAnsi="Arial" w:cs="Arial"/>
          <w:b/>
          <w:noProof/>
          <w:color w:val="0D2255"/>
          <w:sz w:val="20"/>
        </w:rPr>
        <w:drawing>
          <wp:inline distT="0" distB="0" distL="0" distR="0">
            <wp:extent cx="2933700" cy="26670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393" w:rsidRDefault="00A64393" w:rsidP="001C51CC">
      <w:pPr>
        <w:sectPr w:rsidR="00A64393" w:rsidSect="00AF2748">
          <w:headerReference w:type="default" r:id="rId10"/>
          <w:footerReference w:type="default" r:id="rId11"/>
          <w:pgSz w:w="11906" w:h="16838"/>
          <w:pgMar w:top="707" w:right="1133" w:bottom="1134" w:left="1418" w:header="0" w:footer="277" w:gutter="0"/>
          <w:cols w:space="720" w:equalWidth="0">
            <w:col w:w="9355"/>
          </w:cols>
          <w:docGrid w:linePitch="360"/>
        </w:sectPr>
      </w:pPr>
    </w:p>
    <w:p w:rsidR="00E56C54" w:rsidRPr="001C51CC" w:rsidRDefault="00E56C54" w:rsidP="001C51CC">
      <w:pPr>
        <w:rPr>
          <w:rFonts w:ascii="Arial" w:hAnsi="Arial" w:cs="Arial"/>
          <w:sz w:val="16"/>
          <w:szCs w:val="16"/>
        </w:rPr>
      </w:pPr>
    </w:p>
    <w:sectPr w:rsidR="00E56C54" w:rsidRPr="001C51CC" w:rsidSect="00AF2748">
      <w:headerReference w:type="default" r:id="rId12"/>
      <w:footerReference w:type="default" r:id="rId13"/>
      <w:type w:val="continuous"/>
      <w:pgSz w:w="11906" w:h="16838" w:code="9"/>
      <w:pgMar w:top="-249" w:right="284" w:bottom="851" w:left="1418" w:header="23" w:footer="27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FE" w:rsidRDefault="007929FE" w:rsidP="00C078E2">
      <w:r>
        <w:separator/>
      </w:r>
    </w:p>
  </w:endnote>
  <w:endnote w:type="continuationSeparator" w:id="0">
    <w:p w:rsidR="007929FE" w:rsidRDefault="007929FE" w:rsidP="00C07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FE" w:rsidRDefault="007929FE" w:rsidP="00AF2748">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7929FE" w:rsidRPr="0098763B" w:rsidRDefault="007929FE" w:rsidP="00AF2748">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55 billion turnover and £12</w:t>
    </w:r>
    <w:r w:rsidRPr="0098763B">
      <w:rPr>
        <w:rFonts w:ascii="Arial" w:hAnsi="Arial" w:cs="Arial"/>
        <w:b w:val="0"/>
        <w:color w:val="1074CB"/>
        <w:sz w:val="16"/>
        <w:szCs w:val="16"/>
      </w:rPr>
      <w:t xml:space="preserve"> billion value added. With </w:t>
    </w:r>
    <w:r>
      <w:rPr>
        <w:rFonts w:ascii="Arial" w:hAnsi="Arial" w:cs="Arial"/>
        <w:b w:val="0"/>
        <w:color w:val="1074CB"/>
        <w:sz w:val="16"/>
        <w:szCs w:val="16"/>
      </w:rPr>
      <w:t>more than</w:t>
    </w:r>
    <w:r w:rsidRPr="0098763B">
      <w:rPr>
        <w:rFonts w:ascii="Arial" w:hAnsi="Arial" w:cs="Arial"/>
        <w:b w:val="0"/>
        <w:color w:val="1074CB"/>
        <w:sz w:val="16"/>
        <w:szCs w:val="16"/>
      </w:rPr>
      <w:t xml:space="preserve"> 700,000 jobs dependent on the industry, it accounts for 10% of total exports and invests </w:t>
    </w:r>
    <w:r>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7929FE" w:rsidRPr="001C51CC" w:rsidRDefault="007929FE" w:rsidP="00AF2748">
    <w:pPr>
      <w:pStyle w:val="Footer"/>
      <w:rPr>
        <w:rFonts w:ascii="Arial" w:hAnsi="Arial" w:cs="Arial"/>
        <w:sz w:val="8"/>
        <w:szCs w:val="8"/>
      </w:rPr>
    </w:pPr>
  </w:p>
  <w:p w:rsidR="007929FE" w:rsidRPr="00EE4E1C" w:rsidRDefault="007929FE" w:rsidP="00AF2748">
    <w:pPr>
      <w:rPr>
        <w:rFonts w:ascii="Arial" w:hAnsi="Arial" w:cs="Arial"/>
        <w:b/>
        <w:color w:val="1074CB"/>
        <w:sz w:val="16"/>
        <w:szCs w:val="16"/>
      </w:rPr>
    </w:pPr>
    <w:r>
      <w:rPr>
        <w:rFonts w:ascii="Arial" w:hAnsi="Arial" w:cs="Arial"/>
        <w:b/>
        <w:color w:val="1074CB"/>
        <w:sz w:val="16"/>
        <w:szCs w:val="16"/>
      </w:rPr>
      <w:t>Media contacts:</w:t>
    </w:r>
  </w:p>
  <w:p w:rsidR="007929FE" w:rsidRDefault="007929FE" w:rsidP="00AF2748">
    <w:pPr>
      <w:rPr>
        <w:rFonts w:ascii="Arial" w:hAnsi="Arial" w:cs="Arial"/>
        <w:color w:val="1074CB"/>
        <w:sz w:val="16"/>
        <w:szCs w:val="16"/>
      </w:rPr>
    </w:pPr>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r>
      <w:rPr>
        <w:rFonts w:ascii="Arial" w:hAnsi="Arial" w:cs="Arial"/>
        <w:color w:val="1074CB"/>
        <w:sz w:val="16"/>
        <w:szCs w:val="16"/>
      </w:rPr>
      <w:t xml:space="preserve"> </w:t>
    </w:r>
  </w:p>
  <w:p w:rsidR="007929FE" w:rsidRDefault="007929FE" w:rsidP="00AF2748">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CE49C7">
        <w:rPr>
          <w:rStyle w:val="Hyperlink"/>
          <w:rFonts w:ascii="Arial" w:hAnsi="Arial" w:cs="Arial"/>
          <w:sz w:val="16"/>
          <w:szCs w:val="16"/>
        </w:rPr>
        <w:t>jvisscher@smmt.co.uk</w:t>
      </w:r>
    </w:hyperlink>
    <w:r>
      <w:rPr>
        <w:rFonts w:ascii="Arial" w:hAnsi="Arial" w:cs="Arial"/>
        <w:color w:val="1074CB"/>
        <w:sz w:val="16"/>
        <w:szCs w:val="16"/>
      </w:rPr>
      <w:t xml:space="preserve"> </w:t>
    </w:r>
  </w:p>
  <w:p w:rsidR="007929FE" w:rsidRDefault="007929FE" w:rsidP="00AF2748">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sidRPr="00CE49C7">
        <w:rPr>
          <w:rStyle w:val="Hyperlink"/>
          <w:rFonts w:ascii="Arial" w:hAnsi="Arial" w:cs="Arial"/>
          <w:sz w:val="16"/>
          <w:szCs w:val="16"/>
        </w:rPr>
        <w:t>klewis@smmt.co.uk</w:t>
      </w:r>
    </w:hyperlink>
    <w:r>
      <w:rPr>
        <w:rFonts w:ascii="Arial" w:hAnsi="Arial" w:cs="Arial"/>
        <w:color w:val="1074CB"/>
        <w:sz w:val="16"/>
        <w:szCs w:val="16"/>
      </w:rPr>
      <w:t xml:space="preserve"> </w:t>
    </w:r>
  </w:p>
  <w:p w:rsidR="007929FE" w:rsidRDefault="007929FE" w:rsidP="00AF2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FE" w:rsidRDefault="007929FE" w:rsidP="00AF274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FE" w:rsidRDefault="007929FE" w:rsidP="00C078E2">
      <w:r>
        <w:separator/>
      </w:r>
    </w:p>
  </w:footnote>
  <w:footnote w:type="continuationSeparator" w:id="0">
    <w:p w:rsidR="007929FE" w:rsidRDefault="007929FE" w:rsidP="00C0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FE" w:rsidRDefault="007929FE" w:rsidP="00AF2748">
    <w:pPr>
      <w:pStyle w:val="Header"/>
      <w:jc w:val="right"/>
    </w:pPr>
    <w:r w:rsidRPr="0040241C">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7929FE" w:rsidRDefault="007929FE" w:rsidP="00AF2748">
    <w:pPr>
      <w:rPr>
        <w:rStyle w:val="Strong"/>
        <w:rFonts w:ascii="Arial" w:hAnsi="Arial" w:cs="Arial"/>
        <w:color w:val="1074CB"/>
        <w:sz w:val="20"/>
      </w:rPr>
    </w:pPr>
    <w:r>
      <w:rPr>
        <w:rStyle w:val="Strong"/>
        <w:rFonts w:ascii="Arial" w:hAnsi="Arial" w:cs="Arial"/>
        <w:color w:val="1074CB"/>
        <w:sz w:val="20"/>
      </w:rPr>
      <w:t xml:space="preserve">                                                                                   </w:t>
    </w:r>
  </w:p>
  <w:p w:rsidR="007929FE" w:rsidRDefault="007929FE" w:rsidP="00AF2748">
    <w:pPr>
      <w:rPr>
        <w:rStyle w:val="Strong"/>
        <w:rFonts w:ascii="Arial" w:hAnsi="Arial" w:cs="Arial"/>
        <w:color w:val="1074CB"/>
        <w:sz w:val="20"/>
      </w:rPr>
    </w:pPr>
  </w:p>
  <w:p w:rsidR="007929FE" w:rsidRDefault="007929FE" w:rsidP="00AF2748">
    <w:pPr>
      <w:rPr>
        <w:rStyle w:val="Strong"/>
        <w:rFonts w:ascii="Arial" w:hAnsi="Arial" w:cs="Arial"/>
        <w:color w:val="1074CB"/>
        <w:sz w:val="20"/>
      </w:rPr>
    </w:pPr>
  </w:p>
  <w:p w:rsidR="007929FE" w:rsidRDefault="007929FE" w:rsidP="00AF2748">
    <w:pPr>
      <w:rPr>
        <w:rStyle w:val="Strong"/>
        <w:rFonts w:ascii="Arial" w:hAnsi="Arial" w:cs="Arial"/>
        <w:color w:val="1074CB"/>
        <w:sz w:val="20"/>
      </w:rPr>
    </w:pPr>
  </w:p>
  <w:p w:rsidR="007929FE" w:rsidRDefault="007929FE" w:rsidP="00AF2748">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FE" w:rsidRDefault="00792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78E2"/>
    <w:rsid w:val="000316AE"/>
    <w:rsid w:val="000D0BF6"/>
    <w:rsid w:val="00121607"/>
    <w:rsid w:val="00161EDC"/>
    <w:rsid w:val="00164E43"/>
    <w:rsid w:val="001A5C90"/>
    <w:rsid w:val="001C51CC"/>
    <w:rsid w:val="002006D0"/>
    <w:rsid w:val="00236CD3"/>
    <w:rsid w:val="002A04BC"/>
    <w:rsid w:val="002F380D"/>
    <w:rsid w:val="00305DC2"/>
    <w:rsid w:val="00361F75"/>
    <w:rsid w:val="0039040F"/>
    <w:rsid w:val="00395794"/>
    <w:rsid w:val="00416E0E"/>
    <w:rsid w:val="004524C1"/>
    <w:rsid w:val="00473D48"/>
    <w:rsid w:val="004E2EB6"/>
    <w:rsid w:val="004E3E2E"/>
    <w:rsid w:val="004E5D68"/>
    <w:rsid w:val="00576FC2"/>
    <w:rsid w:val="005C28E0"/>
    <w:rsid w:val="006269ED"/>
    <w:rsid w:val="00661D6A"/>
    <w:rsid w:val="006F5155"/>
    <w:rsid w:val="007929FE"/>
    <w:rsid w:val="007E7CEF"/>
    <w:rsid w:val="008946C6"/>
    <w:rsid w:val="0091477D"/>
    <w:rsid w:val="009246A1"/>
    <w:rsid w:val="00A502AB"/>
    <w:rsid w:val="00A615FB"/>
    <w:rsid w:val="00A64393"/>
    <w:rsid w:val="00A93A3E"/>
    <w:rsid w:val="00AA635D"/>
    <w:rsid w:val="00AB264E"/>
    <w:rsid w:val="00AF2748"/>
    <w:rsid w:val="00B85768"/>
    <w:rsid w:val="00BA3E4E"/>
    <w:rsid w:val="00BE79CD"/>
    <w:rsid w:val="00C046E6"/>
    <w:rsid w:val="00C078E2"/>
    <w:rsid w:val="00C72FCF"/>
    <w:rsid w:val="00C86F46"/>
    <w:rsid w:val="00DA23A5"/>
    <w:rsid w:val="00DB053D"/>
    <w:rsid w:val="00DF0D00"/>
    <w:rsid w:val="00E50BDB"/>
    <w:rsid w:val="00E56562"/>
    <w:rsid w:val="00E56C54"/>
    <w:rsid w:val="00EE4E1C"/>
    <w:rsid w:val="00F33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8E2"/>
    <w:rPr>
      <w:rFonts w:ascii="Times" w:eastAsia="Times" w:hAnsi="Times"/>
      <w:sz w:val="24"/>
    </w:rPr>
  </w:style>
  <w:style w:type="paragraph" w:styleId="Heading1">
    <w:name w:val="heading 1"/>
    <w:basedOn w:val="Normal"/>
    <w:next w:val="Normal"/>
    <w:link w:val="Heading1Char"/>
    <w:qFormat/>
    <w:rsid w:val="00C078E2"/>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E2"/>
    <w:rPr>
      <w:rFonts w:ascii="Arial Bold" w:hAnsi="Arial Bold"/>
      <w:b/>
    </w:rPr>
  </w:style>
  <w:style w:type="paragraph" w:styleId="Header">
    <w:name w:val="header"/>
    <w:basedOn w:val="Normal"/>
    <w:link w:val="HeaderChar"/>
    <w:rsid w:val="00C078E2"/>
    <w:pPr>
      <w:tabs>
        <w:tab w:val="center" w:pos="4320"/>
        <w:tab w:val="right" w:pos="8640"/>
      </w:tabs>
    </w:pPr>
  </w:style>
  <w:style w:type="character" w:customStyle="1" w:styleId="HeaderChar">
    <w:name w:val="Header Char"/>
    <w:basedOn w:val="DefaultParagraphFont"/>
    <w:link w:val="Header"/>
    <w:rsid w:val="00C078E2"/>
    <w:rPr>
      <w:rFonts w:ascii="Times" w:eastAsia="Times" w:hAnsi="Times"/>
      <w:sz w:val="24"/>
    </w:rPr>
  </w:style>
  <w:style w:type="paragraph" w:styleId="Footer">
    <w:name w:val="footer"/>
    <w:basedOn w:val="Normal"/>
    <w:link w:val="FooterChar"/>
    <w:rsid w:val="00C078E2"/>
    <w:pPr>
      <w:tabs>
        <w:tab w:val="center" w:pos="4320"/>
        <w:tab w:val="right" w:pos="8640"/>
      </w:tabs>
    </w:pPr>
  </w:style>
  <w:style w:type="character" w:customStyle="1" w:styleId="FooterChar">
    <w:name w:val="Footer Char"/>
    <w:basedOn w:val="DefaultParagraphFont"/>
    <w:link w:val="Footer"/>
    <w:rsid w:val="00C078E2"/>
    <w:rPr>
      <w:rFonts w:ascii="Times" w:eastAsia="Times" w:hAnsi="Times"/>
      <w:sz w:val="24"/>
    </w:rPr>
  </w:style>
  <w:style w:type="character" w:styleId="Hyperlink">
    <w:name w:val="Hyperlink"/>
    <w:basedOn w:val="DefaultParagraphFont"/>
    <w:rsid w:val="00C078E2"/>
    <w:rPr>
      <w:color w:val="0000FF"/>
      <w:u w:val="single"/>
    </w:rPr>
  </w:style>
  <w:style w:type="character" w:styleId="Strong">
    <w:name w:val="Strong"/>
    <w:basedOn w:val="DefaultParagraphFont"/>
    <w:qFormat/>
    <w:rsid w:val="00C078E2"/>
    <w:rPr>
      <w:b/>
      <w:bCs/>
    </w:rPr>
  </w:style>
  <w:style w:type="paragraph" w:styleId="PlainText">
    <w:name w:val="Plain Text"/>
    <w:basedOn w:val="Normal"/>
    <w:link w:val="PlainTextChar"/>
    <w:uiPriority w:val="99"/>
    <w:unhideWhenUsed/>
    <w:rsid w:val="00C078E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C078E2"/>
    <w:rPr>
      <w:rFonts w:ascii="Arial" w:eastAsiaTheme="minorHAnsi" w:hAnsi="Arial" w:cstheme="minorBidi"/>
      <w:szCs w:val="21"/>
      <w:lang w:eastAsia="en-US"/>
    </w:rPr>
  </w:style>
  <w:style w:type="paragraph" w:styleId="Caption">
    <w:name w:val="caption"/>
    <w:basedOn w:val="Normal"/>
    <w:next w:val="Normal"/>
    <w:uiPriority w:val="35"/>
    <w:unhideWhenUsed/>
    <w:qFormat/>
    <w:rsid w:val="00C078E2"/>
    <w:pPr>
      <w:spacing w:after="200"/>
    </w:pPr>
    <w:rPr>
      <w:b/>
      <w:bCs/>
      <w:color w:val="4F81BD" w:themeColor="accent1"/>
      <w:sz w:val="18"/>
      <w:szCs w:val="18"/>
    </w:rPr>
  </w:style>
  <w:style w:type="paragraph" w:styleId="BalloonText">
    <w:name w:val="Balloon Text"/>
    <w:basedOn w:val="Normal"/>
    <w:link w:val="BalloonTextChar"/>
    <w:rsid w:val="00C078E2"/>
    <w:rPr>
      <w:rFonts w:ascii="Tahoma" w:hAnsi="Tahoma" w:cs="Tahoma"/>
      <w:sz w:val="16"/>
      <w:szCs w:val="16"/>
    </w:rPr>
  </w:style>
  <w:style w:type="character" w:customStyle="1" w:styleId="BalloonTextChar">
    <w:name w:val="Balloon Text Char"/>
    <w:basedOn w:val="DefaultParagraphFont"/>
    <w:link w:val="BalloonText"/>
    <w:rsid w:val="00C078E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94"/>
          <c:h val="0.71952136191309424"/>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'PR-12MONTH-charts'!$C$4:$BV$4</c:f>
              <c:numCache>
                <c:formatCode>General</c:formatCode>
                <c:ptCount val="72"/>
                <c:pt idx="0">
                  <c:v>1447.1529999999998</c:v>
                </c:pt>
                <c:pt idx="1">
                  <c:v>1431.6109999999999</c:v>
                </c:pt>
                <c:pt idx="2">
                  <c:v>1410.6589999999999</c:v>
                </c:pt>
                <c:pt idx="3">
                  <c:v>1412.5039999999999</c:v>
                </c:pt>
                <c:pt idx="4">
                  <c:v>1408.6849999999972</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1009.3649999999988</c:v>
                </c:pt>
                <c:pt idx="31">
                  <c:v>983.24400000000003</c:v>
                </c:pt>
                <c:pt idx="32">
                  <c:v>960.25400000000002</c:v>
                </c:pt>
                <c:pt idx="33">
                  <c:v>952.62300000000005</c:v>
                </c:pt>
                <c:pt idx="34">
                  <c:v>967.96699999999839</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1443.8389999999999</c:v>
                </c:pt>
                <c:pt idx="69">
                  <c:v>1452.213</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'PR-12MONTH-charts'!$C$5:$BV$5</c:f>
              <c:numCache>
                <c:formatCode>General</c:formatCode>
                <c:ptCount val="72"/>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1167.6849999999972</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1003.4599999999994</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905.96299999999826</c:v>
                </c:pt>
                <c:pt idx="44">
                  <c:v>922.69299999999998</c:v>
                </c:pt>
                <c:pt idx="45">
                  <c:v>928.33599999999876</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1199.9050000000011</c:v>
                </c:pt>
                <c:pt idx="66">
                  <c:v>1217.319</c:v>
                </c:pt>
                <c:pt idx="67">
                  <c:v>1211.8429999999998</c:v>
                </c:pt>
                <c:pt idx="68">
                  <c:v>1201.8609999999999</c:v>
                </c:pt>
                <c:pt idx="69">
                  <c:v>1207.1529999999998</c:v>
                </c:pt>
              </c:numCache>
            </c:numRef>
          </c:val>
        </c:ser>
        <c:marker val="1"/>
        <c:axId val="107336832"/>
        <c:axId val="107338752"/>
      </c:lineChart>
      <c:catAx>
        <c:axId val="107336832"/>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07338752"/>
        <c:crosses val="autoZero"/>
        <c:auto val="1"/>
        <c:lblAlgn val="ctr"/>
        <c:lblOffset val="100"/>
        <c:tickMarkSkip val="12"/>
      </c:catAx>
      <c:valAx>
        <c:axId val="107338752"/>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07336832"/>
        <c:crosses val="autoZero"/>
        <c:crossBetween val="between"/>
      </c:valAx>
    </c:plotArea>
    <c:legend>
      <c:legendPos val="r"/>
      <c:layout>
        <c:manualLayout>
          <c:xMode val="edge"/>
          <c:yMode val="edge"/>
          <c:x val="4.6204769379026719E-2"/>
          <c:y val="1.7857173997583041E-2"/>
          <c:w val="0.93729675026025638"/>
          <c:h val="0.10000017438646501"/>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7543884334045926"/>
          <c:y val="0.13010425780110821"/>
          <c:w val="0.70004527784542614"/>
          <c:h val="0.71952136191309424"/>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'PR-12MONTH-charts'!$C$9:$BV$9</c:f>
              <c:numCache>
                <c:formatCode>General</c:formatCode>
                <c:ptCount val="72"/>
                <c:pt idx="0">
                  <c:v>209.13800000000001</c:v>
                </c:pt>
                <c:pt idx="1">
                  <c:v>208.41499999999999</c:v>
                </c:pt>
                <c:pt idx="2">
                  <c:v>207.38600000000031</c:v>
                </c:pt>
                <c:pt idx="3">
                  <c:v>207.62</c:v>
                </c:pt>
                <c:pt idx="4">
                  <c:v>209.48000000000027</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164.8970000000003</c:v>
                </c:pt>
                <c:pt idx="27">
                  <c:v>150.56800000000001</c:v>
                </c:pt>
                <c:pt idx="28">
                  <c:v>137.55800000000031</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103.93400000000015</c:v>
                </c:pt>
                <c:pt idx="40">
                  <c:v>109.98699999999999</c:v>
                </c:pt>
                <c:pt idx="41">
                  <c:v>112.111</c:v>
                </c:pt>
                <c:pt idx="42">
                  <c:v>113.232</c:v>
                </c:pt>
                <c:pt idx="43">
                  <c:v>114.29600000000002</c:v>
                </c:pt>
                <c:pt idx="44">
                  <c:v>115.91900000000012</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115.91700000000016</c:v>
                </c:pt>
                <c:pt idx="68">
                  <c:v>113.47799999999999</c:v>
                </c:pt>
                <c:pt idx="69">
                  <c:v>114.04</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'PR-12MONTH-charts'!$C$10:$BV$10</c:f>
              <c:numCache>
                <c:formatCode>General</c:formatCode>
                <c:ptCount val="72"/>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136.85100000000031</c:v>
                </c:pt>
                <c:pt idx="22">
                  <c:v>130.52600000000001</c:v>
                </c:pt>
                <c:pt idx="23">
                  <c:v>125.611</c:v>
                </c:pt>
                <c:pt idx="24">
                  <c:v>119.71899999999999</c:v>
                </c:pt>
                <c:pt idx="25">
                  <c:v>112.473</c:v>
                </c:pt>
                <c:pt idx="26">
                  <c:v>106.93700000000015</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69.414000000000186</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numCache>
            </c:numRef>
          </c:val>
        </c:ser>
        <c:marker val="1"/>
        <c:axId val="91750400"/>
        <c:axId val="91751936"/>
      </c:lineChart>
      <c:catAx>
        <c:axId val="9175040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1751936"/>
        <c:crosses val="autoZero"/>
        <c:auto val="1"/>
        <c:lblAlgn val="ctr"/>
        <c:lblOffset val="100"/>
        <c:tickMarkSkip val="12"/>
      </c:catAx>
      <c:valAx>
        <c:axId val="91751936"/>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1750400"/>
        <c:crosses val="autoZero"/>
        <c:crossBetween val="between"/>
        <c:majorUnit val="50"/>
      </c:valAx>
    </c:plotArea>
    <c:legend>
      <c:legendPos val="r"/>
      <c:layout>
        <c:manualLayout>
          <c:xMode val="edge"/>
          <c:yMode val="edge"/>
          <c:x val="4.8110127087786884E-2"/>
          <c:y val="2.8571478396132787E-2"/>
          <c:w val="0.93814747821184463"/>
          <c:h val="0.10000017438646502"/>
        </c:manualLayout>
      </c:layout>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56A7-3FD0-4B64-A247-67B18C1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lawrek</cp:lastModifiedBy>
  <cp:revision>5</cp:revision>
  <cp:lastPrinted>2012-11-15T08:56:00Z</cp:lastPrinted>
  <dcterms:created xsi:type="dcterms:W3CDTF">2012-11-14T18:09:00Z</dcterms:created>
  <dcterms:modified xsi:type="dcterms:W3CDTF">2012-11-15T08:58:00Z</dcterms:modified>
</cp:coreProperties>
</file>