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CB7097" w:rsidP="00FD59F4">
      <w:pPr>
        <w:pStyle w:val="Heading1"/>
        <w:ind w:right="142"/>
      </w:pPr>
      <w:r>
        <w:rPr>
          <w:rFonts w:ascii="Arial" w:eastAsiaTheme="minorEastAsia" w:hAnsi="Arial" w:cs="Arial"/>
          <w:b w:val="0"/>
          <w:bCs/>
          <w:color w:val="1074CB"/>
          <w:sz w:val="44"/>
          <w:szCs w:val="44"/>
        </w:rPr>
        <w:t>20 November</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October</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1D111B" w:rsidP="00C80E70">
      <w:r w:rsidRPr="001D111B">
        <w:rPr>
          <w:rFonts w:ascii="Arial" w:eastAsiaTheme="minorEastAsia" w:hAnsi="Arial" w:cs="Arial"/>
          <w:b/>
          <w:bCs/>
          <w:noProof/>
          <w:color w:val="1074CB"/>
          <w:sz w:val="20"/>
        </w:rPr>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w:r>
    </w:p>
    <w:p w:rsidR="00924274" w:rsidRPr="00924274" w:rsidRDefault="00CB7097"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Engine production remains subdued in October</w:t>
      </w:r>
    </w:p>
    <w:p w:rsidR="00C80E70" w:rsidRDefault="00C80E70" w:rsidP="00C80E70">
      <w:pPr>
        <w:spacing w:line="276" w:lineRule="auto"/>
        <w:rPr>
          <w:rFonts w:ascii="Verdana" w:hAnsi="Verdana"/>
          <w:sz w:val="20"/>
        </w:rPr>
      </w:pPr>
    </w:p>
    <w:p w:rsidR="00642552" w:rsidRDefault="00CB7097" w:rsidP="005F4C35">
      <w:pPr>
        <w:pStyle w:val="ListParagraph"/>
        <w:numPr>
          <w:ilvl w:val="0"/>
          <w:numId w:val="1"/>
        </w:numPr>
        <w:ind w:left="357" w:hanging="357"/>
        <w:rPr>
          <w:rFonts w:ascii="Arial" w:hAnsi="Arial" w:cs="Arial"/>
          <w:sz w:val="20"/>
        </w:rPr>
      </w:pPr>
      <w:r>
        <w:rPr>
          <w:rFonts w:ascii="Arial" w:hAnsi="Arial" w:cs="Arial"/>
          <w:sz w:val="20"/>
        </w:rPr>
        <w:t>UK engine production fell 17.0% to 211,258 units in October as re-tooling for new models continued.</w:t>
      </w:r>
    </w:p>
    <w:p w:rsidR="00642552" w:rsidRDefault="00642552" w:rsidP="00642552">
      <w:pPr>
        <w:pStyle w:val="ListParagraph"/>
        <w:ind w:left="357"/>
        <w:rPr>
          <w:rFonts w:ascii="Arial" w:hAnsi="Arial" w:cs="Arial"/>
          <w:sz w:val="20"/>
        </w:rPr>
      </w:pPr>
    </w:p>
    <w:p w:rsidR="005F4C35" w:rsidRDefault="00CB7097" w:rsidP="005F4C35">
      <w:pPr>
        <w:pStyle w:val="ListParagraph"/>
        <w:numPr>
          <w:ilvl w:val="0"/>
          <w:numId w:val="1"/>
        </w:numPr>
        <w:ind w:left="357" w:hanging="357"/>
        <w:rPr>
          <w:rFonts w:ascii="Arial" w:hAnsi="Arial" w:cs="Arial"/>
          <w:sz w:val="20"/>
        </w:rPr>
      </w:pPr>
      <w:r>
        <w:rPr>
          <w:rFonts w:ascii="Arial" w:hAnsi="Arial" w:cs="Arial"/>
          <w:sz w:val="20"/>
        </w:rPr>
        <w:t>2,033,199 engines built so far in 2014 – a fall of 6.4%.</w:t>
      </w:r>
    </w:p>
    <w:p w:rsidR="005F4C35" w:rsidRPr="00642552" w:rsidRDefault="005F4C35" w:rsidP="00642552">
      <w:pPr>
        <w:rPr>
          <w:rFonts w:ascii="Arial" w:hAnsi="Arial" w:cs="Arial"/>
          <w:sz w:val="20"/>
        </w:rPr>
      </w:pPr>
    </w:p>
    <w:p w:rsidR="005F4C35" w:rsidRPr="005F4C35" w:rsidRDefault="00CF02B6" w:rsidP="005F4C35">
      <w:pPr>
        <w:pStyle w:val="ListParagraph"/>
        <w:numPr>
          <w:ilvl w:val="0"/>
          <w:numId w:val="1"/>
        </w:numPr>
        <w:ind w:left="357" w:hanging="357"/>
        <w:rPr>
          <w:rFonts w:ascii="Arial" w:hAnsi="Arial" w:cs="Arial"/>
          <w:sz w:val="20"/>
        </w:rPr>
      </w:pPr>
      <w:r>
        <w:rPr>
          <w:rFonts w:ascii="Arial" w:hAnsi="Arial" w:cs="Arial"/>
          <w:sz w:val="20"/>
        </w:rPr>
        <w:t>Outlook is positive for the long-term, with</w:t>
      </w:r>
      <w:r w:rsidR="00CB7097">
        <w:rPr>
          <w:rFonts w:ascii="Arial" w:hAnsi="Arial" w:cs="Arial"/>
          <w:sz w:val="20"/>
        </w:rPr>
        <w:t xml:space="preserve"> UK engine production receiv</w:t>
      </w:r>
      <w:r>
        <w:rPr>
          <w:rFonts w:ascii="Arial" w:hAnsi="Arial" w:cs="Arial"/>
          <w:sz w:val="20"/>
        </w:rPr>
        <w:t>ing</w:t>
      </w:r>
      <w:r w:rsidR="00CB7097">
        <w:rPr>
          <w:rFonts w:ascii="Arial" w:hAnsi="Arial" w:cs="Arial"/>
          <w:sz w:val="20"/>
        </w:rPr>
        <w:t xml:space="preserve"> significant </w:t>
      </w:r>
      <w:r>
        <w:rPr>
          <w:rFonts w:ascii="Arial" w:hAnsi="Arial" w:cs="Arial"/>
          <w:sz w:val="20"/>
        </w:rPr>
        <w:t>recent investment</w:t>
      </w:r>
      <w:r w:rsidR="00CB7097">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B7097" w:rsidRPr="00761183" w:rsidTr="00CB7097">
        <w:trPr>
          <w:trHeight w:val="270"/>
          <w:jc w:val="right"/>
        </w:trPr>
        <w:tc>
          <w:tcPr>
            <w:tcW w:w="2448" w:type="dxa"/>
            <w:shd w:val="clear" w:color="auto" w:fill="auto"/>
            <w:noWrap/>
            <w:vAlign w:val="bottom"/>
            <w:hideMark/>
          </w:tcPr>
          <w:p w:rsidR="00CB7097" w:rsidRPr="001E4D53" w:rsidRDefault="00CB7097" w:rsidP="00CB7097">
            <w:pPr>
              <w:jc w:val="center"/>
              <w:rPr>
                <w:rFonts w:ascii="Arial" w:hAnsi="Arial" w:cs="Arial"/>
                <w:b/>
                <w:color w:val="002060"/>
                <w:sz w:val="20"/>
              </w:rPr>
            </w:pPr>
            <w:r w:rsidRPr="001E4D53">
              <w:rPr>
                <w:rFonts w:ascii="Arial" w:hAnsi="Arial" w:cs="Arial"/>
                <w:b/>
                <w:color w:val="002060"/>
                <w:sz w:val="20"/>
              </w:rPr>
              <w:t>Engine manufacturing</w:t>
            </w:r>
          </w:p>
        </w:tc>
        <w:tc>
          <w:tcPr>
            <w:tcW w:w="1109"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Oct-13</w:t>
            </w:r>
          </w:p>
        </w:tc>
        <w:tc>
          <w:tcPr>
            <w:tcW w:w="992"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Oct-14</w:t>
            </w:r>
          </w:p>
        </w:tc>
        <w:tc>
          <w:tcPr>
            <w:tcW w:w="1276"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 Change</w:t>
            </w:r>
          </w:p>
        </w:tc>
        <w:tc>
          <w:tcPr>
            <w:tcW w:w="1134"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YTD-13</w:t>
            </w:r>
          </w:p>
        </w:tc>
        <w:tc>
          <w:tcPr>
            <w:tcW w:w="1140"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YTD-14</w:t>
            </w:r>
          </w:p>
        </w:tc>
        <w:tc>
          <w:tcPr>
            <w:tcW w:w="1354" w:type="dxa"/>
            <w:shd w:val="clear" w:color="auto" w:fill="auto"/>
            <w:noWrap/>
            <w:vAlign w:val="bottom"/>
            <w:hideMark/>
          </w:tcPr>
          <w:p w:rsidR="00CB7097" w:rsidRPr="00CB7097" w:rsidRDefault="00CB7097" w:rsidP="00CB7097">
            <w:pPr>
              <w:jc w:val="center"/>
              <w:rPr>
                <w:rFonts w:ascii="Arial" w:eastAsia="Times New Roman" w:hAnsi="Arial" w:cs="Arial"/>
                <w:b/>
                <w:color w:val="0D2255"/>
                <w:sz w:val="20"/>
              </w:rPr>
            </w:pPr>
            <w:r w:rsidRPr="00CB7097">
              <w:rPr>
                <w:rFonts w:ascii="Arial" w:eastAsia="Times New Roman" w:hAnsi="Arial" w:cs="Arial"/>
                <w:b/>
                <w:color w:val="0D2255"/>
                <w:sz w:val="20"/>
              </w:rPr>
              <w:t>% Change</w:t>
            </w:r>
          </w:p>
        </w:tc>
      </w:tr>
      <w:tr w:rsidR="00CB7097" w:rsidRPr="00761183" w:rsidTr="00CB7097">
        <w:trPr>
          <w:trHeight w:val="270"/>
          <w:jc w:val="right"/>
        </w:trPr>
        <w:tc>
          <w:tcPr>
            <w:tcW w:w="2448" w:type="dxa"/>
            <w:shd w:val="clear" w:color="auto" w:fill="auto"/>
            <w:noWrap/>
            <w:vAlign w:val="bottom"/>
            <w:hideMark/>
          </w:tcPr>
          <w:p w:rsidR="00CB7097" w:rsidRPr="001E4D53" w:rsidRDefault="00CB7097" w:rsidP="00CB7097">
            <w:pPr>
              <w:jc w:val="right"/>
              <w:rPr>
                <w:rFonts w:ascii="Arial" w:hAnsi="Arial" w:cs="Arial"/>
                <w:b/>
                <w:color w:val="002060"/>
                <w:sz w:val="20"/>
              </w:rPr>
            </w:pPr>
            <w:r w:rsidRPr="001E4D53">
              <w:rPr>
                <w:rFonts w:ascii="Arial" w:hAnsi="Arial" w:cs="Arial"/>
                <w:b/>
                <w:color w:val="002060"/>
                <w:sz w:val="20"/>
              </w:rPr>
              <w:t>Total</w:t>
            </w:r>
          </w:p>
        </w:tc>
        <w:tc>
          <w:tcPr>
            <w:tcW w:w="1109"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20"/>
              </w:rPr>
            </w:pPr>
            <w:r w:rsidRPr="00CB7097">
              <w:rPr>
                <w:rFonts w:ascii="Arial" w:eastAsia="Times New Roman" w:hAnsi="Arial" w:cs="Arial"/>
                <w:b/>
                <w:color w:val="0D2255"/>
                <w:sz w:val="20"/>
              </w:rPr>
              <w:t>254,480</w:t>
            </w:r>
          </w:p>
        </w:tc>
        <w:tc>
          <w:tcPr>
            <w:tcW w:w="992"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20"/>
              </w:rPr>
            </w:pPr>
            <w:r w:rsidRPr="00CB7097">
              <w:rPr>
                <w:rFonts w:ascii="Arial" w:eastAsia="Times New Roman" w:hAnsi="Arial" w:cs="Arial"/>
                <w:b/>
                <w:color w:val="0D2255"/>
                <w:sz w:val="20"/>
              </w:rPr>
              <w:t>211,258</w:t>
            </w:r>
          </w:p>
        </w:tc>
        <w:tc>
          <w:tcPr>
            <w:tcW w:w="1276"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18"/>
                <w:szCs w:val="18"/>
              </w:rPr>
            </w:pPr>
            <w:r w:rsidRPr="00CB7097">
              <w:rPr>
                <w:rFonts w:ascii="Arial" w:eastAsia="Times New Roman" w:hAnsi="Arial" w:cs="Arial"/>
                <w:b/>
                <w:color w:val="0D2255"/>
                <w:sz w:val="18"/>
                <w:szCs w:val="18"/>
              </w:rPr>
              <w:t>-17.0%</w:t>
            </w:r>
          </w:p>
        </w:tc>
        <w:tc>
          <w:tcPr>
            <w:tcW w:w="1134"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20"/>
              </w:rPr>
            </w:pPr>
            <w:r w:rsidRPr="00CB7097">
              <w:rPr>
                <w:rFonts w:ascii="Arial" w:eastAsia="Times New Roman" w:hAnsi="Arial" w:cs="Arial"/>
                <w:b/>
                <w:color w:val="0D2255"/>
                <w:sz w:val="20"/>
              </w:rPr>
              <w:t>2,172,775</w:t>
            </w:r>
          </w:p>
        </w:tc>
        <w:tc>
          <w:tcPr>
            <w:tcW w:w="1140"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20"/>
              </w:rPr>
            </w:pPr>
            <w:r w:rsidRPr="00CB7097">
              <w:rPr>
                <w:rFonts w:ascii="Arial" w:eastAsia="Times New Roman" w:hAnsi="Arial" w:cs="Arial"/>
                <w:b/>
                <w:color w:val="0D2255"/>
                <w:sz w:val="20"/>
              </w:rPr>
              <w:t>2,033,199</w:t>
            </w:r>
          </w:p>
        </w:tc>
        <w:tc>
          <w:tcPr>
            <w:tcW w:w="1354" w:type="dxa"/>
            <w:shd w:val="clear" w:color="auto" w:fill="auto"/>
            <w:noWrap/>
            <w:vAlign w:val="bottom"/>
            <w:hideMark/>
          </w:tcPr>
          <w:p w:rsidR="00CB7097" w:rsidRPr="00CB7097" w:rsidRDefault="00CB7097" w:rsidP="00CB7097">
            <w:pPr>
              <w:jc w:val="right"/>
              <w:rPr>
                <w:rFonts w:ascii="Arial" w:eastAsia="Times New Roman" w:hAnsi="Arial" w:cs="Arial"/>
                <w:b/>
                <w:color w:val="0D2255"/>
                <w:sz w:val="18"/>
                <w:szCs w:val="18"/>
              </w:rPr>
            </w:pPr>
            <w:r w:rsidRPr="00CB7097">
              <w:rPr>
                <w:rFonts w:ascii="Arial" w:eastAsia="Times New Roman" w:hAnsi="Arial" w:cs="Arial"/>
                <w:b/>
                <w:color w:val="0D2255"/>
                <w:sz w:val="18"/>
                <w:szCs w:val="18"/>
              </w:rPr>
              <w:t>-6.4%</w:t>
            </w:r>
          </w:p>
        </w:tc>
      </w:tr>
      <w:tr w:rsidR="00CB7097" w:rsidRPr="00761183" w:rsidTr="00CB7097">
        <w:trPr>
          <w:trHeight w:val="270"/>
          <w:jc w:val="right"/>
        </w:trPr>
        <w:tc>
          <w:tcPr>
            <w:tcW w:w="2448" w:type="dxa"/>
            <w:shd w:val="clear" w:color="auto" w:fill="auto"/>
            <w:noWrap/>
            <w:vAlign w:val="bottom"/>
            <w:hideMark/>
          </w:tcPr>
          <w:p w:rsidR="00CB7097" w:rsidRPr="001E4D53" w:rsidRDefault="00CB7097" w:rsidP="00CB7097">
            <w:pPr>
              <w:jc w:val="right"/>
              <w:rPr>
                <w:rFonts w:ascii="Arial" w:hAnsi="Arial" w:cs="Arial"/>
                <w:color w:val="002060"/>
                <w:sz w:val="20"/>
              </w:rPr>
            </w:pPr>
            <w:r w:rsidRPr="001E4D53">
              <w:rPr>
                <w:rFonts w:ascii="Arial" w:hAnsi="Arial" w:cs="Arial"/>
                <w:color w:val="002060"/>
                <w:sz w:val="20"/>
              </w:rPr>
              <w:t>Home</w:t>
            </w:r>
          </w:p>
        </w:tc>
        <w:tc>
          <w:tcPr>
            <w:tcW w:w="1109"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109,425</w:t>
            </w:r>
          </w:p>
        </w:tc>
        <w:tc>
          <w:tcPr>
            <w:tcW w:w="992"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91,603</w:t>
            </w:r>
          </w:p>
        </w:tc>
        <w:tc>
          <w:tcPr>
            <w:tcW w:w="1276" w:type="dxa"/>
            <w:shd w:val="clear" w:color="auto" w:fill="auto"/>
            <w:noWrap/>
            <w:vAlign w:val="bottom"/>
            <w:hideMark/>
          </w:tcPr>
          <w:p w:rsidR="00CB7097" w:rsidRPr="00CB7097" w:rsidRDefault="00CB7097" w:rsidP="00CB7097">
            <w:pPr>
              <w:jc w:val="right"/>
              <w:rPr>
                <w:rFonts w:ascii="Arial" w:eastAsia="Times New Roman" w:hAnsi="Arial" w:cs="Arial"/>
                <w:color w:val="0D2255"/>
                <w:sz w:val="18"/>
                <w:szCs w:val="18"/>
              </w:rPr>
            </w:pPr>
            <w:r w:rsidRPr="00CB7097">
              <w:rPr>
                <w:rFonts w:ascii="Arial" w:eastAsia="Times New Roman" w:hAnsi="Arial" w:cs="Arial"/>
                <w:color w:val="0D2255"/>
                <w:sz w:val="18"/>
                <w:szCs w:val="18"/>
              </w:rPr>
              <w:t>-16.3%</w:t>
            </w:r>
          </w:p>
        </w:tc>
        <w:tc>
          <w:tcPr>
            <w:tcW w:w="1134"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882,142</w:t>
            </w:r>
          </w:p>
        </w:tc>
        <w:tc>
          <w:tcPr>
            <w:tcW w:w="1140"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756,511</w:t>
            </w:r>
          </w:p>
        </w:tc>
        <w:tc>
          <w:tcPr>
            <w:tcW w:w="1354" w:type="dxa"/>
            <w:shd w:val="clear" w:color="auto" w:fill="auto"/>
            <w:noWrap/>
            <w:vAlign w:val="bottom"/>
            <w:hideMark/>
          </w:tcPr>
          <w:p w:rsidR="00CB7097" w:rsidRPr="00CB7097" w:rsidRDefault="00CB7097" w:rsidP="00CB7097">
            <w:pPr>
              <w:jc w:val="right"/>
              <w:rPr>
                <w:rFonts w:ascii="Arial" w:eastAsia="Times New Roman" w:hAnsi="Arial" w:cs="Arial"/>
                <w:color w:val="0D2255"/>
                <w:sz w:val="18"/>
                <w:szCs w:val="18"/>
              </w:rPr>
            </w:pPr>
            <w:r w:rsidRPr="00CB7097">
              <w:rPr>
                <w:rFonts w:ascii="Arial" w:eastAsia="Times New Roman" w:hAnsi="Arial" w:cs="Arial"/>
                <w:color w:val="0D2255"/>
                <w:sz w:val="18"/>
                <w:szCs w:val="18"/>
              </w:rPr>
              <w:t>-14.2%</w:t>
            </w:r>
          </w:p>
        </w:tc>
      </w:tr>
      <w:tr w:rsidR="00CB7097" w:rsidRPr="00761183" w:rsidTr="00CB7097">
        <w:trPr>
          <w:trHeight w:val="270"/>
          <w:jc w:val="right"/>
        </w:trPr>
        <w:tc>
          <w:tcPr>
            <w:tcW w:w="2448" w:type="dxa"/>
            <w:shd w:val="clear" w:color="auto" w:fill="auto"/>
            <w:noWrap/>
            <w:vAlign w:val="bottom"/>
            <w:hideMark/>
          </w:tcPr>
          <w:p w:rsidR="00CB7097" w:rsidRPr="001E4D53" w:rsidRDefault="00CB7097" w:rsidP="00CB7097">
            <w:pPr>
              <w:jc w:val="right"/>
              <w:rPr>
                <w:rFonts w:ascii="Arial" w:hAnsi="Arial" w:cs="Arial"/>
                <w:color w:val="002060"/>
                <w:sz w:val="20"/>
              </w:rPr>
            </w:pPr>
            <w:r w:rsidRPr="001E4D53">
              <w:rPr>
                <w:rFonts w:ascii="Arial" w:hAnsi="Arial" w:cs="Arial"/>
                <w:color w:val="002060"/>
                <w:sz w:val="20"/>
              </w:rPr>
              <w:t>Export</w:t>
            </w:r>
          </w:p>
        </w:tc>
        <w:tc>
          <w:tcPr>
            <w:tcW w:w="1109"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145,055</w:t>
            </w:r>
          </w:p>
        </w:tc>
        <w:tc>
          <w:tcPr>
            <w:tcW w:w="992"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119,655</w:t>
            </w:r>
          </w:p>
        </w:tc>
        <w:tc>
          <w:tcPr>
            <w:tcW w:w="1276" w:type="dxa"/>
            <w:shd w:val="clear" w:color="auto" w:fill="auto"/>
            <w:noWrap/>
            <w:vAlign w:val="bottom"/>
            <w:hideMark/>
          </w:tcPr>
          <w:p w:rsidR="00CB7097" w:rsidRPr="00CB7097" w:rsidRDefault="00CB7097" w:rsidP="00CB7097">
            <w:pPr>
              <w:jc w:val="right"/>
              <w:rPr>
                <w:rFonts w:ascii="Arial" w:eastAsia="Times New Roman" w:hAnsi="Arial" w:cs="Arial"/>
                <w:color w:val="0D2255"/>
                <w:sz w:val="18"/>
                <w:szCs w:val="18"/>
              </w:rPr>
            </w:pPr>
            <w:r w:rsidRPr="00CB7097">
              <w:rPr>
                <w:rFonts w:ascii="Arial" w:eastAsia="Times New Roman" w:hAnsi="Arial" w:cs="Arial"/>
                <w:color w:val="0D2255"/>
                <w:sz w:val="18"/>
                <w:szCs w:val="18"/>
              </w:rPr>
              <w:t>-17.5%</w:t>
            </w:r>
          </w:p>
        </w:tc>
        <w:tc>
          <w:tcPr>
            <w:tcW w:w="1134"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1,290,633</w:t>
            </w:r>
          </w:p>
        </w:tc>
        <w:tc>
          <w:tcPr>
            <w:tcW w:w="1140"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1,276,688</w:t>
            </w:r>
          </w:p>
        </w:tc>
        <w:tc>
          <w:tcPr>
            <w:tcW w:w="1354" w:type="dxa"/>
            <w:shd w:val="clear" w:color="auto" w:fill="auto"/>
            <w:noWrap/>
            <w:vAlign w:val="bottom"/>
            <w:hideMark/>
          </w:tcPr>
          <w:p w:rsidR="00CB7097" w:rsidRPr="00CB7097" w:rsidRDefault="00CB7097" w:rsidP="00CB7097">
            <w:pPr>
              <w:jc w:val="right"/>
              <w:rPr>
                <w:rFonts w:ascii="Arial" w:eastAsia="Times New Roman" w:hAnsi="Arial" w:cs="Arial"/>
                <w:color w:val="0D2255"/>
                <w:sz w:val="18"/>
                <w:szCs w:val="18"/>
              </w:rPr>
            </w:pPr>
            <w:r w:rsidRPr="00CB7097">
              <w:rPr>
                <w:rFonts w:ascii="Arial" w:eastAsia="Times New Roman" w:hAnsi="Arial" w:cs="Arial"/>
                <w:color w:val="0D2255"/>
                <w:sz w:val="18"/>
                <w:szCs w:val="18"/>
              </w:rPr>
              <w:t>-1.1%</w:t>
            </w:r>
          </w:p>
        </w:tc>
      </w:tr>
      <w:tr w:rsidR="00CB7097" w:rsidRPr="00761183" w:rsidTr="00CB7097">
        <w:trPr>
          <w:trHeight w:val="270"/>
          <w:jc w:val="right"/>
        </w:trPr>
        <w:tc>
          <w:tcPr>
            <w:tcW w:w="2448" w:type="dxa"/>
            <w:shd w:val="clear" w:color="auto" w:fill="auto"/>
            <w:noWrap/>
            <w:vAlign w:val="bottom"/>
            <w:hideMark/>
          </w:tcPr>
          <w:p w:rsidR="00CB7097" w:rsidRPr="001E4D53" w:rsidRDefault="00CB7097" w:rsidP="00CB7097">
            <w:pPr>
              <w:jc w:val="right"/>
              <w:rPr>
                <w:rFonts w:ascii="Arial" w:hAnsi="Arial" w:cs="Arial"/>
                <w:color w:val="002060"/>
                <w:sz w:val="20"/>
              </w:rPr>
            </w:pPr>
            <w:r w:rsidRPr="001E4D53">
              <w:rPr>
                <w:rFonts w:ascii="Arial" w:hAnsi="Arial" w:cs="Arial"/>
                <w:color w:val="002060"/>
                <w:sz w:val="20"/>
              </w:rPr>
              <w:t>% export</w:t>
            </w:r>
          </w:p>
        </w:tc>
        <w:tc>
          <w:tcPr>
            <w:tcW w:w="1109"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57.0%</w:t>
            </w:r>
          </w:p>
        </w:tc>
        <w:tc>
          <w:tcPr>
            <w:tcW w:w="992"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56.6%</w:t>
            </w:r>
          </w:p>
        </w:tc>
        <w:tc>
          <w:tcPr>
            <w:tcW w:w="1276"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p>
        </w:tc>
        <w:tc>
          <w:tcPr>
            <w:tcW w:w="1134"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59.4%</w:t>
            </w:r>
          </w:p>
        </w:tc>
        <w:tc>
          <w:tcPr>
            <w:tcW w:w="1140"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r w:rsidRPr="00CB7097">
              <w:rPr>
                <w:rFonts w:ascii="Arial" w:eastAsia="Times New Roman" w:hAnsi="Arial" w:cs="Arial"/>
                <w:color w:val="0D2255"/>
                <w:sz w:val="20"/>
              </w:rPr>
              <w:t>62.8%</w:t>
            </w:r>
          </w:p>
        </w:tc>
        <w:tc>
          <w:tcPr>
            <w:tcW w:w="1354" w:type="dxa"/>
            <w:shd w:val="clear" w:color="auto" w:fill="auto"/>
            <w:noWrap/>
            <w:vAlign w:val="bottom"/>
            <w:hideMark/>
          </w:tcPr>
          <w:p w:rsidR="00CB7097" w:rsidRPr="00CB7097" w:rsidRDefault="00CB7097" w:rsidP="00CB7097">
            <w:pPr>
              <w:jc w:val="right"/>
              <w:rPr>
                <w:rFonts w:ascii="Arial" w:eastAsia="Times New Roman" w:hAnsi="Arial" w:cs="Arial"/>
                <w:color w:val="0D2255"/>
                <w:sz w:val="20"/>
              </w:rPr>
            </w:pP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393036" w:rsidP="00C80E70">
      <w:pPr>
        <w:rPr>
          <w:rFonts w:ascii="Verdana" w:hAnsi="Verdana"/>
          <w:sz w:val="20"/>
        </w:rPr>
      </w:pPr>
      <w:r>
        <w:rPr>
          <w:rFonts w:ascii="Arial" w:hAnsi="Arial" w:cs="Arial"/>
          <w:b/>
          <w:color w:val="0D2255"/>
          <w:sz w:val="20"/>
        </w:rPr>
        <w:t xml:space="preserve">  </w:t>
      </w:r>
      <w:r w:rsidR="00C80E70">
        <w:rPr>
          <w:rFonts w:ascii="Arial" w:hAnsi="Arial" w:cs="Arial"/>
          <w:b/>
          <w:color w:val="0D2255"/>
          <w:sz w:val="20"/>
        </w:rPr>
        <w:t>Engine</w:t>
      </w:r>
      <w:r w:rsidR="00C80E70" w:rsidRPr="00D62A9D">
        <w:rPr>
          <w:rFonts w:ascii="Arial" w:hAnsi="Arial" w:cs="Arial"/>
          <w:b/>
          <w:color w:val="0D2255"/>
          <w:sz w:val="20"/>
        </w:rPr>
        <w:t xml:space="preserve"> output </w:t>
      </w:r>
      <w:r w:rsidR="00CB7097">
        <w:rPr>
          <w:rFonts w:ascii="Arial" w:hAnsi="Arial" w:cs="Arial"/>
          <w:b/>
          <w:color w:val="0D2255"/>
          <w:sz w:val="20"/>
        </w:rPr>
        <w:t xml:space="preserve">– </w:t>
      </w:r>
      <w:r w:rsidR="00C80E70" w:rsidRPr="00D62A9D">
        <w:rPr>
          <w:rFonts w:ascii="Arial" w:hAnsi="Arial" w:cs="Arial"/>
          <w:b/>
          <w:color w:val="0D2255"/>
          <w:sz w:val="20"/>
        </w:rPr>
        <w:t>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Pr>
          <w:rFonts w:ascii="Arial" w:hAnsi="Arial" w:cs="Arial"/>
          <w:b/>
          <w:color w:val="0D2255"/>
          <w:sz w:val="20"/>
        </w:rPr>
        <w:t xml:space="preserve">     </w:t>
      </w:r>
      <w:r w:rsidR="00545182">
        <w:rPr>
          <w:rFonts w:ascii="Arial" w:hAnsi="Arial" w:cs="Arial"/>
          <w:b/>
          <w:color w:val="0D2255"/>
          <w:sz w:val="20"/>
        </w:rPr>
        <w:t>Engine output</w:t>
      </w:r>
      <w:r w:rsidR="00CB7097">
        <w:rPr>
          <w:rFonts w:ascii="Arial" w:hAnsi="Arial" w:cs="Arial"/>
          <w:b/>
          <w:color w:val="0D2255"/>
          <w:sz w:val="20"/>
        </w:rPr>
        <w:t xml:space="preserve"> – January-October</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0B47D6" w:rsidP="00C80E70"/>
    <w:p w:rsidR="000B47D6" w:rsidRPr="000B47D6" w:rsidRDefault="00CB7097" w:rsidP="000B47D6">
      <w:r w:rsidRPr="00267446">
        <w:rPr>
          <w:noProof/>
          <w:color w:val="0D2255"/>
        </w:rPr>
        <w:drawing>
          <wp:inline distT="0" distB="0" distL="0" distR="0">
            <wp:extent cx="2894120" cy="277871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B7097">
        <w:rPr>
          <w:noProof/>
        </w:rPr>
        <w:drawing>
          <wp:inline distT="0" distB="0" distL="0" distR="0">
            <wp:extent cx="2840854" cy="253901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0B47D6" w:rsidRPr="000B47D6"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50" w:rsidRDefault="001A1450" w:rsidP="00C80E70">
      <w:r>
        <w:separator/>
      </w:r>
    </w:p>
  </w:endnote>
  <w:endnote w:type="continuationSeparator" w:id="0">
    <w:p w:rsidR="001A1450" w:rsidRDefault="001A1450"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0" w:rsidRPr="00853E71" w:rsidRDefault="001A1450"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1A1450" w:rsidRPr="00853E71" w:rsidRDefault="001A1450"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CB7097" w:rsidRDefault="00CB7097" w:rsidP="00C80E70">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C0FBF">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1A1450" w:rsidRPr="00CB7097" w:rsidRDefault="001A1450" w:rsidP="00C80E70">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50" w:rsidRDefault="001A1450" w:rsidP="00C80E70">
      <w:r>
        <w:separator/>
      </w:r>
    </w:p>
  </w:footnote>
  <w:footnote w:type="continuationSeparator" w:id="0">
    <w:p w:rsidR="001A1450" w:rsidRDefault="001A1450"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0" w:rsidRDefault="001A1450"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Formatting/>
  <w:defaultTabStop w:val="720"/>
  <w:characterSpacingControl w:val="doNotCompress"/>
  <w:hdrShapeDefaults>
    <o:shapedefaults v:ext="edit" spidmax="45057"/>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0F250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8093B"/>
    <w:rsid w:val="002843B6"/>
    <w:rsid w:val="002A5934"/>
    <w:rsid w:val="002B4F7D"/>
    <w:rsid w:val="002D17AA"/>
    <w:rsid w:val="002F3F25"/>
    <w:rsid w:val="0030510B"/>
    <w:rsid w:val="00346C59"/>
    <w:rsid w:val="003702E1"/>
    <w:rsid w:val="00375DF8"/>
    <w:rsid w:val="00391BAE"/>
    <w:rsid w:val="00393036"/>
    <w:rsid w:val="003A0F07"/>
    <w:rsid w:val="003A31D4"/>
    <w:rsid w:val="003B1C39"/>
    <w:rsid w:val="003E4D46"/>
    <w:rsid w:val="003E69D3"/>
    <w:rsid w:val="00410539"/>
    <w:rsid w:val="00426240"/>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0881"/>
    <w:rsid w:val="005B33EF"/>
    <w:rsid w:val="005B536B"/>
    <w:rsid w:val="005C668F"/>
    <w:rsid w:val="005E2C9D"/>
    <w:rsid w:val="005F44DC"/>
    <w:rsid w:val="005F4C35"/>
    <w:rsid w:val="006068D1"/>
    <w:rsid w:val="0060762E"/>
    <w:rsid w:val="00614891"/>
    <w:rsid w:val="00620857"/>
    <w:rsid w:val="00622903"/>
    <w:rsid w:val="006315A6"/>
    <w:rsid w:val="00642552"/>
    <w:rsid w:val="00653F42"/>
    <w:rsid w:val="006623D6"/>
    <w:rsid w:val="00664173"/>
    <w:rsid w:val="00686576"/>
    <w:rsid w:val="00696C6A"/>
    <w:rsid w:val="006A1D88"/>
    <w:rsid w:val="006B4C72"/>
    <w:rsid w:val="006B7F8A"/>
    <w:rsid w:val="006D4F9B"/>
    <w:rsid w:val="006D538E"/>
    <w:rsid w:val="006E5BF9"/>
    <w:rsid w:val="006F4F9F"/>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D36B3"/>
    <w:rsid w:val="007D6B3B"/>
    <w:rsid w:val="007D6D7A"/>
    <w:rsid w:val="00800D5B"/>
    <w:rsid w:val="008030A3"/>
    <w:rsid w:val="00804C47"/>
    <w:rsid w:val="00806662"/>
    <w:rsid w:val="00825E32"/>
    <w:rsid w:val="00834F60"/>
    <w:rsid w:val="008753AA"/>
    <w:rsid w:val="008B50CB"/>
    <w:rsid w:val="008D1B5B"/>
    <w:rsid w:val="008E4462"/>
    <w:rsid w:val="008F55A4"/>
    <w:rsid w:val="0090726B"/>
    <w:rsid w:val="00924274"/>
    <w:rsid w:val="00931C26"/>
    <w:rsid w:val="00932034"/>
    <w:rsid w:val="00932A9E"/>
    <w:rsid w:val="00950FE1"/>
    <w:rsid w:val="00964455"/>
    <w:rsid w:val="0097483C"/>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6F10"/>
    <w:rsid w:val="00B8181D"/>
    <w:rsid w:val="00B95B22"/>
    <w:rsid w:val="00BB5B9F"/>
    <w:rsid w:val="00BC5727"/>
    <w:rsid w:val="00BC7B6B"/>
    <w:rsid w:val="00BF0928"/>
    <w:rsid w:val="00BF4C94"/>
    <w:rsid w:val="00C03896"/>
    <w:rsid w:val="00C065D0"/>
    <w:rsid w:val="00C07099"/>
    <w:rsid w:val="00C100C5"/>
    <w:rsid w:val="00C108FE"/>
    <w:rsid w:val="00C37406"/>
    <w:rsid w:val="00C42957"/>
    <w:rsid w:val="00C623F2"/>
    <w:rsid w:val="00C657AB"/>
    <w:rsid w:val="00C7079C"/>
    <w:rsid w:val="00C73F08"/>
    <w:rsid w:val="00C80E70"/>
    <w:rsid w:val="00C83606"/>
    <w:rsid w:val="00C83858"/>
    <w:rsid w:val="00C847EC"/>
    <w:rsid w:val="00C90478"/>
    <w:rsid w:val="00CB7097"/>
    <w:rsid w:val="00CC79C5"/>
    <w:rsid w:val="00CD0659"/>
    <w:rsid w:val="00CE070B"/>
    <w:rsid w:val="00CE3518"/>
    <w:rsid w:val="00CF02B6"/>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DF4E26"/>
    <w:rsid w:val="00E343D2"/>
    <w:rsid w:val="00E3450A"/>
    <w:rsid w:val="00E5680B"/>
    <w:rsid w:val="00E634A1"/>
    <w:rsid w:val="00E84E41"/>
    <w:rsid w:val="00EB2FB8"/>
    <w:rsid w:val="00EB5EA2"/>
    <w:rsid w:val="00EC65AF"/>
    <w:rsid w:val="00EF35D8"/>
    <w:rsid w:val="00F205F0"/>
    <w:rsid w:val="00F23688"/>
    <w:rsid w:val="00F30199"/>
    <w:rsid w:val="00F30490"/>
    <w:rsid w:val="00F43472"/>
    <w:rsid w:val="00F50E90"/>
    <w:rsid w:val="00F843C1"/>
    <w:rsid w:val="00F965DC"/>
    <w:rsid w:val="00FA0FF6"/>
    <w:rsid w:val="00FC34F4"/>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OCT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SMMT-PRESS-RELEASES\UK-Production\2014\Oct\Oct%20Production%20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842897910292073"/>
          <c:y val="9.3895368714259839E-2"/>
          <c:w val="0.73059756145661559"/>
          <c:h val="0.76270175729025425"/>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chart!$C$1:$BH$1</c:f>
              <c:strCache>
                <c:ptCount val="5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strCache>
            </c:strRef>
          </c:cat>
          <c:val>
            <c:numRef>
              <c:f>chart!$C$2:$BH$2</c:f>
              <c:numCache>
                <c:formatCode>#,##0.00</c:formatCode>
                <c:ptCount val="58"/>
                <c:pt idx="0">
                  <c:v>2.0936689999999971</c:v>
                </c:pt>
                <c:pt idx="1">
                  <c:v>2.1673529999999999</c:v>
                </c:pt>
                <c:pt idx="2">
                  <c:v>2.2385760000000001</c:v>
                </c:pt>
                <c:pt idx="3">
                  <c:v>2.2937710000000027</c:v>
                </c:pt>
                <c:pt idx="4">
                  <c:v>2.3481730000000001</c:v>
                </c:pt>
                <c:pt idx="5">
                  <c:v>2.3845499999999977</c:v>
                </c:pt>
                <c:pt idx="6">
                  <c:v>2.378202999999997</c:v>
                </c:pt>
                <c:pt idx="7">
                  <c:v>2.3936139999999977</c:v>
                </c:pt>
                <c:pt idx="8">
                  <c:v>2.3966309999999975</c:v>
                </c:pt>
                <c:pt idx="9">
                  <c:v>2.3848429999999969</c:v>
                </c:pt>
                <c:pt idx="10">
                  <c:v>2.388887</c:v>
                </c:pt>
                <c:pt idx="11">
                  <c:v>2.386717</c:v>
                </c:pt>
                <c:pt idx="12">
                  <c:v>2.4098589999999964</c:v>
                </c:pt>
                <c:pt idx="13">
                  <c:v>2.4301189999999977</c:v>
                </c:pt>
                <c:pt idx="14">
                  <c:v>2.44537</c:v>
                </c:pt>
                <c:pt idx="15">
                  <c:v>2.4359329999999977</c:v>
                </c:pt>
                <c:pt idx="16">
                  <c:v>2.4441280000000001</c:v>
                </c:pt>
                <c:pt idx="17">
                  <c:v>2.445913</c:v>
                </c:pt>
                <c:pt idx="18">
                  <c:v>2.44516</c:v>
                </c:pt>
                <c:pt idx="19">
                  <c:v>2.4618569999999975</c:v>
                </c:pt>
                <c:pt idx="20">
                  <c:v>2.4769179999999977</c:v>
                </c:pt>
                <c:pt idx="21">
                  <c:v>2.5022799999999972</c:v>
                </c:pt>
                <c:pt idx="22">
                  <c:v>2.5061089999999977</c:v>
                </c:pt>
                <c:pt idx="23">
                  <c:v>2.504054</c:v>
                </c:pt>
                <c:pt idx="24">
                  <c:v>2.5191719999999997</c:v>
                </c:pt>
                <c:pt idx="25">
                  <c:v>2.5322879999999977</c:v>
                </c:pt>
                <c:pt idx="26">
                  <c:v>2.5165689999999969</c:v>
                </c:pt>
                <c:pt idx="27">
                  <c:v>2.5188459999999959</c:v>
                </c:pt>
                <c:pt idx="28">
                  <c:v>2.5475650000000001</c:v>
                </c:pt>
                <c:pt idx="29">
                  <c:v>2.5113129999999977</c:v>
                </c:pt>
                <c:pt idx="30">
                  <c:v>2.5116759999999965</c:v>
                </c:pt>
                <c:pt idx="31">
                  <c:v>2.5281989999999999</c:v>
                </c:pt>
                <c:pt idx="32">
                  <c:v>2.4969809999999977</c:v>
                </c:pt>
                <c:pt idx="33">
                  <c:v>2.4997439999999975</c:v>
                </c:pt>
                <c:pt idx="34">
                  <c:v>2.496578999999997</c:v>
                </c:pt>
                <c:pt idx="35">
                  <c:v>2.495371</c:v>
                </c:pt>
                <c:pt idx="36">
                  <c:v>2.483603</c:v>
                </c:pt>
                <c:pt idx="37">
                  <c:v>2.4718859999999969</c:v>
                </c:pt>
                <c:pt idx="38">
                  <c:v>2.4578799999999972</c:v>
                </c:pt>
                <c:pt idx="39">
                  <c:v>2.4769239999999977</c:v>
                </c:pt>
                <c:pt idx="40">
                  <c:v>2.456480999999997</c:v>
                </c:pt>
                <c:pt idx="41">
                  <c:v>2.4789699999999977</c:v>
                </c:pt>
                <c:pt idx="42">
                  <c:v>2.524416</c:v>
                </c:pt>
                <c:pt idx="43">
                  <c:v>2.500006</c:v>
                </c:pt>
                <c:pt idx="44">
                  <c:v>2.5313629999999971</c:v>
                </c:pt>
                <c:pt idx="45">
                  <c:v>2.5468319999999998</c:v>
                </c:pt>
                <c:pt idx="46">
                  <c:v>2.5543499999999977</c:v>
                </c:pt>
                <c:pt idx="47">
                  <c:v>2.5533160000000001</c:v>
                </c:pt>
                <c:pt idx="48">
                  <c:v>2.5398499999999959</c:v>
                </c:pt>
                <c:pt idx="49">
                  <c:v>2.534583</c:v>
                </c:pt>
                <c:pt idx="50">
                  <c:v>2.5445099999999998</c:v>
                </c:pt>
                <c:pt idx="51">
                  <c:v>2.5506569999999975</c:v>
                </c:pt>
                <c:pt idx="52">
                  <c:v>2.541766</c:v>
                </c:pt>
                <c:pt idx="53">
                  <c:v>2.5408810000000002</c:v>
                </c:pt>
                <c:pt idx="54">
                  <c:v>2.5173939999999999</c:v>
                </c:pt>
                <c:pt idx="55">
                  <c:v>2.490186</c:v>
                </c:pt>
                <c:pt idx="56">
                  <c:v>2.4569619999999972</c:v>
                </c:pt>
                <c:pt idx="57">
                  <c:v>2.4137399999999998</c:v>
                </c:pt>
              </c:numCache>
            </c:numRef>
          </c:val>
        </c:ser>
        <c:ser>
          <c:idx val="1"/>
          <c:order val="1"/>
          <c:tx>
            <c:strRef>
              <c:f>chart!$B$3</c:f>
              <c:strCache>
                <c:ptCount val="1"/>
                <c:pt idx="0">
                  <c:v>Export</c:v>
                </c:pt>
              </c:strCache>
            </c:strRef>
          </c:tx>
          <c:spPr>
            <a:ln w="25400">
              <a:solidFill>
                <a:schemeClr val="tx2">
                  <a:lumMod val="60000"/>
                  <a:lumOff val="40000"/>
                </a:schemeClr>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chart!$C$3:$BH$3</c:f>
              <c:numCache>
                <c:formatCode>#,##0.00</c:formatCode>
                <c:ptCount val="58"/>
                <c:pt idx="0">
                  <c:v>1.5503020000000001</c:v>
                </c:pt>
                <c:pt idx="1">
                  <c:v>1.6003270000000001</c:v>
                </c:pt>
                <c:pt idx="2">
                  <c:v>1.6457299999999986</c:v>
                </c:pt>
                <c:pt idx="3">
                  <c:v>1.681225</c:v>
                </c:pt>
                <c:pt idx="4">
                  <c:v>1.7095739999999986</c:v>
                </c:pt>
                <c:pt idx="5">
                  <c:v>1.7311929999999998</c:v>
                </c:pt>
                <c:pt idx="6">
                  <c:v>1.731826999999998</c:v>
                </c:pt>
                <c:pt idx="7">
                  <c:v>1.7392089999999998</c:v>
                </c:pt>
                <c:pt idx="8">
                  <c:v>1.738567</c:v>
                </c:pt>
                <c:pt idx="9">
                  <c:v>1.728032</c:v>
                </c:pt>
                <c:pt idx="10">
                  <c:v>1.7272879999999999</c:v>
                </c:pt>
                <c:pt idx="11">
                  <c:v>1.7214899999999986</c:v>
                </c:pt>
                <c:pt idx="12">
                  <c:v>1.7377219999999978</c:v>
                </c:pt>
                <c:pt idx="13">
                  <c:v>1.7388399999999986</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1.7459959999999985</c:v>
                </c:pt>
                <c:pt idx="26">
                  <c:v>1.7228899999999998</c:v>
                </c:pt>
                <c:pt idx="27">
                  <c:v>1.697802</c:v>
                </c:pt>
                <c:pt idx="28">
                  <c:v>1.686644</c:v>
                </c:pt>
                <c:pt idx="29">
                  <c:v>1.6401820000000014</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1.4851239999999986</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1.5287949999999986</c:v>
                </c:pt>
                <c:pt idx="49">
                  <c:v>1.5339449999999986</c:v>
                </c:pt>
                <c:pt idx="50">
                  <c:v>1.5468729999999999</c:v>
                </c:pt>
                <c:pt idx="51">
                  <c:v>1.5629439999999999</c:v>
                </c:pt>
                <c:pt idx="52">
                  <c:v>1.5753259999999998</c:v>
                </c:pt>
                <c:pt idx="53">
                  <c:v>1.5829580000000001</c:v>
                </c:pt>
                <c:pt idx="54">
                  <c:v>1.5743929999999999</c:v>
                </c:pt>
                <c:pt idx="55">
                  <c:v>1.5690089999999999</c:v>
                </c:pt>
                <c:pt idx="56">
                  <c:v>1.542737</c:v>
                </c:pt>
                <c:pt idx="57">
                  <c:v>1.5173369999999986</c:v>
                </c:pt>
              </c:numCache>
            </c:numRef>
          </c:val>
        </c:ser>
        <c:marker val="1"/>
        <c:axId val="54270976"/>
        <c:axId val="54276864"/>
      </c:lineChart>
      <c:catAx>
        <c:axId val="54270976"/>
        <c:scaling>
          <c:orientation val="minMax"/>
        </c:scaling>
        <c:axPos val="b"/>
        <c:tickLblPos val="nextTo"/>
        <c:txPr>
          <a:bodyPr/>
          <a:lstStyle/>
          <a:p>
            <a:pPr>
              <a:defRPr>
                <a:solidFill>
                  <a:srgbClr val="0D2255"/>
                </a:solidFill>
              </a:defRPr>
            </a:pPr>
            <a:endParaRPr lang="en-US"/>
          </a:p>
        </c:txPr>
        <c:crossAx val="54276864"/>
        <c:crosses val="autoZero"/>
        <c:auto val="1"/>
        <c:lblAlgn val="ctr"/>
        <c:lblOffset val="100"/>
        <c:tickLblSkip val="12"/>
        <c:tickMarkSkip val="12"/>
      </c:catAx>
      <c:valAx>
        <c:axId val="54276864"/>
        <c:scaling>
          <c:orientation val="minMax"/>
          <c:max val="2.6"/>
          <c:min val="1.4"/>
        </c:scaling>
        <c:axPos val="l"/>
        <c:majorGridlines/>
        <c:title>
          <c:tx>
            <c:rich>
              <a:bodyPr rot="-5400000" vert="horz"/>
              <a:lstStyle/>
              <a:p>
                <a:pPr>
                  <a:defRPr>
                    <a:solidFill>
                      <a:srgbClr val="0D2255"/>
                    </a:solidFill>
                  </a:defRPr>
                </a:pPr>
                <a:r>
                  <a:rPr lang="en-US" i="1">
                    <a:solidFill>
                      <a:srgbClr val="0D2255"/>
                    </a:solidFill>
                  </a:rPr>
                  <a:t>Millions</a:t>
                </a:r>
              </a:p>
            </c:rich>
          </c:tx>
          <c:layout>
            <c:manualLayout>
              <c:xMode val="edge"/>
              <c:yMode val="edge"/>
              <c:x val="1.0541719071773113E-2"/>
              <c:y val="0.40222405360760932"/>
            </c:manualLayout>
          </c:layout>
        </c:title>
        <c:numFmt formatCode="#,##0.0" sourceLinked="0"/>
        <c:tickLblPos val="nextTo"/>
        <c:txPr>
          <a:bodyPr/>
          <a:lstStyle/>
          <a:p>
            <a:pPr>
              <a:defRPr>
                <a:solidFill>
                  <a:srgbClr val="0D2255"/>
                </a:solidFill>
              </a:defRPr>
            </a:pPr>
            <a:endParaRPr lang="en-US"/>
          </a:p>
        </c:txPr>
        <c:crossAx val="54270976"/>
        <c:crosses val="autoZero"/>
        <c:crossBetween val="between"/>
        <c:majorUnit val="0.2"/>
      </c:valAx>
    </c:plotArea>
    <c:legend>
      <c:legendPos val="r"/>
      <c:layout>
        <c:manualLayout>
          <c:xMode val="edge"/>
          <c:yMode val="edge"/>
          <c:x val="0.6178382375298902"/>
          <c:y val="0.33367425891870722"/>
          <c:w val="0.29089435406814185"/>
          <c:h val="0.22139266062309487"/>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Sheet1!$V$7</c:f>
              <c:strCache>
                <c:ptCount val="1"/>
                <c:pt idx="0">
                  <c:v>Total</c:v>
                </c:pt>
              </c:strCache>
            </c:strRef>
          </c:tx>
          <c:spPr>
            <a:ln>
              <a:solidFill>
                <a:sysClr val="windowText" lastClr="000000"/>
              </a:solidFill>
            </a:ln>
          </c:spPr>
          <c:cat>
            <c:numRef>
              <c:f>Sheet1!$W$6:$Y$6</c:f>
              <c:numCache>
                <c:formatCode>General</c:formatCode>
                <c:ptCount val="3"/>
                <c:pt idx="0">
                  <c:v>2012</c:v>
                </c:pt>
                <c:pt idx="1">
                  <c:v>2013</c:v>
                </c:pt>
                <c:pt idx="2">
                  <c:v>2014</c:v>
                </c:pt>
              </c:numCache>
            </c:numRef>
          </c:cat>
          <c:val>
            <c:numRef>
              <c:f>Sheet1!$W$7:$Y$7</c:f>
              <c:numCache>
                <c:formatCode>General</c:formatCode>
                <c:ptCount val="3"/>
                <c:pt idx="0">
                  <c:v>2121314</c:v>
                </c:pt>
                <c:pt idx="1">
                  <c:v>2172775</c:v>
                </c:pt>
                <c:pt idx="2">
                  <c:v>2033199</c:v>
                </c:pt>
              </c:numCache>
            </c:numRef>
          </c:val>
        </c:ser>
        <c:axId val="54309632"/>
        <c:axId val="54311168"/>
      </c:barChart>
      <c:catAx>
        <c:axId val="54309632"/>
        <c:scaling>
          <c:orientation val="minMax"/>
        </c:scaling>
        <c:axPos val="b"/>
        <c:numFmt formatCode="General" sourceLinked="1"/>
        <c:tickLblPos val="nextTo"/>
        <c:txPr>
          <a:bodyPr/>
          <a:lstStyle/>
          <a:p>
            <a:pPr>
              <a:defRPr>
                <a:solidFill>
                  <a:srgbClr val="0D2255"/>
                </a:solidFill>
              </a:defRPr>
            </a:pPr>
            <a:endParaRPr lang="en-US"/>
          </a:p>
        </c:txPr>
        <c:crossAx val="54311168"/>
        <c:crosses val="autoZero"/>
        <c:auto val="1"/>
        <c:lblAlgn val="ctr"/>
        <c:lblOffset val="100"/>
      </c:catAx>
      <c:valAx>
        <c:axId val="54311168"/>
        <c:scaling>
          <c:orientation val="minMax"/>
        </c:scaling>
        <c:axPos val="l"/>
        <c:majorGridlines/>
        <c:numFmt formatCode="General" sourceLinked="1"/>
        <c:tickLblPos val="nextTo"/>
        <c:txPr>
          <a:bodyPr/>
          <a:lstStyle/>
          <a:p>
            <a:pPr>
              <a:defRPr>
                <a:solidFill>
                  <a:srgbClr val="0D2255"/>
                </a:solidFill>
              </a:defRPr>
            </a:pPr>
            <a:endParaRPr lang="en-US"/>
          </a:p>
        </c:txPr>
        <c:crossAx val="54309632"/>
        <c:crosses val="autoZero"/>
        <c:crossBetween val="between"/>
        <c:dispUnits>
          <c:builtInUnit val="millions"/>
          <c:dispUnitsLbl>
            <c:layout>
              <c:manualLayout>
                <c:xMode val="edge"/>
                <c:yMode val="edge"/>
                <c:x val="2.9043027202383536E-2"/>
                <c:y val="0.32502932240625698"/>
              </c:manualLayout>
            </c:layout>
            <c:tx>
              <c:rich>
                <a:bodyPr/>
                <a:lstStyle/>
                <a:p>
                  <a:pPr>
                    <a:defRPr>
                      <a:solidFill>
                        <a:srgbClr val="0D2255"/>
                      </a:solidFill>
                    </a:defRPr>
                  </a:pPr>
                  <a:r>
                    <a:rPr lang="en-GB" i="1">
                      <a:solidFill>
                        <a:srgbClr val="0D2255"/>
                      </a:solidFill>
                    </a:rPr>
                    <a:t>Millions</a:t>
                  </a:r>
                </a:p>
              </c:rich>
            </c:tx>
          </c:dispUnitsLbl>
        </c:dispUnits>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4C6D9-2C7C-4DAC-9CA0-B3775A6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7</cp:revision>
  <cp:lastPrinted>2013-12-16T13:34:00Z</cp:lastPrinted>
  <dcterms:created xsi:type="dcterms:W3CDTF">2014-10-23T07:44:00Z</dcterms:created>
  <dcterms:modified xsi:type="dcterms:W3CDTF">2014-11-20T09:04:00Z</dcterms:modified>
</cp:coreProperties>
</file>