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2" w:rsidRPr="00176BC5" w:rsidRDefault="00C078E2" w:rsidP="000F0838">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C078E2" w:rsidRDefault="00AF2748" w:rsidP="000F0838">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20</w:t>
      </w:r>
      <w:r w:rsidR="00C078E2">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September</w:t>
      </w:r>
      <w:r w:rsidR="00C078E2">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44"/>
          <w:szCs w:val="44"/>
        </w:rPr>
        <w:t>201</w:t>
      </w:r>
      <w:r w:rsidR="00C078E2">
        <w:rPr>
          <w:rFonts w:ascii="Arial" w:eastAsiaTheme="minorEastAsia" w:hAnsi="Arial" w:cs="Arial"/>
          <w:b w:val="0"/>
          <w:bCs/>
          <w:color w:val="1074CB"/>
          <w:sz w:val="44"/>
          <w:szCs w:val="44"/>
        </w:rPr>
        <w:t>2</w:t>
      </w:r>
      <w:r w:rsidR="00C078E2" w:rsidRPr="00176BC5">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August</w:t>
      </w:r>
      <w:r w:rsidR="00C078E2">
        <w:rPr>
          <w:rFonts w:ascii="Arial" w:eastAsiaTheme="minorEastAsia" w:hAnsi="Arial" w:cs="Arial"/>
          <w:b w:val="0"/>
          <w:bCs/>
          <w:color w:val="1074CB"/>
          <w:sz w:val="32"/>
          <w:szCs w:val="32"/>
        </w:rPr>
        <w:t xml:space="preserve"> 2012</w:t>
      </w:r>
      <w:r w:rsidR="00C078E2" w:rsidRPr="00176BC5">
        <w:rPr>
          <w:rFonts w:ascii="Arial" w:eastAsiaTheme="minorEastAsia" w:hAnsi="Arial" w:cs="Arial"/>
          <w:b w:val="0"/>
          <w:bCs/>
          <w:color w:val="1074CB"/>
          <w:sz w:val="32"/>
          <w:szCs w:val="32"/>
        </w:rPr>
        <w:t>)</w:t>
      </w:r>
    </w:p>
    <w:p w:rsidR="00C078E2" w:rsidRPr="009F32FF" w:rsidRDefault="00C078E2" w:rsidP="000F0838">
      <w:pPr>
        <w:rPr>
          <w:sz w:val="8"/>
          <w:szCs w:val="8"/>
        </w:rPr>
      </w:pPr>
    </w:p>
    <w:p w:rsidR="00C078E2" w:rsidRPr="006A7933" w:rsidRDefault="00C078E2" w:rsidP="000F0838">
      <w:pPr>
        <w:pStyle w:val="Heading1"/>
        <w:ind w:left="0" w:right="142" w:firstLine="0"/>
        <w:rPr>
          <w:rFonts w:ascii="Arial" w:eastAsiaTheme="minorEastAsia" w:hAnsi="Arial" w:cs="Arial"/>
          <w:b w:val="0"/>
          <w:bCs/>
          <w:color w:val="1074CB"/>
        </w:rPr>
      </w:pPr>
      <w:r w:rsidRPr="006A7933">
        <w:rPr>
          <w:rFonts w:ascii="Arial" w:eastAsiaTheme="minorEastAsia" w:hAnsi="Arial" w:cs="Arial"/>
          <w:b w:val="0"/>
          <w:bCs/>
          <w:color w:val="1074CB"/>
        </w:rPr>
        <w:t xml:space="preserve">NEWS RELEASE NUMBER: </w:t>
      </w:r>
      <w:r w:rsidR="00D01D23">
        <w:rPr>
          <w:rFonts w:ascii="Arial" w:eastAsiaTheme="minorEastAsia" w:hAnsi="Arial" w:cs="Arial"/>
          <w:b w:val="0"/>
          <w:bCs/>
          <w:color w:val="1074CB"/>
        </w:rPr>
        <w:t>5063</w:t>
      </w:r>
      <w:r w:rsidRPr="006A7933">
        <w:rPr>
          <w:rFonts w:ascii="Arial" w:eastAsiaTheme="minorEastAsia" w:hAnsi="Arial" w:cs="Arial"/>
          <w:b w:val="0"/>
          <w:bCs/>
          <w:color w:val="1074CB"/>
        </w:rPr>
        <w:t xml:space="preserve">                                                           </w:t>
      </w:r>
      <w:r w:rsidR="00703777" w:rsidRPr="006A7933">
        <w:rPr>
          <w:rFonts w:ascii="Arial" w:eastAsiaTheme="minorEastAsia" w:hAnsi="Arial" w:cs="Arial"/>
          <w:b w:val="0"/>
          <w:bCs/>
          <w:color w:val="1074CB"/>
        </w:rPr>
        <w:t xml:space="preserve">   </w:t>
      </w:r>
      <w:r w:rsidRPr="006A7933">
        <w:rPr>
          <w:rFonts w:ascii="Arial" w:eastAsiaTheme="minorEastAsia" w:hAnsi="Arial" w:cs="Arial"/>
          <w:b w:val="0"/>
          <w:bCs/>
          <w:color w:val="1074CB"/>
        </w:rPr>
        <w:t>FOR RELEASE: IMMEDIATE</w:t>
      </w:r>
    </w:p>
    <w:p w:rsidR="00C078E2" w:rsidRPr="00176BC5" w:rsidRDefault="00665CCA" w:rsidP="000F0838">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28" style="position:absolute;z-index:251660288" from=".55pt,3.1pt" to="461.6pt,3.1pt" strokecolor="#1074cb"/>
        </w:pict>
      </w:r>
    </w:p>
    <w:p w:rsidR="0002144E" w:rsidRPr="0002144E" w:rsidRDefault="0002144E" w:rsidP="0002144E">
      <w:pPr>
        <w:pStyle w:val="Heading1"/>
        <w:ind w:left="0" w:right="425" w:firstLine="0"/>
        <w:rPr>
          <w:rFonts w:ascii="Arial" w:eastAsiaTheme="minorEastAsia" w:hAnsi="Arial" w:cs="Arial"/>
          <w:bCs/>
          <w:color w:val="1074CB"/>
          <w:sz w:val="36"/>
          <w:szCs w:val="36"/>
        </w:rPr>
      </w:pPr>
      <w:r w:rsidRPr="0002144E">
        <w:rPr>
          <w:rFonts w:ascii="Arial" w:eastAsiaTheme="minorEastAsia" w:hAnsi="Arial" w:cs="Arial"/>
          <w:bCs/>
          <w:color w:val="1074CB"/>
          <w:sz w:val="36"/>
          <w:szCs w:val="36"/>
        </w:rPr>
        <w:t>Car output falls in August, but is up overall in 2012</w:t>
      </w:r>
    </w:p>
    <w:p w:rsidR="0002144E" w:rsidRPr="00C078E2" w:rsidRDefault="0002144E" w:rsidP="0002144E">
      <w:pPr>
        <w:ind w:right="283"/>
        <w:rPr>
          <w:sz w:val="8"/>
          <w:szCs w:val="8"/>
        </w:rPr>
      </w:pPr>
    </w:p>
    <w:p w:rsidR="0002144E" w:rsidRDefault="0002144E" w:rsidP="0002144E">
      <w:pPr>
        <w:spacing w:line="276" w:lineRule="auto"/>
        <w:rPr>
          <w:rFonts w:ascii="Arial" w:hAnsi="Arial" w:cs="Arial"/>
          <w:sz w:val="20"/>
        </w:rPr>
      </w:pPr>
    </w:p>
    <w:p w:rsidR="0002144E" w:rsidRDefault="0002144E" w:rsidP="0002144E">
      <w:pPr>
        <w:numPr>
          <w:ilvl w:val="0"/>
          <w:numId w:val="1"/>
        </w:numPr>
        <w:spacing w:line="276" w:lineRule="auto"/>
        <w:rPr>
          <w:rFonts w:ascii="Arial" w:hAnsi="Arial" w:cs="Arial"/>
          <w:sz w:val="20"/>
        </w:rPr>
      </w:pPr>
      <w:r w:rsidRPr="00CB5253">
        <w:rPr>
          <w:rFonts w:ascii="Arial" w:hAnsi="Arial" w:cs="Arial"/>
          <w:sz w:val="20"/>
        </w:rPr>
        <w:t xml:space="preserve">Car </w:t>
      </w:r>
      <w:r>
        <w:rPr>
          <w:rFonts w:ascii="Arial" w:hAnsi="Arial" w:cs="Arial"/>
          <w:sz w:val="20"/>
        </w:rPr>
        <w:t>output</w:t>
      </w:r>
      <w:r w:rsidRPr="00CB5253">
        <w:rPr>
          <w:rFonts w:ascii="Arial" w:hAnsi="Arial" w:cs="Arial"/>
          <w:sz w:val="20"/>
        </w:rPr>
        <w:t xml:space="preserve"> </w:t>
      </w:r>
      <w:r>
        <w:rPr>
          <w:rFonts w:ascii="Arial" w:hAnsi="Arial" w:cs="Arial"/>
          <w:sz w:val="20"/>
        </w:rPr>
        <w:t>fell 8.9% in low-volume August, but remains up 12.7% over the year-to-date.</w:t>
      </w:r>
    </w:p>
    <w:p w:rsidR="0002144E" w:rsidRPr="00CB5253" w:rsidRDefault="0002144E" w:rsidP="0002144E">
      <w:pPr>
        <w:numPr>
          <w:ilvl w:val="0"/>
          <w:numId w:val="1"/>
        </w:numPr>
        <w:spacing w:line="276" w:lineRule="auto"/>
        <w:rPr>
          <w:rFonts w:ascii="Arial" w:hAnsi="Arial" w:cs="Arial"/>
          <w:sz w:val="20"/>
        </w:rPr>
      </w:pPr>
      <w:r>
        <w:rPr>
          <w:rFonts w:ascii="Arial" w:hAnsi="Arial" w:cs="Arial"/>
          <w:sz w:val="20"/>
        </w:rPr>
        <w:t>CV output rose 18.3% in the month, but fell 5.5% during the first eight months of 2012.</w:t>
      </w:r>
    </w:p>
    <w:p w:rsidR="0002144E" w:rsidRPr="00CB5253" w:rsidRDefault="0002144E" w:rsidP="0002144E">
      <w:pPr>
        <w:numPr>
          <w:ilvl w:val="0"/>
          <w:numId w:val="1"/>
        </w:numPr>
        <w:spacing w:line="276" w:lineRule="auto"/>
        <w:rPr>
          <w:rFonts w:ascii="Arial" w:hAnsi="Arial" w:cs="Arial"/>
          <w:sz w:val="20"/>
        </w:rPr>
      </w:pPr>
      <w:r w:rsidRPr="00CB5253">
        <w:rPr>
          <w:rFonts w:ascii="Arial" w:hAnsi="Arial" w:cs="Arial"/>
          <w:sz w:val="20"/>
        </w:rPr>
        <w:t>UK</w:t>
      </w:r>
      <w:r>
        <w:rPr>
          <w:rFonts w:ascii="Arial" w:hAnsi="Arial" w:cs="Arial"/>
          <w:sz w:val="20"/>
        </w:rPr>
        <w:t xml:space="preserve"> engine production increased 12.5% in August and 1.5% during the January-August period.</w:t>
      </w:r>
    </w:p>
    <w:p w:rsidR="0002144E" w:rsidRPr="0002144E" w:rsidRDefault="0002144E" w:rsidP="0002144E">
      <w:pPr>
        <w:pStyle w:val="PlainText"/>
        <w:spacing w:line="276" w:lineRule="auto"/>
        <w:rPr>
          <w:rFonts w:eastAsia="Times" w:cs="Arial"/>
          <w:szCs w:val="20"/>
          <w:lang w:eastAsia="en-GB"/>
        </w:rPr>
      </w:pPr>
    </w:p>
    <w:p w:rsidR="00B3719B" w:rsidRDefault="00B3719B" w:rsidP="00B3719B">
      <w:pPr>
        <w:spacing w:line="276" w:lineRule="auto"/>
        <w:rPr>
          <w:rFonts w:ascii="Arial" w:hAnsi="Arial" w:cs="Arial"/>
          <w:sz w:val="20"/>
        </w:rPr>
      </w:pPr>
      <w:r>
        <w:rPr>
          <w:rFonts w:ascii="Arial" w:hAnsi="Arial" w:cs="Arial"/>
          <w:sz w:val="20"/>
        </w:rPr>
        <w:t xml:space="preserve">"UK vehicle production is 11.2% up this year, but down 7% in August. Volumes are traditionally low and variable in August as manufacturers use the holiday period to undertake important maintenance and facility upgrades," said Paul Everitt, SMMT Chief Executive. "Continued weak demand in Europe is a concern, although significant new investment and stronger demand from better performing global markets will ensure UK output continues on an upward trend." </w:t>
      </w:r>
    </w:p>
    <w:p w:rsidR="0002144E" w:rsidRPr="0002144E" w:rsidRDefault="0002144E" w:rsidP="0002144E">
      <w:pPr>
        <w:rPr>
          <w:rFonts w:ascii="Arial" w:hAnsi="Arial" w:cs="Arial"/>
          <w:sz w:val="20"/>
        </w:rPr>
      </w:pPr>
    </w:p>
    <w:tbl>
      <w:tblPr>
        <w:tblW w:w="9082"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43"/>
        <w:gridCol w:w="1288"/>
        <w:gridCol w:w="1032"/>
        <w:gridCol w:w="1284"/>
        <w:gridCol w:w="827"/>
        <w:gridCol w:w="1017"/>
        <w:gridCol w:w="867"/>
        <w:gridCol w:w="1017"/>
      </w:tblGrid>
      <w:tr w:rsidR="0002144E" w:rsidRPr="00307829" w:rsidTr="0002144E">
        <w:trPr>
          <w:trHeight w:val="288"/>
        </w:trPr>
        <w:tc>
          <w:tcPr>
            <w:tcW w:w="0" w:type="auto"/>
            <w:tcBorders>
              <w:left w:val="nil"/>
            </w:tcBorders>
            <w:shd w:val="clear" w:color="auto" w:fill="auto"/>
            <w:noWrap/>
            <w:hideMark/>
          </w:tcPr>
          <w:p w:rsidR="0002144E" w:rsidRPr="00BE2914" w:rsidRDefault="0002144E" w:rsidP="0002144E">
            <w:pPr>
              <w:rPr>
                <w:rFonts w:ascii="Arial" w:hAnsi="Arial" w:cs="Arial"/>
                <w:b/>
                <w:bCs/>
                <w:color w:val="1074CB"/>
                <w:sz w:val="18"/>
                <w:szCs w:val="18"/>
              </w:rPr>
            </w:pPr>
            <w:r>
              <w:rPr>
                <w:rFonts w:ascii="Arial" w:hAnsi="Arial" w:cs="Arial"/>
                <w:b/>
                <w:bCs/>
                <w:color w:val="1074CB"/>
                <w:sz w:val="18"/>
                <w:szCs w:val="18"/>
              </w:rPr>
              <w:t>SMMT</w:t>
            </w:r>
          </w:p>
        </w:tc>
        <w:tc>
          <w:tcPr>
            <w:tcW w:w="2131" w:type="dxa"/>
            <w:gridSpan w:val="2"/>
            <w:shd w:val="clear" w:color="auto" w:fill="auto"/>
            <w:noWrap/>
            <w:hideMark/>
          </w:tcPr>
          <w:p w:rsidR="0002144E" w:rsidRPr="00BE2914" w:rsidRDefault="0002144E" w:rsidP="0002144E">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02144E" w:rsidRPr="00BE2914" w:rsidRDefault="0002144E" w:rsidP="0002144E">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02144E" w:rsidRPr="00BE2914" w:rsidRDefault="0002144E" w:rsidP="0002144E">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02144E" w:rsidRPr="00BE2914" w:rsidRDefault="0002144E" w:rsidP="0002144E">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02144E" w:rsidRPr="00307829" w:rsidTr="0002144E">
        <w:trPr>
          <w:trHeight w:val="288"/>
        </w:trPr>
        <w:tc>
          <w:tcPr>
            <w:tcW w:w="0" w:type="auto"/>
            <w:tcBorders>
              <w:left w:val="nil"/>
            </w:tcBorders>
            <w:shd w:val="clear" w:color="auto" w:fill="auto"/>
            <w:noWrap/>
            <w:hideMark/>
          </w:tcPr>
          <w:p w:rsidR="0002144E" w:rsidRPr="00BE2914" w:rsidRDefault="0002144E" w:rsidP="0002144E">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Aug-12</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Aug-12</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Aug-12</w:t>
            </w:r>
          </w:p>
        </w:tc>
        <w:tc>
          <w:tcPr>
            <w:tcW w:w="0" w:type="auto"/>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Aug-12</w:t>
            </w:r>
          </w:p>
        </w:tc>
        <w:tc>
          <w:tcPr>
            <w:tcW w:w="1017" w:type="dxa"/>
            <w:tcBorders>
              <w:left w:val="nil"/>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YTD-12</w:t>
            </w:r>
          </w:p>
        </w:tc>
      </w:tr>
      <w:tr w:rsidR="0002144E" w:rsidRPr="002C57DA" w:rsidTr="0002144E">
        <w:trPr>
          <w:trHeight w:val="288"/>
        </w:trPr>
        <w:tc>
          <w:tcPr>
            <w:tcW w:w="0" w:type="auto"/>
            <w:tcBorders>
              <w:left w:val="nil"/>
            </w:tcBorders>
            <w:shd w:val="clear" w:color="auto" w:fill="auto"/>
            <w:noWrap/>
            <w:vAlign w:val="center"/>
            <w:hideMark/>
          </w:tcPr>
          <w:p w:rsidR="0002144E" w:rsidRPr="002C57DA" w:rsidRDefault="0002144E" w:rsidP="0002144E">
            <w:pPr>
              <w:rPr>
                <w:rFonts w:ascii="Arial" w:hAnsi="Arial" w:cs="Arial"/>
                <w:bCs/>
                <w:color w:val="1074CB"/>
                <w:sz w:val="18"/>
                <w:szCs w:val="18"/>
              </w:rPr>
            </w:pPr>
            <w:r w:rsidRPr="002C57DA">
              <w:rPr>
                <w:rFonts w:ascii="Arial" w:hAnsi="Arial" w:cs="Arial"/>
                <w:bCs/>
                <w:color w:val="1074CB"/>
                <w:sz w:val="18"/>
                <w:szCs w:val="18"/>
              </w:rPr>
              <w:t>Total</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78,577</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955,084</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7,608</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72,708</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86,185</w:t>
            </w:r>
          </w:p>
        </w:tc>
        <w:tc>
          <w:tcPr>
            <w:tcW w:w="0" w:type="auto"/>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1,027,792</w:t>
            </w:r>
          </w:p>
        </w:tc>
        <w:tc>
          <w:tcPr>
            <w:tcW w:w="867" w:type="dxa"/>
            <w:tcBorders>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149,024</w:t>
            </w:r>
          </w:p>
        </w:tc>
        <w:tc>
          <w:tcPr>
            <w:tcW w:w="1017" w:type="dxa"/>
            <w:tcBorders>
              <w:left w:val="nil"/>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1,669,251</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-8.9%</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12.7%</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18.3%</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-5.5%</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-7.0%</w:t>
            </w:r>
          </w:p>
        </w:tc>
        <w:tc>
          <w:tcPr>
            <w:tcW w:w="0" w:type="auto"/>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11.2%</w:t>
            </w:r>
          </w:p>
        </w:tc>
        <w:tc>
          <w:tcPr>
            <w:tcW w:w="867" w:type="dxa"/>
            <w:tcBorders>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12.5%</w:t>
            </w:r>
          </w:p>
        </w:tc>
        <w:tc>
          <w:tcPr>
            <w:tcW w:w="1017" w:type="dxa"/>
            <w:tcBorders>
              <w:left w:val="nil"/>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1.5%</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61,812</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786,500</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3,960</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42,790</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65,772</w:t>
            </w:r>
          </w:p>
        </w:tc>
        <w:tc>
          <w:tcPr>
            <w:tcW w:w="0" w:type="auto"/>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829,290</w:t>
            </w:r>
          </w:p>
        </w:tc>
        <w:tc>
          <w:tcPr>
            <w:tcW w:w="867" w:type="dxa"/>
            <w:tcBorders>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87,286</w:t>
            </w:r>
          </w:p>
        </w:tc>
        <w:tc>
          <w:tcPr>
            <w:tcW w:w="1017" w:type="dxa"/>
            <w:tcBorders>
              <w:left w:val="nil"/>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1,052,969</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-8.1%</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12.5%</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11.0%</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-4.6%</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-7.2%</w:t>
            </w:r>
          </w:p>
        </w:tc>
        <w:tc>
          <w:tcPr>
            <w:tcW w:w="0" w:type="auto"/>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11.4%</w:t>
            </w:r>
          </w:p>
        </w:tc>
        <w:tc>
          <w:tcPr>
            <w:tcW w:w="867" w:type="dxa"/>
            <w:tcBorders>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-1.2%</w:t>
            </w:r>
          </w:p>
        </w:tc>
        <w:tc>
          <w:tcPr>
            <w:tcW w:w="1017" w:type="dxa"/>
            <w:tcBorders>
              <w:left w:val="nil"/>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-11.8%</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78.7%</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82.3%</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52.1%</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58.9%</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76.3%</w:t>
            </w:r>
          </w:p>
        </w:tc>
        <w:tc>
          <w:tcPr>
            <w:tcW w:w="0" w:type="auto"/>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80.7%</w:t>
            </w:r>
          </w:p>
        </w:tc>
        <w:tc>
          <w:tcPr>
            <w:tcW w:w="867" w:type="dxa"/>
            <w:tcBorders>
              <w:right w:val="nil"/>
            </w:tcBorders>
            <w:shd w:val="clear" w:color="auto" w:fill="auto"/>
            <w:vAlign w:val="bottom"/>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58.6%</w:t>
            </w:r>
          </w:p>
        </w:tc>
        <w:tc>
          <w:tcPr>
            <w:tcW w:w="1017" w:type="dxa"/>
            <w:tcBorders>
              <w:left w:val="nil"/>
              <w:right w:val="nil"/>
            </w:tcBorders>
            <w:shd w:val="clear" w:color="auto" w:fill="auto"/>
            <w:vAlign w:val="bottom"/>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63.1%</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16,765</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168,584</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3,648</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29,918</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20,413</w:t>
            </w:r>
          </w:p>
        </w:tc>
        <w:tc>
          <w:tcPr>
            <w:tcW w:w="0" w:type="auto"/>
            <w:tcBorders>
              <w:left w:val="nil"/>
            </w:tcBorders>
            <w:shd w:val="clear" w:color="auto" w:fill="auto"/>
            <w:noWrap/>
            <w:vAlign w:val="bottom"/>
            <w:hideMark/>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198,502</w:t>
            </w:r>
          </w:p>
        </w:tc>
        <w:tc>
          <w:tcPr>
            <w:tcW w:w="867" w:type="dxa"/>
            <w:tcBorders>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61,738</w:t>
            </w:r>
          </w:p>
        </w:tc>
        <w:tc>
          <w:tcPr>
            <w:tcW w:w="1017" w:type="dxa"/>
            <w:tcBorders>
              <w:left w:val="nil"/>
              <w:right w:val="nil"/>
            </w:tcBorders>
            <w:shd w:val="clear" w:color="auto" w:fill="auto"/>
            <w:vAlign w:val="bottom"/>
          </w:tcPr>
          <w:p w:rsidR="0002144E" w:rsidRDefault="0002144E" w:rsidP="0002144E">
            <w:pPr>
              <w:jc w:val="center"/>
              <w:rPr>
                <w:rFonts w:ascii="Arial" w:hAnsi="Arial" w:cs="Arial"/>
                <w:b/>
                <w:bCs/>
                <w:color w:val="0070C0"/>
                <w:sz w:val="18"/>
                <w:szCs w:val="18"/>
              </w:rPr>
            </w:pPr>
            <w:r>
              <w:rPr>
                <w:rFonts w:ascii="Arial" w:hAnsi="Arial" w:cs="Arial"/>
                <w:b/>
                <w:bCs/>
                <w:color w:val="0070C0"/>
                <w:sz w:val="18"/>
                <w:szCs w:val="18"/>
              </w:rPr>
              <w:t>616,282</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-11.6%</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14.0%</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27.3%</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-6.8%</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-6.5%</w:t>
            </w:r>
          </w:p>
        </w:tc>
        <w:tc>
          <w:tcPr>
            <w:tcW w:w="0" w:type="auto"/>
            <w:tcBorders>
              <w:left w:val="nil"/>
            </w:tcBorders>
            <w:shd w:val="clear" w:color="auto" w:fill="auto"/>
            <w:noWrap/>
            <w:vAlign w:val="bottom"/>
            <w:hideMark/>
          </w:tcPr>
          <w:p w:rsidR="0002144E" w:rsidRDefault="0002144E" w:rsidP="0002144E">
            <w:pPr>
              <w:jc w:val="center"/>
              <w:rPr>
                <w:rFonts w:ascii="Arial" w:hAnsi="Arial" w:cs="Arial"/>
                <w:color w:val="0070C0"/>
                <w:sz w:val="18"/>
                <w:szCs w:val="18"/>
              </w:rPr>
            </w:pPr>
            <w:r>
              <w:rPr>
                <w:rFonts w:ascii="Arial" w:hAnsi="Arial" w:cs="Arial"/>
                <w:color w:val="0070C0"/>
                <w:sz w:val="18"/>
                <w:szCs w:val="18"/>
              </w:rPr>
              <w:t>10.3%</w:t>
            </w:r>
          </w:p>
        </w:tc>
        <w:tc>
          <w:tcPr>
            <w:tcW w:w="867" w:type="dxa"/>
            <w:tcBorders>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39.7%</w:t>
            </w:r>
          </w:p>
        </w:tc>
        <w:tc>
          <w:tcPr>
            <w:tcW w:w="1017" w:type="dxa"/>
            <w:tcBorders>
              <w:left w:val="nil"/>
              <w:right w:val="nil"/>
            </w:tcBorders>
            <w:shd w:val="clear" w:color="auto" w:fill="auto"/>
            <w:vAlign w:val="bottom"/>
          </w:tcPr>
          <w:p w:rsidR="0002144E" w:rsidRDefault="0002144E" w:rsidP="0002144E">
            <w:pPr>
              <w:jc w:val="center"/>
              <w:rPr>
                <w:rFonts w:ascii="Arial" w:hAnsi="Arial" w:cs="Arial"/>
                <w:color w:val="0070C0"/>
                <w:sz w:val="18"/>
                <w:szCs w:val="18"/>
              </w:rPr>
            </w:pPr>
            <w:r>
              <w:rPr>
                <w:rFonts w:ascii="Arial" w:hAnsi="Arial" w:cs="Arial"/>
                <w:color w:val="0070C0"/>
                <w:sz w:val="18"/>
                <w:szCs w:val="18"/>
              </w:rPr>
              <w:t>36.6%</w:t>
            </w:r>
          </w:p>
        </w:tc>
      </w:tr>
      <w:tr w:rsidR="0002144E" w:rsidRPr="00307829" w:rsidTr="0002144E">
        <w:trPr>
          <w:trHeight w:val="288"/>
        </w:trPr>
        <w:tc>
          <w:tcPr>
            <w:tcW w:w="0" w:type="auto"/>
            <w:tcBorders>
              <w:left w:val="nil"/>
            </w:tcBorders>
            <w:shd w:val="clear" w:color="auto" w:fill="auto"/>
            <w:noWrap/>
            <w:vAlign w:val="center"/>
            <w:hideMark/>
          </w:tcPr>
          <w:p w:rsidR="0002144E" w:rsidRPr="00BE2914" w:rsidRDefault="0002144E" w:rsidP="0002144E">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21.3%</w:t>
            </w:r>
          </w:p>
        </w:tc>
        <w:tc>
          <w:tcPr>
            <w:tcW w:w="1264" w:type="dxa"/>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17.7%</w:t>
            </w:r>
          </w:p>
        </w:tc>
        <w:tc>
          <w:tcPr>
            <w:tcW w:w="1032" w:type="dxa"/>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47.9%</w:t>
            </w:r>
          </w:p>
        </w:tc>
        <w:tc>
          <w:tcPr>
            <w:tcW w:w="1284" w:type="dxa"/>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41.1%</w:t>
            </w:r>
          </w:p>
        </w:tc>
        <w:tc>
          <w:tcPr>
            <w:tcW w:w="0" w:type="auto"/>
            <w:tcBorders>
              <w:righ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23.7%</w:t>
            </w:r>
          </w:p>
        </w:tc>
        <w:tc>
          <w:tcPr>
            <w:tcW w:w="0" w:type="auto"/>
            <w:tcBorders>
              <w:left w:val="nil"/>
            </w:tcBorders>
            <w:shd w:val="clear" w:color="auto" w:fill="auto"/>
            <w:noWrap/>
            <w:vAlign w:val="bottom"/>
            <w:hideMark/>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19.3%</w:t>
            </w:r>
          </w:p>
        </w:tc>
        <w:tc>
          <w:tcPr>
            <w:tcW w:w="867" w:type="dxa"/>
            <w:tcBorders>
              <w:right w:val="nil"/>
            </w:tcBorders>
            <w:shd w:val="clear" w:color="auto" w:fill="auto"/>
            <w:vAlign w:val="bottom"/>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41.4%</w:t>
            </w:r>
          </w:p>
        </w:tc>
        <w:tc>
          <w:tcPr>
            <w:tcW w:w="1017" w:type="dxa"/>
            <w:tcBorders>
              <w:left w:val="nil"/>
              <w:right w:val="nil"/>
            </w:tcBorders>
            <w:shd w:val="clear" w:color="auto" w:fill="auto"/>
            <w:vAlign w:val="bottom"/>
          </w:tcPr>
          <w:p w:rsidR="0002144E" w:rsidRDefault="0002144E" w:rsidP="0002144E">
            <w:pPr>
              <w:jc w:val="center"/>
              <w:rPr>
                <w:rFonts w:ascii="Arial" w:hAnsi="Arial" w:cs="Arial"/>
                <w:i/>
                <w:iCs/>
                <w:color w:val="0070C0"/>
                <w:sz w:val="18"/>
                <w:szCs w:val="18"/>
              </w:rPr>
            </w:pPr>
            <w:r>
              <w:rPr>
                <w:rFonts w:ascii="Arial" w:hAnsi="Arial" w:cs="Arial"/>
                <w:i/>
                <w:iCs/>
                <w:color w:val="0070C0"/>
                <w:sz w:val="18"/>
                <w:szCs w:val="18"/>
              </w:rPr>
              <w:t>36.9%</w:t>
            </w:r>
          </w:p>
        </w:tc>
      </w:tr>
    </w:tbl>
    <w:p w:rsidR="00FC1B67" w:rsidRPr="0002144E" w:rsidRDefault="00FC1B67" w:rsidP="00C078E2">
      <w:pPr>
        <w:keepNext/>
        <w:spacing w:line="276" w:lineRule="auto"/>
        <w:rPr>
          <w:rFonts w:ascii="Arial" w:hAnsi="Arial" w:cs="Arial"/>
          <w:b/>
          <w:color w:val="0D2255"/>
          <w:sz w:val="20"/>
        </w:rPr>
      </w:pPr>
    </w:p>
    <w:p w:rsidR="00C078E2" w:rsidRDefault="00C078E2" w:rsidP="00C078E2">
      <w:pPr>
        <w:keepNext/>
        <w:spacing w:line="276" w:lineRule="auto"/>
      </w:pPr>
      <w:r w:rsidRPr="0081561D">
        <w:rPr>
          <w:rFonts w:ascii="Arial" w:hAnsi="Arial" w:cs="Arial"/>
          <w:b/>
          <w:color w:val="0D2255"/>
          <w:sz w:val="20"/>
        </w:rPr>
        <w:t xml:space="preserve">Car </w:t>
      </w:r>
      <w:r>
        <w:rPr>
          <w:rFonts w:ascii="Arial" w:hAnsi="Arial" w:cs="Arial"/>
          <w:b/>
          <w:color w:val="0D2255"/>
          <w:sz w:val="20"/>
        </w:rPr>
        <w:t>and CV output</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t xml:space="preserve">           Car forecast output*</w:t>
      </w:r>
      <w:r w:rsidR="00AF2748" w:rsidRPr="00AF2748">
        <w:rPr>
          <w:noProof/>
        </w:rPr>
        <w:drawing>
          <wp:inline distT="0" distB="0" distL="0" distR="0">
            <wp:extent cx="2886075" cy="2667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F2748" w:rsidRPr="00AF2748">
        <w:rPr>
          <w:rFonts w:ascii="Arial" w:hAnsi="Arial" w:cs="Arial"/>
          <w:b/>
          <w:noProof/>
          <w:color w:val="0D2255"/>
          <w:sz w:val="20"/>
        </w:rPr>
        <w:drawing>
          <wp:inline distT="0" distB="0" distL="0" distR="0">
            <wp:extent cx="2886075" cy="2667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78E2" w:rsidRPr="00281847" w:rsidRDefault="00C078E2" w:rsidP="00C078E2">
      <w:pPr>
        <w:pStyle w:val="Caption"/>
        <w:rPr>
          <w:rFonts w:ascii="Arial" w:hAnsi="Arial" w:cs="Arial"/>
          <w:b w:val="0"/>
          <w:color w:val="0D2255"/>
          <w:sz w:val="16"/>
          <w:szCs w:val="16"/>
        </w:rPr>
        <w:sectPr w:rsidR="00C078E2" w:rsidRPr="00281847" w:rsidSect="00AF2748">
          <w:headerReference w:type="default" r:id="rId10"/>
          <w:footerReference w:type="default" r:id="rId11"/>
          <w:pgSz w:w="11906" w:h="16838"/>
          <w:pgMar w:top="707" w:right="1133" w:bottom="1134" w:left="1418" w:header="0" w:footer="277" w:gutter="0"/>
          <w:cols w:space="720" w:equalWidth="0">
            <w:col w:w="9355"/>
          </w:cols>
          <w:docGrid w:linePitch="360"/>
        </w:sectPr>
      </w:pPr>
      <w:r w:rsidRPr="00521C1F">
        <w:rPr>
          <w:rFonts w:ascii="Arial" w:hAnsi="Arial" w:cs="Arial"/>
          <w:b w:val="0"/>
          <w:sz w:val="16"/>
          <w:szCs w:val="16"/>
        </w:rPr>
        <w:t>*Independent forecast based on current investment and output levels and sustained stability in Europ</w:t>
      </w:r>
      <w:r>
        <w:rPr>
          <w:rFonts w:ascii="Arial" w:hAnsi="Arial" w:cs="Arial"/>
          <w:b w:val="0"/>
          <w:sz w:val="16"/>
          <w:szCs w:val="16"/>
        </w:rPr>
        <w:t>e</w:t>
      </w:r>
      <w:r w:rsidR="000F0838">
        <w:rPr>
          <w:rFonts w:ascii="Arial" w:hAnsi="Arial" w:cs="Arial"/>
          <w:b w:val="0"/>
          <w:sz w:val="16"/>
          <w:szCs w:val="16"/>
        </w:rPr>
        <w:t>.</w:t>
      </w:r>
    </w:p>
    <w:p w:rsidR="008B589F" w:rsidRPr="00D72EA7" w:rsidRDefault="00FC1B67" w:rsidP="008B589F">
      <w:pPr>
        <w:pStyle w:val="Header"/>
        <w:widowControl w:val="0"/>
        <w:tabs>
          <w:tab w:val="clear" w:pos="4320"/>
          <w:tab w:val="clear" w:pos="8640"/>
        </w:tabs>
        <w:autoSpaceDE w:val="0"/>
        <w:autoSpaceDN w:val="0"/>
        <w:adjustRightInd w:val="0"/>
        <w:rPr>
          <w:rFonts w:ascii="Arial" w:eastAsiaTheme="minorHAnsi" w:hAnsi="Arial" w:cs="Arial"/>
          <w:b/>
          <w:sz w:val="20"/>
          <w:szCs w:val="22"/>
        </w:rPr>
      </w:pPr>
      <w:r>
        <w:rPr>
          <w:rFonts w:ascii="Arial" w:hAnsi="Arial" w:cs="Arial"/>
          <w:b/>
          <w:color w:val="1074CB"/>
          <w:sz w:val="44"/>
        </w:rPr>
        <w:lastRenderedPageBreak/>
        <w:t>Pre-</w:t>
      </w:r>
      <w:r w:rsidR="008B589F" w:rsidRPr="00D72EA7">
        <w:rPr>
          <w:rFonts w:ascii="Arial" w:hAnsi="Arial" w:cs="Arial"/>
          <w:b/>
          <w:color w:val="1074CB"/>
          <w:sz w:val="44"/>
        </w:rPr>
        <w:t>Paris Motor Show</w:t>
      </w:r>
      <w:r>
        <w:rPr>
          <w:rFonts w:ascii="Arial" w:hAnsi="Arial" w:cs="Arial"/>
          <w:b/>
          <w:color w:val="1074CB"/>
          <w:sz w:val="44"/>
        </w:rPr>
        <w:t>: UK automotive h</w:t>
      </w:r>
      <w:r w:rsidRPr="00D72EA7">
        <w:rPr>
          <w:rFonts w:ascii="Arial" w:hAnsi="Arial" w:cs="Arial"/>
          <w:b/>
          <w:color w:val="1074CB"/>
          <w:sz w:val="44"/>
        </w:rPr>
        <w:t>eadline facts</w:t>
      </w:r>
    </w:p>
    <w:p w:rsidR="008B589F" w:rsidRDefault="008B589F" w:rsidP="008B589F">
      <w:pPr>
        <w:pStyle w:val="Header"/>
        <w:widowControl w:val="0"/>
        <w:tabs>
          <w:tab w:val="clear" w:pos="4320"/>
          <w:tab w:val="clear" w:pos="8640"/>
        </w:tabs>
        <w:autoSpaceDE w:val="0"/>
        <w:autoSpaceDN w:val="0"/>
        <w:adjustRightInd w:val="0"/>
        <w:rPr>
          <w:rFonts w:ascii="Arial" w:eastAsiaTheme="minorHAnsi" w:hAnsi="Arial" w:cs="Arial"/>
          <w:sz w:val="20"/>
          <w:szCs w:val="22"/>
        </w:rPr>
      </w:pPr>
    </w:p>
    <w:p w:rsidR="008B589F" w:rsidRPr="001822B9" w:rsidRDefault="008B589F" w:rsidP="008B589F">
      <w:pPr>
        <w:pStyle w:val="Header"/>
        <w:widowControl w:val="0"/>
        <w:tabs>
          <w:tab w:val="clear" w:pos="4320"/>
          <w:tab w:val="clear" w:pos="8640"/>
        </w:tabs>
        <w:autoSpaceDE w:val="0"/>
        <w:autoSpaceDN w:val="0"/>
        <w:adjustRightInd w:val="0"/>
        <w:rPr>
          <w:rFonts w:ascii="Arial" w:eastAsiaTheme="minorHAnsi" w:hAnsi="Arial" w:cs="Arial"/>
          <w:sz w:val="20"/>
          <w:szCs w:val="22"/>
        </w:rPr>
      </w:pPr>
      <w:r w:rsidRPr="001822B9">
        <w:rPr>
          <w:rFonts w:ascii="Arial" w:eastAsiaTheme="minorHAnsi" w:hAnsi="Arial" w:cs="Arial"/>
          <w:sz w:val="20"/>
          <w:szCs w:val="22"/>
        </w:rPr>
        <w:t xml:space="preserve">The UK automotive industry is Europe’s fourth largest </w:t>
      </w:r>
      <w:r w:rsidR="00FC1B67">
        <w:rPr>
          <w:rFonts w:ascii="Arial" w:eastAsiaTheme="minorHAnsi" w:hAnsi="Arial" w:cs="Arial"/>
          <w:sz w:val="20"/>
          <w:szCs w:val="22"/>
        </w:rPr>
        <w:t>manufacturer</w:t>
      </w:r>
      <w:r w:rsidR="00FC1B67" w:rsidRPr="001822B9">
        <w:rPr>
          <w:rFonts w:ascii="Arial" w:eastAsiaTheme="minorHAnsi" w:hAnsi="Arial" w:cs="Arial"/>
          <w:sz w:val="20"/>
          <w:szCs w:val="22"/>
        </w:rPr>
        <w:t xml:space="preserve"> </w:t>
      </w:r>
      <w:r w:rsidRPr="001822B9">
        <w:rPr>
          <w:rFonts w:ascii="Arial" w:eastAsiaTheme="minorHAnsi" w:hAnsi="Arial" w:cs="Arial"/>
          <w:sz w:val="20"/>
          <w:szCs w:val="22"/>
        </w:rPr>
        <w:t xml:space="preserve">of cars and a major international producer of engines and components. The country is a global leader in low carbon technology with significant investment being made in its R&amp;D, engineering, design and </w:t>
      </w:r>
      <w:r w:rsidR="00FC1B67">
        <w:rPr>
          <w:rFonts w:ascii="Arial" w:eastAsiaTheme="minorHAnsi" w:hAnsi="Arial" w:cs="Arial"/>
          <w:sz w:val="20"/>
          <w:szCs w:val="22"/>
        </w:rPr>
        <w:t>manufacturing</w:t>
      </w:r>
      <w:r w:rsidR="00FC1B67" w:rsidRPr="001822B9">
        <w:rPr>
          <w:rFonts w:ascii="Arial" w:eastAsiaTheme="minorHAnsi" w:hAnsi="Arial" w:cs="Arial"/>
          <w:sz w:val="20"/>
          <w:szCs w:val="22"/>
        </w:rPr>
        <w:t xml:space="preserve"> </w:t>
      </w:r>
      <w:r w:rsidRPr="001822B9">
        <w:rPr>
          <w:rFonts w:ascii="Arial" w:eastAsiaTheme="minorHAnsi" w:hAnsi="Arial" w:cs="Arial"/>
          <w:sz w:val="20"/>
          <w:szCs w:val="22"/>
        </w:rPr>
        <w:t>expertise by multinational automotive companies.</w:t>
      </w:r>
    </w:p>
    <w:p w:rsidR="008B589F" w:rsidRPr="001822B9" w:rsidRDefault="008B589F" w:rsidP="008B589F">
      <w:pPr>
        <w:pStyle w:val="Header"/>
        <w:widowControl w:val="0"/>
        <w:tabs>
          <w:tab w:val="clear" w:pos="4320"/>
          <w:tab w:val="clear" w:pos="8640"/>
        </w:tabs>
        <w:autoSpaceDE w:val="0"/>
        <w:autoSpaceDN w:val="0"/>
        <w:adjustRightInd w:val="0"/>
        <w:rPr>
          <w:rFonts w:ascii="Arial" w:eastAsiaTheme="minorHAnsi" w:hAnsi="Arial" w:cs="Arial"/>
          <w:sz w:val="20"/>
          <w:szCs w:val="22"/>
        </w:rPr>
      </w:pPr>
    </w:p>
    <w:p w:rsidR="008B589F" w:rsidRPr="001822B9" w:rsidRDefault="008B589F" w:rsidP="008B589F">
      <w:pPr>
        <w:pStyle w:val="Header"/>
        <w:widowControl w:val="0"/>
        <w:tabs>
          <w:tab w:val="clear" w:pos="4320"/>
          <w:tab w:val="clear" w:pos="8640"/>
        </w:tabs>
        <w:autoSpaceDE w:val="0"/>
        <w:autoSpaceDN w:val="0"/>
        <w:adjustRightInd w:val="0"/>
        <w:rPr>
          <w:rFonts w:ascii="Arial" w:eastAsiaTheme="minorHAnsi" w:hAnsi="Arial" w:cs="Arial"/>
          <w:sz w:val="20"/>
          <w:szCs w:val="22"/>
        </w:rPr>
      </w:pPr>
      <w:r w:rsidRPr="001822B9">
        <w:rPr>
          <w:rFonts w:ascii="Arial" w:eastAsiaTheme="minorHAnsi" w:hAnsi="Arial" w:cs="Arial"/>
          <w:sz w:val="20"/>
          <w:szCs w:val="22"/>
        </w:rPr>
        <w:t>The key facts and figures</w:t>
      </w:r>
      <w:r>
        <w:rPr>
          <w:rFonts w:ascii="Arial" w:eastAsiaTheme="minorHAnsi" w:hAnsi="Arial" w:cs="Arial"/>
          <w:sz w:val="20"/>
          <w:szCs w:val="22"/>
        </w:rPr>
        <w:t xml:space="preserve"> </w:t>
      </w:r>
      <w:r w:rsidRPr="001822B9">
        <w:rPr>
          <w:rFonts w:ascii="Arial" w:eastAsiaTheme="minorHAnsi" w:hAnsi="Arial" w:cs="Arial"/>
          <w:sz w:val="20"/>
          <w:szCs w:val="22"/>
        </w:rPr>
        <w:t>below demonstrate the scale and scope of UK automotive:</w:t>
      </w:r>
    </w:p>
    <w:p w:rsidR="008B589F" w:rsidRPr="001822B9" w:rsidRDefault="008B589F" w:rsidP="008B589F">
      <w:pPr>
        <w:pStyle w:val="Header"/>
        <w:widowControl w:val="0"/>
        <w:tabs>
          <w:tab w:val="clear" w:pos="4320"/>
          <w:tab w:val="clear" w:pos="8640"/>
        </w:tabs>
        <w:autoSpaceDE w:val="0"/>
        <w:autoSpaceDN w:val="0"/>
        <w:adjustRightInd w:val="0"/>
        <w:rPr>
          <w:rFonts w:ascii="Arial" w:eastAsia="Times New Roman" w:hAnsi="Arial" w:cs="Arial"/>
          <w:color w:val="1074CB"/>
          <w:sz w:val="22"/>
        </w:rPr>
      </w:pPr>
    </w:p>
    <w:p w:rsidR="008B589F" w:rsidRPr="001822B9" w:rsidRDefault="008B589F" w:rsidP="008B589F">
      <w:pPr>
        <w:rPr>
          <w:rFonts w:ascii="Arial" w:hAnsi="Arial" w:cs="Arial"/>
          <w:sz w:val="20"/>
        </w:rPr>
      </w:pPr>
      <w:r w:rsidRPr="001822B9">
        <w:rPr>
          <w:rFonts w:ascii="Arial" w:eastAsia="Times New Roman" w:hAnsi="Arial" w:cs="Arial"/>
          <w:b/>
          <w:color w:val="1074CB"/>
          <w:sz w:val="28"/>
          <w:szCs w:val="28"/>
        </w:rPr>
        <w:t>Economy</w:t>
      </w:r>
    </w:p>
    <w:p w:rsidR="008B589F" w:rsidRPr="001822B9" w:rsidRDefault="008B589F" w:rsidP="008B589F">
      <w:pPr>
        <w:pStyle w:val="ListParagraph"/>
        <w:numPr>
          <w:ilvl w:val="0"/>
          <w:numId w:val="4"/>
        </w:numPr>
        <w:contextualSpacing w:val="0"/>
        <w:rPr>
          <w:rFonts w:ascii="Arial" w:hAnsi="Arial" w:cs="Arial"/>
          <w:sz w:val="20"/>
        </w:rPr>
      </w:pPr>
      <w:r w:rsidRPr="001822B9">
        <w:rPr>
          <w:rFonts w:ascii="Arial" w:hAnsi="Arial" w:cs="Arial"/>
          <w:sz w:val="20"/>
        </w:rPr>
        <w:t>UK automotive represents around 3% of total GDP.</w:t>
      </w:r>
    </w:p>
    <w:p w:rsidR="008B589F" w:rsidRPr="001822B9" w:rsidRDefault="008B589F" w:rsidP="008B589F">
      <w:pPr>
        <w:pStyle w:val="ListParagraph"/>
        <w:numPr>
          <w:ilvl w:val="0"/>
          <w:numId w:val="2"/>
        </w:numPr>
        <w:contextualSpacing w:val="0"/>
        <w:rPr>
          <w:rFonts w:ascii="Arial" w:hAnsi="Arial" w:cs="Arial"/>
          <w:sz w:val="20"/>
        </w:rPr>
      </w:pPr>
      <w:r w:rsidRPr="001822B9">
        <w:rPr>
          <w:rFonts w:ascii="Arial" w:hAnsi="Arial" w:cs="Arial"/>
          <w:sz w:val="20"/>
        </w:rPr>
        <w:t>Automotive manufacturing turnover accounts for two thirds of the UK’s total for the sector.</w:t>
      </w:r>
    </w:p>
    <w:p w:rsidR="00FC1B67" w:rsidRDefault="00FC1B67" w:rsidP="008B589F">
      <w:pPr>
        <w:pStyle w:val="ListParagraph"/>
        <w:numPr>
          <w:ilvl w:val="0"/>
          <w:numId w:val="2"/>
        </w:numPr>
        <w:contextualSpacing w:val="0"/>
        <w:rPr>
          <w:rFonts w:ascii="Arial" w:hAnsi="Arial" w:cs="Arial"/>
          <w:sz w:val="20"/>
        </w:rPr>
      </w:pPr>
      <w:r>
        <w:rPr>
          <w:rFonts w:ascii="Arial" w:hAnsi="Arial" w:cs="Arial"/>
          <w:sz w:val="20"/>
        </w:rPr>
        <w:t xml:space="preserve">Last year </w:t>
      </w:r>
      <w:r w:rsidR="008B589F" w:rsidRPr="001822B9">
        <w:rPr>
          <w:rFonts w:ascii="Arial" w:hAnsi="Arial" w:cs="Arial"/>
          <w:sz w:val="20"/>
        </w:rPr>
        <w:t xml:space="preserve">UK automotive </w:t>
      </w:r>
      <w:r>
        <w:rPr>
          <w:rFonts w:ascii="Arial" w:hAnsi="Arial" w:cs="Arial"/>
          <w:sz w:val="20"/>
        </w:rPr>
        <w:t>recorded t</w:t>
      </w:r>
      <w:r w:rsidR="008B589F" w:rsidRPr="001822B9">
        <w:rPr>
          <w:rFonts w:ascii="Arial" w:hAnsi="Arial" w:cs="Arial"/>
          <w:sz w:val="20"/>
        </w:rPr>
        <w:t xml:space="preserve">urnover </w:t>
      </w:r>
      <w:r>
        <w:rPr>
          <w:rFonts w:ascii="Arial" w:hAnsi="Arial" w:cs="Arial"/>
          <w:sz w:val="20"/>
        </w:rPr>
        <w:t xml:space="preserve">of </w:t>
      </w:r>
      <w:r w:rsidR="008B589F" w:rsidRPr="001822B9">
        <w:rPr>
          <w:rFonts w:ascii="Arial" w:hAnsi="Arial" w:cs="Arial"/>
          <w:sz w:val="20"/>
        </w:rPr>
        <w:t>5</w:t>
      </w:r>
      <w:r>
        <w:rPr>
          <w:rFonts w:ascii="Arial" w:hAnsi="Arial" w:cs="Arial"/>
          <w:sz w:val="20"/>
        </w:rPr>
        <w:t>5</w:t>
      </w:r>
      <w:r w:rsidR="008B589F" w:rsidRPr="001822B9">
        <w:rPr>
          <w:rFonts w:ascii="Arial" w:hAnsi="Arial" w:cs="Arial"/>
          <w:sz w:val="20"/>
        </w:rPr>
        <w:t>bn.</w:t>
      </w:r>
    </w:p>
    <w:p w:rsidR="008B589F" w:rsidRPr="00FC1B67" w:rsidRDefault="00FC1B67" w:rsidP="008B589F">
      <w:pPr>
        <w:pStyle w:val="ListParagraph"/>
        <w:numPr>
          <w:ilvl w:val="0"/>
          <w:numId w:val="2"/>
        </w:numPr>
        <w:contextualSpacing w:val="0"/>
        <w:rPr>
          <w:rFonts w:ascii="Arial" w:hAnsi="Arial" w:cs="Arial"/>
          <w:sz w:val="20"/>
        </w:rPr>
      </w:pPr>
      <w:r>
        <w:rPr>
          <w:rFonts w:ascii="Arial" w:hAnsi="Arial" w:cs="Arial"/>
          <w:sz w:val="20"/>
        </w:rPr>
        <w:t>In 2011,</w:t>
      </w:r>
      <w:r w:rsidRPr="00FC1B67">
        <w:rPr>
          <w:rFonts w:ascii="Arial" w:hAnsi="Arial" w:cs="Arial"/>
          <w:sz w:val="20"/>
        </w:rPr>
        <w:t xml:space="preserve"> </w:t>
      </w:r>
      <w:r w:rsidR="008B589F" w:rsidRPr="00FC1B67">
        <w:rPr>
          <w:rFonts w:ascii="Arial" w:hAnsi="Arial" w:cs="Arial"/>
          <w:sz w:val="20"/>
        </w:rPr>
        <w:t xml:space="preserve">net value-added to the economy </w:t>
      </w:r>
      <w:r>
        <w:rPr>
          <w:rFonts w:ascii="Arial" w:hAnsi="Arial" w:cs="Arial"/>
          <w:sz w:val="20"/>
        </w:rPr>
        <w:t xml:space="preserve">was </w:t>
      </w:r>
      <w:r w:rsidR="008B589F" w:rsidRPr="00FC1B67">
        <w:rPr>
          <w:rFonts w:ascii="Arial" w:hAnsi="Arial" w:cs="Arial"/>
          <w:sz w:val="20"/>
        </w:rPr>
        <w:t>£1</w:t>
      </w:r>
      <w:r>
        <w:rPr>
          <w:rFonts w:ascii="Arial" w:hAnsi="Arial" w:cs="Arial"/>
          <w:sz w:val="20"/>
        </w:rPr>
        <w:t>2</w:t>
      </w:r>
      <w:r w:rsidR="008B589F" w:rsidRPr="00FC1B67">
        <w:rPr>
          <w:rFonts w:ascii="Arial" w:hAnsi="Arial" w:cs="Arial"/>
          <w:sz w:val="20"/>
        </w:rPr>
        <w:t>bn.</w:t>
      </w:r>
    </w:p>
    <w:p w:rsidR="008B589F" w:rsidRPr="00E7310D" w:rsidRDefault="008B589F" w:rsidP="008B589F">
      <w:pPr>
        <w:pStyle w:val="ListParagraph"/>
        <w:numPr>
          <w:ilvl w:val="0"/>
          <w:numId w:val="2"/>
        </w:numPr>
        <w:contextualSpacing w:val="0"/>
        <w:rPr>
          <w:rFonts w:ascii="Arial" w:hAnsi="Arial" w:cs="Arial"/>
          <w:sz w:val="20"/>
        </w:rPr>
      </w:pPr>
      <w:r w:rsidRPr="00FC1B67">
        <w:rPr>
          <w:rFonts w:ascii="Arial" w:hAnsi="Arial" w:cs="Arial"/>
          <w:sz w:val="20"/>
        </w:rPr>
        <w:t xml:space="preserve">Automotive accounts for </w:t>
      </w:r>
      <w:r w:rsidR="00FC1B67">
        <w:rPr>
          <w:rFonts w:ascii="Arial" w:hAnsi="Arial" w:cs="Arial"/>
          <w:sz w:val="20"/>
        </w:rPr>
        <w:t>more than</w:t>
      </w:r>
      <w:r w:rsidRPr="00FC1B67">
        <w:rPr>
          <w:rFonts w:ascii="Arial" w:hAnsi="Arial" w:cs="Arial"/>
          <w:sz w:val="20"/>
        </w:rPr>
        <w:t xml:space="preserve"> 1</w:t>
      </w:r>
      <w:r w:rsidR="00FC1B67">
        <w:rPr>
          <w:rFonts w:ascii="Arial" w:hAnsi="Arial" w:cs="Arial"/>
          <w:sz w:val="20"/>
        </w:rPr>
        <w:t>0</w:t>
      </w:r>
      <w:r w:rsidRPr="00FC1B67">
        <w:rPr>
          <w:rFonts w:ascii="Arial" w:hAnsi="Arial" w:cs="Arial"/>
          <w:sz w:val="20"/>
        </w:rPr>
        <w:t>% of total UK ex</w:t>
      </w:r>
      <w:r w:rsidRPr="00671A14">
        <w:rPr>
          <w:rFonts w:ascii="Arial" w:hAnsi="Arial" w:cs="Arial"/>
          <w:sz w:val="20"/>
        </w:rPr>
        <w:t>ports.</w:t>
      </w:r>
    </w:p>
    <w:p w:rsidR="008B589F" w:rsidRDefault="008B589F" w:rsidP="008B589F">
      <w:pPr>
        <w:pStyle w:val="ListParagraph"/>
        <w:numPr>
          <w:ilvl w:val="0"/>
          <w:numId w:val="2"/>
        </w:numPr>
        <w:contextualSpacing w:val="0"/>
        <w:rPr>
          <w:rFonts w:ascii="Arial" w:hAnsi="Arial" w:cs="Arial"/>
          <w:sz w:val="20"/>
        </w:rPr>
      </w:pPr>
      <w:r w:rsidRPr="00671A14">
        <w:rPr>
          <w:rFonts w:ascii="Arial" w:hAnsi="Arial" w:cs="Arial"/>
          <w:sz w:val="20"/>
        </w:rPr>
        <w:t>The</w:t>
      </w:r>
      <w:r>
        <w:rPr>
          <w:rFonts w:ascii="Arial" w:hAnsi="Arial" w:cs="Arial"/>
          <w:sz w:val="20"/>
        </w:rPr>
        <w:t xml:space="preserve"> UK</w:t>
      </w:r>
      <w:r w:rsidRPr="00671A14">
        <w:rPr>
          <w:rFonts w:ascii="Arial" w:hAnsi="Arial" w:cs="Arial"/>
          <w:sz w:val="20"/>
        </w:rPr>
        <w:t xml:space="preserve"> industry invests</w:t>
      </w:r>
      <w:r>
        <w:rPr>
          <w:rFonts w:ascii="Arial" w:hAnsi="Arial" w:cs="Arial"/>
          <w:sz w:val="20"/>
        </w:rPr>
        <w:t xml:space="preserve"> around</w:t>
      </w:r>
      <w:r w:rsidRPr="00671A14">
        <w:rPr>
          <w:rFonts w:ascii="Arial" w:hAnsi="Arial" w:cs="Arial"/>
          <w:sz w:val="20"/>
        </w:rPr>
        <w:t xml:space="preserve"> £1</w:t>
      </w:r>
      <w:r>
        <w:rPr>
          <w:rFonts w:ascii="Arial" w:hAnsi="Arial" w:cs="Arial"/>
          <w:sz w:val="20"/>
        </w:rPr>
        <w:t>.3b</w:t>
      </w:r>
      <w:r w:rsidRPr="00671A14">
        <w:rPr>
          <w:rFonts w:ascii="Arial" w:hAnsi="Arial" w:cs="Arial"/>
          <w:sz w:val="20"/>
        </w:rPr>
        <w:t>n each year in</w:t>
      </w:r>
      <w:r w:rsidR="00BD084A">
        <w:rPr>
          <w:rFonts w:ascii="Arial" w:hAnsi="Arial" w:cs="Arial"/>
          <w:sz w:val="20"/>
        </w:rPr>
        <w:t xml:space="preserve"> automotive</w:t>
      </w:r>
      <w:r w:rsidRPr="00671A14">
        <w:rPr>
          <w:rFonts w:ascii="Arial" w:hAnsi="Arial" w:cs="Arial"/>
          <w:sz w:val="20"/>
        </w:rPr>
        <w:t xml:space="preserve"> R&amp;D.</w:t>
      </w:r>
    </w:p>
    <w:p w:rsidR="008B589F" w:rsidRPr="00E7310D" w:rsidRDefault="008B589F" w:rsidP="008B589F">
      <w:pPr>
        <w:pStyle w:val="ListParagraph"/>
        <w:numPr>
          <w:ilvl w:val="0"/>
          <w:numId w:val="2"/>
        </w:numPr>
        <w:contextualSpacing w:val="0"/>
        <w:rPr>
          <w:rFonts w:ascii="Arial" w:hAnsi="Arial" w:cs="Arial"/>
          <w:sz w:val="20"/>
        </w:rPr>
      </w:pPr>
      <w:r w:rsidRPr="001822B9">
        <w:rPr>
          <w:rFonts w:ascii="Arial" w:hAnsi="Arial" w:cs="Arial"/>
          <w:sz w:val="20"/>
        </w:rPr>
        <w:t>The industry employs over 700,000 people</w:t>
      </w:r>
      <w:r>
        <w:rPr>
          <w:rFonts w:ascii="Arial" w:hAnsi="Arial" w:cs="Arial"/>
          <w:sz w:val="20"/>
        </w:rPr>
        <w:t>, with more than 139,000 directly employed in manufacturing</w:t>
      </w:r>
      <w:r w:rsidRPr="001822B9">
        <w:rPr>
          <w:rFonts w:ascii="Arial" w:hAnsi="Arial" w:cs="Arial"/>
          <w:sz w:val="20"/>
        </w:rPr>
        <w:t>.</w:t>
      </w:r>
    </w:p>
    <w:p w:rsidR="008B589F" w:rsidRPr="0016163B" w:rsidRDefault="008B589F" w:rsidP="008B589F">
      <w:pPr>
        <w:pStyle w:val="ListParagraph"/>
        <w:rPr>
          <w:rFonts w:ascii="Arial" w:hAnsi="Arial" w:cs="Arial"/>
          <w:sz w:val="20"/>
        </w:rPr>
      </w:pPr>
    </w:p>
    <w:p w:rsidR="008B589F" w:rsidRPr="001822B9" w:rsidRDefault="008B589F" w:rsidP="008B589F">
      <w:pPr>
        <w:rPr>
          <w:rFonts w:ascii="Arial" w:eastAsiaTheme="minorHAnsi" w:hAnsi="Arial" w:cs="Arial"/>
          <w:sz w:val="20"/>
          <w:szCs w:val="22"/>
        </w:rPr>
      </w:pPr>
      <w:r w:rsidRPr="001822B9">
        <w:rPr>
          <w:rFonts w:ascii="Arial" w:eastAsia="Times New Roman" w:hAnsi="Arial" w:cs="Arial"/>
          <w:b/>
          <w:color w:val="1074CB"/>
          <w:sz w:val="28"/>
          <w:szCs w:val="28"/>
        </w:rPr>
        <w:t>Manufacturing</w:t>
      </w:r>
    </w:p>
    <w:p w:rsidR="008B589F" w:rsidRPr="001822B9" w:rsidRDefault="008B589F" w:rsidP="008B589F">
      <w:pPr>
        <w:pStyle w:val="ListParagraph"/>
        <w:numPr>
          <w:ilvl w:val="0"/>
          <w:numId w:val="2"/>
        </w:numPr>
        <w:contextualSpacing w:val="0"/>
        <w:rPr>
          <w:rFonts w:ascii="Arial" w:hAnsi="Arial" w:cs="Arial"/>
          <w:sz w:val="20"/>
        </w:rPr>
      </w:pPr>
      <w:r w:rsidRPr="001822B9">
        <w:rPr>
          <w:rFonts w:ascii="Arial" w:hAnsi="Arial" w:cs="Arial"/>
          <w:sz w:val="20"/>
        </w:rPr>
        <w:t>The UK is home to:</w:t>
      </w:r>
    </w:p>
    <w:p w:rsidR="008B589F" w:rsidRPr="001822B9" w:rsidRDefault="008B589F" w:rsidP="008B589F">
      <w:pPr>
        <w:pStyle w:val="ListParagraph"/>
        <w:numPr>
          <w:ilvl w:val="1"/>
          <w:numId w:val="2"/>
        </w:numPr>
        <w:contextualSpacing w:val="0"/>
        <w:rPr>
          <w:rFonts w:ascii="Arial" w:hAnsi="Arial" w:cs="Arial"/>
          <w:sz w:val="20"/>
        </w:rPr>
      </w:pPr>
      <w:r w:rsidRPr="001822B9">
        <w:rPr>
          <w:rFonts w:ascii="Arial" w:hAnsi="Arial" w:cs="Arial"/>
          <w:sz w:val="20"/>
        </w:rPr>
        <w:t>Seven volume car manufacturers.</w:t>
      </w:r>
    </w:p>
    <w:p w:rsidR="008B589F" w:rsidRPr="001822B9" w:rsidRDefault="008B589F" w:rsidP="008B589F">
      <w:pPr>
        <w:pStyle w:val="ListParagraph"/>
        <w:numPr>
          <w:ilvl w:val="1"/>
          <w:numId w:val="2"/>
        </w:numPr>
        <w:contextualSpacing w:val="0"/>
        <w:rPr>
          <w:rFonts w:ascii="Arial" w:hAnsi="Arial" w:cs="Arial"/>
          <w:sz w:val="20"/>
        </w:rPr>
      </w:pPr>
      <w:r>
        <w:rPr>
          <w:rFonts w:ascii="Arial" w:hAnsi="Arial" w:cs="Arial"/>
          <w:sz w:val="20"/>
        </w:rPr>
        <w:t>Eight</w:t>
      </w:r>
      <w:r w:rsidRPr="001822B9">
        <w:rPr>
          <w:rFonts w:ascii="Arial" w:hAnsi="Arial" w:cs="Arial"/>
          <w:sz w:val="20"/>
        </w:rPr>
        <w:t xml:space="preserve"> commercial vehicle manufacturers.</w:t>
      </w:r>
    </w:p>
    <w:p w:rsidR="008B589F" w:rsidRDefault="008B589F" w:rsidP="008B589F">
      <w:pPr>
        <w:pStyle w:val="ListParagraph"/>
        <w:numPr>
          <w:ilvl w:val="1"/>
          <w:numId w:val="2"/>
        </w:numPr>
        <w:contextualSpacing w:val="0"/>
        <w:rPr>
          <w:rFonts w:ascii="Arial" w:hAnsi="Arial" w:cs="Arial"/>
          <w:sz w:val="20"/>
        </w:rPr>
      </w:pPr>
      <w:r>
        <w:rPr>
          <w:rFonts w:ascii="Arial" w:hAnsi="Arial" w:cs="Arial"/>
          <w:sz w:val="20"/>
        </w:rPr>
        <w:t>11</w:t>
      </w:r>
      <w:r w:rsidRPr="001822B9">
        <w:rPr>
          <w:rFonts w:ascii="Arial" w:hAnsi="Arial" w:cs="Arial"/>
          <w:sz w:val="20"/>
        </w:rPr>
        <w:t xml:space="preserve"> bus and coach manufacturers.</w:t>
      </w:r>
    </w:p>
    <w:p w:rsidR="008B589F" w:rsidRPr="009C02CA" w:rsidRDefault="008B589F" w:rsidP="008B589F">
      <w:pPr>
        <w:pStyle w:val="ListParagraph"/>
        <w:numPr>
          <w:ilvl w:val="1"/>
          <w:numId w:val="2"/>
        </w:numPr>
        <w:contextualSpacing w:val="0"/>
        <w:rPr>
          <w:rFonts w:ascii="Arial" w:hAnsi="Arial" w:cs="Arial"/>
          <w:sz w:val="20"/>
        </w:rPr>
      </w:pPr>
      <w:r w:rsidRPr="009C02CA">
        <w:rPr>
          <w:rFonts w:ascii="Arial" w:hAnsi="Arial" w:cs="Arial"/>
          <w:bCs/>
          <w:sz w:val="20"/>
        </w:rPr>
        <w:t>10 major premium and sports car manufacturers.</w:t>
      </w:r>
    </w:p>
    <w:p w:rsidR="008B589F" w:rsidRPr="009C02CA" w:rsidRDefault="008B589F" w:rsidP="008B589F">
      <w:pPr>
        <w:pStyle w:val="ListParagraph"/>
        <w:numPr>
          <w:ilvl w:val="1"/>
          <w:numId w:val="2"/>
        </w:numPr>
        <w:contextualSpacing w:val="0"/>
        <w:rPr>
          <w:rFonts w:ascii="Arial" w:hAnsi="Arial" w:cs="Arial"/>
          <w:sz w:val="20"/>
        </w:rPr>
      </w:pPr>
      <w:r w:rsidRPr="009C02CA">
        <w:rPr>
          <w:rFonts w:ascii="Arial" w:hAnsi="Arial" w:cs="Arial"/>
          <w:sz w:val="20"/>
        </w:rPr>
        <w:t>Eight Formula One teams.</w:t>
      </w:r>
    </w:p>
    <w:p w:rsidR="008B589F" w:rsidRPr="009C02CA" w:rsidRDefault="008B589F" w:rsidP="008B589F">
      <w:pPr>
        <w:pStyle w:val="ListParagraph"/>
        <w:numPr>
          <w:ilvl w:val="1"/>
          <w:numId w:val="2"/>
        </w:numPr>
        <w:contextualSpacing w:val="0"/>
        <w:rPr>
          <w:rFonts w:ascii="Arial" w:hAnsi="Arial" w:cs="Arial"/>
          <w:sz w:val="20"/>
        </w:rPr>
      </w:pPr>
      <w:r w:rsidRPr="009C02CA">
        <w:rPr>
          <w:rFonts w:ascii="Arial" w:hAnsi="Arial" w:cs="Arial"/>
          <w:bCs/>
          <w:sz w:val="20"/>
        </w:rPr>
        <w:t>The greatest concentration of specialist brands anywhere in the world.</w:t>
      </w:r>
    </w:p>
    <w:p w:rsidR="008B589F" w:rsidRPr="001822B9" w:rsidRDefault="008B589F" w:rsidP="008B589F">
      <w:pPr>
        <w:pStyle w:val="ListParagraph"/>
        <w:numPr>
          <w:ilvl w:val="0"/>
          <w:numId w:val="2"/>
        </w:numPr>
        <w:contextualSpacing w:val="0"/>
        <w:rPr>
          <w:rFonts w:ascii="Arial" w:hAnsi="Arial" w:cs="Arial"/>
          <w:sz w:val="20"/>
        </w:rPr>
      </w:pPr>
      <w:r w:rsidRPr="009C02CA">
        <w:rPr>
          <w:rFonts w:ascii="Arial" w:hAnsi="Arial" w:cs="Arial"/>
          <w:sz w:val="20"/>
        </w:rPr>
        <w:t>Over one</w:t>
      </w:r>
      <w:r w:rsidRPr="001822B9">
        <w:rPr>
          <w:rFonts w:ascii="Arial" w:hAnsi="Arial" w:cs="Arial"/>
          <w:sz w:val="20"/>
        </w:rPr>
        <w:t xml:space="preserve"> million vehicles and two million engines are produced in the UK each year.</w:t>
      </w:r>
    </w:p>
    <w:p w:rsidR="008B589F" w:rsidRPr="001822B9" w:rsidRDefault="008B589F" w:rsidP="008B589F">
      <w:pPr>
        <w:pStyle w:val="ListParagraph"/>
        <w:numPr>
          <w:ilvl w:val="0"/>
          <w:numId w:val="2"/>
        </w:numPr>
        <w:contextualSpacing w:val="0"/>
        <w:rPr>
          <w:rFonts w:ascii="Arial" w:hAnsi="Arial" w:cs="Arial"/>
          <w:sz w:val="20"/>
        </w:rPr>
      </w:pPr>
      <w:r>
        <w:rPr>
          <w:rFonts w:ascii="Arial" w:hAnsi="Arial" w:cs="Arial"/>
          <w:sz w:val="20"/>
        </w:rPr>
        <w:t>Independent forecasts indicate that automotive manufacturing will hit record levels by 2015</w:t>
      </w:r>
      <w:r w:rsidRPr="001822B9">
        <w:rPr>
          <w:rFonts w:ascii="Arial" w:hAnsi="Arial" w:cs="Arial"/>
          <w:sz w:val="20"/>
        </w:rPr>
        <w:t>.</w:t>
      </w:r>
    </w:p>
    <w:p w:rsidR="008B589F" w:rsidRDefault="008B589F" w:rsidP="008B589F">
      <w:pPr>
        <w:pStyle w:val="ListParagraph"/>
        <w:numPr>
          <w:ilvl w:val="0"/>
          <w:numId w:val="2"/>
        </w:numPr>
        <w:contextualSpacing w:val="0"/>
        <w:rPr>
          <w:rFonts w:ascii="Arial" w:hAnsi="Arial" w:cs="Arial"/>
          <w:sz w:val="20"/>
        </w:rPr>
      </w:pPr>
      <w:r w:rsidRPr="001822B9">
        <w:rPr>
          <w:rFonts w:ascii="Arial" w:hAnsi="Arial" w:cs="Arial"/>
          <w:sz w:val="20"/>
        </w:rPr>
        <w:t>M</w:t>
      </w:r>
      <w:r>
        <w:rPr>
          <w:rFonts w:ascii="Arial" w:hAnsi="Arial" w:cs="Arial"/>
          <w:sz w:val="20"/>
        </w:rPr>
        <w:t>ore than 80</w:t>
      </w:r>
      <w:r w:rsidRPr="001822B9">
        <w:rPr>
          <w:rFonts w:ascii="Arial" w:hAnsi="Arial" w:cs="Arial"/>
          <w:sz w:val="20"/>
        </w:rPr>
        <w:t>% of vehicles</w:t>
      </w:r>
      <w:r>
        <w:rPr>
          <w:rFonts w:ascii="Arial" w:hAnsi="Arial" w:cs="Arial"/>
          <w:sz w:val="20"/>
        </w:rPr>
        <w:t xml:space="preserve"> and 70% of engines</w:t>
      </w:r>
      <w:r w:rsidRPr="001822B9">
        <w:rPr>
          <w:rFonts w:ascii="Arial" w:hAnsi="Arial" w:cs="Arial"/>
          <w:sz w:val="20"/>
        </w:rPr>
        <w:t xml:space="preserve"> manufactured in the UK are exported.</w:t>
      </w:r>
    </w:p>
    <w:p w:rsidR="008B589F" w:rsidRPr="00EC02D6" w:rsidRDefault="008B589F" w:rsidP="008B589F">
      <w:pPr>
        <w:pStyle w:val="ListParagraph"/>
        <w:rPr>
          <w:rFonts w:ascii="Arial" w:hAnsi="Arial" w:cs="Arial"/>
          <w:sz w:val="20"/>
        </w:rPr>
      </w:pPr>
    </w:p>
    <w:p w:rsidR="008B589F" w:rsidRDefault="008B589F" w:rsidP="008B589F">
      <w:pPr>
        <w:rPr>
          <w:rFonts w:ascii="Arial" w:eastAsia="Times New Roman" w:hAnsi="Arial" w:cs="Arial"/>
          <w:b/>
          <w:color w:val="1074CB"/>
          <w:sz w:val="28"/>
          <w:szCs w:val="28"/>
        </w:rPr>
      </w:pPr>
      <w:r>
        <w:rPr>
          <w:rFonts w:ascii="Arial" w:eastAsia="Times New Roman" w:hAnsi="Arial" w:cs="Arial"/>
          <w:b/>
          <w:color w:val="1074CB"/>
          <w:sz w:val="28"/>
          <w:szCs w:val="28"/>
        </w:rPr>
        <w:t xml:space="preserve">Supply chain </w:t>
      </w:r>
    </w:p>
    <w:p w:rsidR="008B589F" w:rsidRPr="00D72EA7" w:rsidRDefault="008B589F" w:rsidP="008B589F">
      <w:pPr>
        <w:pStyle w:val="ListParagraph"/>
        <w:numPr>
          <w:ilvl w:val="0"/>
          <w:numId w:val="3"/>
        </w:numPr>
        <w:contextualSpacing w:val="0"/>
        <w:rPr>
          <w:rFonts w:ascii="Arial" w:hAnsi="Arial" w:cs="Arial"/>
          <w:sz w:val="20"/>
        </w:rPr>
      </w:pPr>
      <w:r w:rsidRPr="00D72EA7">
        <w:rPr>
          <w:rFonts w:ascii="Arial" w:hAnsi="Arial" w:cs="Arial"/>
          <w:sz w:val="20"/>
        </w:rPr>
        <w:t>At present, about 80% of all component types required for vehi</w:t>
      </w:r>
      <w:r>
        <w:rPr>
          <w:rFonts w:ascii="Arial" w:hAnsi="Arial" w:cs="Arial"/>
          <w:sz w:val="20"/>
        </w:rPr>
        <w:t>cle assembly operations can be sourced</w:t>
      </w:r>
      <w:r w:rsidRPr="00D72EA7">
        <w:rPr>
          <w:rFonts w:ascii="Arial" w:hAnsi="Arial" w:cs="Arial"/>
          <w:sz w:val="20"/>
        </w:rPr>
        <w:t xml:space="preserve"> from UK suppliers.</w:t>
      </w:r>
    </w:p>
    <w:p w:rsidR="008B589F" w:rsidRDefault="008B589F" w:rsidP="008B589F">
      <w:pPr>
        <w:pStyle w:val="ListParagraph"/>
        <w:numPr>
          <w:ilvl w:val="0"/>
          <w:numId w:val="3"/>
        </w:numPr>
        <w:contextualSpacing w:val="0"/>
        <w:rPr>
          <w:rFonts w:ascii="Arial" w:hAnsi="Arial" w:cs="Arial"/>
          <w:sz w:val="20"/>
        </w:rPr>
      </w:pPr>
      <w:r w:rsidRPr="007D6540">
        <w:rPr>
          <w:rFonts w:ascii="Arial" w:hAnsi="Arial" w:cs="Arial"/>
          <w:sz w:val="20"/>
        </w:rPr>
        <w:t>The UK automotive supply c</w:t>
      </w:r>
      <w:r>
        <w:rPr>
          <w:rFonts w:ascii="Arial" w:hAnsi="Arial" w:cs="Arial"/>
          <w:sz w:val="20"/>
        </w:rPr>
        <w:t>hain typically generates £4.8</w:t>
      </w:r>
      <w:r w:rsidRPr="007D6540">
        <w:rPr>
          <w:rFonts w:ascii="Arial" w:hAnsi="Arial" w:cs="Arial"/>
          <w:sz w:val="20"/>
        </w:rPr>
        <w:t>bn of added value annually</w:t>
      </w:r>
      <w:r>
        <w:rPr>
          <w:rFonts w:ascii="Arial" w:hAnsi="Arial" w:cs="Arial"/>
          <w:sz w:val="20"/>
        </w:rPr>
        <w:t xml:space="preserve"> to the UK economy</w:t>
      </w:r>
      <w:r w:rsidRPr="007D6540">
        <w:rPr>
          <w:rFonts w:ascii="Arial" w:hAnsi="Arial" w:cs="Arial"/>
          <w:sz w:val="20"/>
        </w:rPr>
        <w:t xml:space="preserve">. </w:t>
      </w:r>
    </w:p>
    <w:p w:rsidR="008B589F" w:rsidRPr="00D72EA7" w:rsidRDefault="008B589F" w:rsidP="008B589F">
      <w:pPr>
        <w:pStyle w:val="ListParagraph"/>
        <w:numPr>
          <w:ilvl w:val="0"/>
          <w:numId w:val="3"/>
        </w:numPr>
        <w:contextualSpacing w:val="0"/>
        <w:rPr>
          <w:rFonts w:ascii="Arial" w:hAnsi="Arial" w:cs="Arial"/>
          <w:sz w:val="20"/>
        </w:rPr>
      </w:pPr>
      <w:r w:rsidRPr="00D72EA7">
        <w:rPr>
          <w:rFonts w:ascii="Arial" w:hAnsi="Arial" w:cs="Arial"/>
          <w:sz w:val="20"/>
        </w:rPr>
        <w:t>There are around 2,350 UK companies that regard themselves as ‘automotive’ suppliers, employing 82,000 people.</w:t>
      </w:r>
    </w:p>
    <w:p w:rsidR="008B589F" w:rsidRPr="00D72EA7" w:rsidRDefault="008B589F" w:rsidP="008B589F">
      <w:pPr>
        <w:pStyle w:val="ListParagraph"/>
        <w:numPr>
          <w:ilvl w:val="0"/>
          <w:numId w:val="3"/>
        </w:numPr>
        <w:contextualSpacing w:val="0"/>
        <w:rPr>
          <w:rFonts w:ascii="Arial" w:hAnsi="Arial" w:cs="Arial"/>
          <w:sz w:val="20"/>
        </w:rPr>
      </w:pPr>
      <w:r w:rsidRPr="00D72EA7">
        <w:rPr>
          <w:rFonts w:ascii="Arial" w:hAnsi="Arial" w:cs="Arial"/>
          <w:sz w:val="20"/>
        </w:rPr>
        <w:t>It is estimated that every job in UK vehicle assembly supports 7.5 elsewhere in the economy.</w:t>
      </w:r>
    </w:p>
    <w:p w:rsidR="008B589F" w:rsidRDefault="008B589F" w:rsidP="008B589F">
      <w:pPr>
        <w:pStyle w:val="ListParagraph"/>
        <w:numPr>
          <w:ilvl w:val="0"/>
          <w:numId w:val="3"/>
        </w:numPr>
        <w:contextualSpacing w:val="0"/>
        <w:rPr>
          <w:rFonts w:ascii="Arial" w:hAnsi="Arial" w:cs="Arial"/>
          <w:sz w:val="20"/>
        </w:rPr>
      </w:pPr>
      <w:r>
        <w:rPr>
          <w:rFonts w:ascii="Arial" w:hAnsi="Arial" w:cs="Arial"/>
          <w:sz w:val="20"/>
        </w:rPr>
        <w:t xml:space="preserve">Of all UK suppliers, more than 70% manufacture their products in the UK. </w:t>
      </w:r>
    </w:p>
    <w:p w:rsidR="008B589F" w:rsidRDefault="008B589F" w:rsidP="008B589F">
      <w:pPr>
        <w:rPr>
          <w:rFonts w:ascii="Arial" w:eastAsia="Times New Roman" w:hAnsi="Arial" w:cs="Arial"/>
          <w:b/>
          <w:color w:val="1074CB"/>
          <w:sz w:val="28"/>
          <w:szCs w:val="28"/>
        </w:rPr>
      </w:pPr>
    </w:p>
    <w:p w:rsidR="008B589F" w:rsidRDefault="008B589F" w:rsidP="008B589F">
      <w:pPr>
        <w:rPr>
          <w:rFonts w:ascii="Arial" w:hAnsi="Arial" w:cs="Arial"/>
          <w:sz w:val="20"/>
        </w:rPr>
      </w:pPr>
      <w:r>
        <w:rPr>
          <w:rFonts w:ascii="Arial" w:hAnsi="Arial" w:cs="Arial"/>
          <w:b/>
          <w:bCs/>
          <w:color w:val="1074CB"/>
          <w:sz w:val="28"/>
          <w:szCs w:val="28"/>
        </w:rPr>
        <w:t>Business environment</w:t>
      </w:r>
    </w:p>
    <w:p w:rsidR="008B589F" w:rsidRDefault="008B589F" w:rsidP="008B589F">
      <w:pPr>
        <w:pStyle w:val="ListParagraph"/>
        <w:numPr>
          <w:ilvl w:val="0"/>
          <w:numId w:val="5"/>
        </w:numPr>
        <w:contextualSpacing w:val="0"/>
        <w:rPr>
          <w:rFonts w:ascii="Arial" w:hAnsi="Arial" w:cs="Arial"/>
          <w:sz w:val="20"/>
        </w:rPr>
      </w:pPr>
      <w:r>
        <w:rPr>
          <w:rFonts w:ascii="Arial" w:hAnsi="Arial" w:cs="Arial"/>
          <w:sz w:val="20"/>
        </w:rPr>
        <w:t>There is an industry-wide desire to source more components locally, particularly components relevant to the low carbon and electric vehicle market.</w:t>
      </w:r>
    </w:p>
    <w:p w:rsidR="008B589F" w:rsidRDefault="008B589F" w:rsidP="008B589F">
      <w:pPr>
        <w:pStyle w:val="Default"/>
        <w:numPr>
          <w:ilvl w:val="0"/>
          <w:numId w:val="5"/>
        </w:numPr>
        <w:adjustRightInd/>
        <w:rPr>
          <w:color w:val="auto"/>
          <w:sz w:val="20"/>
          <w:szCs w:val="20"/>
        </w:rPr>
      </w:pPr>
      <w:r>
        <w:rPr>
          <w:color w:val="auto"/>
          <w:sz w:val="20"/>
          <w:szCs w:val="20"/>
        </w:rPr>
        <w:t>Government is investing £50 million over the next three ye</w:t>
      </w:r>
      <w:r w:rsidR="00BD084A">
        <w:rPr>
          <w:color w:val="auto"/>
          <w:sz w:val="20"/>
          <w:szCs w:val="20"/>
        </w:rPr>
        <w:t>ars to support UK manufacturers to</w:t>
      </w:r>
      <w:r>
        <w:rPr>
          <w:color w:val="auto"/>
          <w:sz w:val="20"/>
          <w:szCs w:val="20"/>
        </w:rPr>
        <w:t xml:space="preserve"> improve productivity and international competitiveness. </w:t>
      </w:r>
    </w:p>
    <w:p w:rsidR="008B589F" w:rsidRDefault="008B589F" w:rsidP="008B589F">
      <w:pPr>
        <w:pStyle w:val="ListParagraph"/>
        <w:numPr>
          <w:ilvl w:val="0"/>
          <w:numId w:val="5"/>
        </w:numPr>
        <w:contextualSpacing w:val="0"/>
        <w:rPr>
          <w:rFonts w:ascii="Arial" w:hAnsi="Arial" w:cs="Arial"/>
          <w:sz w:val="20"/>
        </w:rPr>
      </w:pPr>
      <w:r>
        <w:rPr>
          <w:rFonts w:ascii="Arial" w:hAnsi="Arial" w:cs="Arial"/>
          <w:sz w:val="20"/>
        </w:rPr>
        <w:t>The UK is internationally recognised for its ability to use workforce flexibility to manage efficiently fluctuation in production levels.</w:t>
      </w:r>
    </w:p>
    <w:p w:rsidR="008B589F" w:rsidRDefault="008B589F" w:rsidP="008B589F">
      <w:pPr>
        <w:pStyle w:val="ListParagraph"/>
        <w:numPr>
          <w:ilvl w:val="0"/>
          <w:numId w:val="5"/>
        </w:numPr>
        <w:contextualSpacing w:val="0"/>
        <w:rPr>
          <w:rFonts w:ascii="Arial" w:hAnsi="Arial" w:cs="Arial"/>
          <w:sz w:val="20"/>
        </w:rPr>
      </w:pPr>
      <w:r>
        <w:rPr>
          <w:rFonts w:ascii="Arial" w:hAnsi="Arial" w:cs="Arial"/>
          <w:sz w:val="20"/>
        </w:rPr>
        <w:t xml:space="preserve">The Automotive Council is a collaborative industry and government body that is working strategically to shape the future of UK automotive. </w:t>
      </w:r>
    </w:p>
    <w:p w:rsidR="008B589F" w:rsidRPr="00491551" w:rsidRDefault="008B589F" w:rsidP="008B589F">
      <w:pPr>
        <w:pStyle w:val="ListParagraph"/>
        <w:rPr>
          <w:rFonts w:ascii="Arial" w:eastAsia="Times New Roman" w:hAnsi="Arial" w:cs="Arial"/>
          <w:b/>
          <w:color w:val="1074CB"/>
          <w:sz w:val="28"/>
          <w:szCs w:val="28"/>
        </w:rPr>
      </w:pPr>
    </w:p>
    <w:p w:rsidR="00D37F58" w:rsidRDefault="00D37F58">
      <w:pPr>
        <w:rPr>
          <w:rFonts w:ascii="Arial" w:eastAsia="Times New Roman" w:hAnsi="Arial" w:cs="Arial"/>
          <w:b/>
          <w:color w:val="1074CB"/>
          <w:sz w:val="28"/>
          <w:szCs w:val="28"/>
        </w:rPr>
      </w:pPr>
      <w:r>
        <w:rPr>
          <w:rFonts w:ascii="Arial" w:eastAsia="Times New Roman" w:hAnsi="Arial" w:cs="Arial"/>
          <w:b/>
          <w:color w:val="1074CB"/>
          <w:sz w:val="28"/>
          <w:szCs w:val="28"/>
        </w:rPr>
        <w:br w:type="page"/>
      </w:r>
    </w:p>
    <w:p w:rsidR="008B589F" w:rsidRPr="00491551" w:rsidRDefault="008B589F" w:rsidP="008B589F">
      <w:pPr>
        <w:pStyle w:val="ListParagraph"/>
        <w:ind w:left="0"/>
        <w:rPr>
          <w:rFonts w:ascii="Arial" w:eastAsia="Times New Roman" w:hAnsi="Arial" w:cs="Arial"/>
          <w:b/>
          <w:color w:val="1074CB"/>
          <w:sz w:val="28"/>
          <w:szCs w:val="28"/>
        </w:rPr>
      </w:pPr>
      <w:r w:rsidRPr="00491551">
        <w:rPr>
          <w:rFonts w:ascii="Arial" w:eastAsia="Times New Roman" w:hAnsi="Arial" w:cs="Arial"/>
          <w:b/>
          <w:color w:val="1074CB"/>
          <w:sz w:val="28"/>
          <w:szCs w:val="28"/>
        </w:rPr>
        <w:lastRenderedPageBreak/>
        <w:t>Environmental credentials</w:t>
      </w:r>
    </w:p>
    <w:p w:rsidR="008B589F" w:rsidRDefault="008B589F" w:rsidP="008B589F">
      <w:pPr>
        <w:pStyle w:val="ListParagraph"/>
        <w:numPr>
          <w:ilvl w:val="0"/>
          <w:numId w:val="2"/>
        </w:numPr>
        <w:contextualSpacing w:val="0"/>
        <w:rPr>
          <w:rFonts w:ascii="Arial" w:hAnsi="Arial" w:cs="Arial"/>
          <w:sz w:val="20"/>
        </w:rPr>
      </w:pPr>
      <w:r w:rsidRPr="001822B9">
        <w:rPr>
          <w:rFonts w:ascii="Arial" w:hAnsi="Arial" w:cs="Arial"/>
          <w:sz w:val="20"/>
        </w:rPr>
        <w:t>Since 2000, CO</w:t>
      </w:r>
      <w:r w:rsidRPr="001822B9">
        <w:rPr>
          <w:rFonts w:ascii="Arial" w:hAnsi="Arial" w:cs="Arial"/>
          <w:sz w:val="20"/>
          <w:vertAlign w:val="subscript"/>
        </w:rPr>
        <w:t>2</w:t>
      </w:r>
      <w:r w:rsidRPr="001822B9">
        <w:rPr>
          <w:rFonts w:ascii="Arial" w:hAnsi="Arial" w:cs="Arial"/>
          <w:sz w:val="20"/>
        </w:rPr>
        <w:t xml:space="preserve"> emissions of new cars registered in the UK have fallen by</w:t>
      </w:r>
      <w:r>
        <w:rPr>
          <w:rFonts w:ascii="Arial" w:hAnsi="Arial" w:cs="Arial"/>
          <w:sz w:val="20"/>
        </w:rPr>
        <w:t xml:space="preserve"> 23</w:t>
      </w:r>
      <w:r w:rsidRPr="001822B9">
        <w:rPr>
          <w:rFonts w:ascii="Arial" w:hAnsi="Arial" w:cs="Arial"/>
          <w:sz w:val="20"/>
        </w:rPr>
        <w:t>%</w:t>
      </w:r>
      <w:r>
        <w:rPr>
          <w:rFonts w:ascii="Arial" w:hAnsi="Arial" w:cs="Arial"/>
          <w:sz w:val="20"/>
        </w:rPr>
        <w:t xml:space="preserve"> to 138g/km CO</w:t>
      </w:r>
      <w:r w:rsidRPr="00D72EA7">
        <w:rPr>
          <w:rFonts w:ascii="Arial" w:hAnsi="Arial" w:cs="Arial"/>
          <w:sz w:val="20"/>
          <w:vertAlign w:val="subscript"/>
        </w:rPr>
        <w:t>2</w:t>
      </w:r>
      <w:r w:rsidRPr="001822B9">
        <w:rPr>
          <w:rFonts w:ascii="Arial" w:hAnsi="Arial" w:cs="Arial"/>
          <w:sz w:val="20"/>
        </w:rPr>
        <w:t>.</w:t>
      </w:r>
      <w:r w:rsidR="00BD2D3E">
        <w:rPr>
          <w:rFonts w:ascii="Arial" w:hAnsi="Arial" w:cs="Arial"/>
          <w:sz w:val="20"/>
        </w:rPr>
        <w:t xml:space="preserve"> </w:t>
      </w:r>
    </w:p>
    <w:p w:rsidR="008B589F" w:rsidRPr="00491551" w:rsidRDefault="008B589F" w:rsidP="008B589F">
      <w:pPr>
        <w:pStyle w:val="ListParagraph"/>
        <w:numPr>
          <w:ilvl w:val="0"/>
          <w:numId w:val="2"/>
        </w:numPr>
        <w:contextualSpacing w:val="0"/>
        <w:rPr>
          <w:rFonts w:ascii="Arial" w:hAnsi="Arial" w:cs="Arial"/>
          <w:sz w:val="20"/>
        </w:rPr>
      </w:pPr>
      <w:r w:rsidRPr="00EC6A45">
        <w:rPr>
          <w:rFonts w:ascii="Arial" w:hAnsi="Arial" w:cs="Arial"/>
          <w:sz w:val="20"/>
        </w:rPr>
        <w:t xml:space="preserve">Emissions from the entire UK car </w:t>
      </w:r>
      <w:proofErr w:type="spellStart"/>
      <w:r w:rsidRPr="00EC6A45">
        <w:rPr>
          <w:rFonts w:ascii="Arial" w:hAnsi="Arial" w:cs="Arial"/>
          <w:sz w:val="20"/>
        </w:rPr>
        <w:t>parc</w:t>
      </w:r>
      <w:proofErr w:type="spellEnd"/>
      <w:r w:rsidRPr="00EC6A45">
        <w:rPr>
          <w:rFonts w:ascii="Arial" w:hAnsi="Arial" w:cs="Arial"/>
          <w:sz w:val="20"/>
        </w:rPr>
        <w:t xml:space="preserve"> have fallen 10.2% since 2000. </w:t>
      </w:r>
      <w:r w:rsidRPr="00491551">
        <w:rPr>
          <w:rFonts w:ascii="Arial" w:hAnsi="Arial" w:cs="Arial"/>
          <w:sz w:val="20"/>
        </w:rPr>
        <w:t>The total number of vehicles on the road in 2011 emitting less than 100g/km CO</w:t>
      </w:r>
      <w:r w:rsidRPr="00D37F58">
        <w:rPr>
          <w:rFonts w:ascii="Arial" w:hAnsi="Arial" w:cs="Arial"/>
          <w:sz w:val="20"/>
          <w:vertAlign w:val="superscript"/>
        </w:rPr>
        <w:t>2</w:t>
      </w:r>
      <w:r w:rsidRPr="00491551">
        <w:rPr>
          <w:rFonts w:ascii="Arial" w:hAnsi="Arial" w:cs="Arial"/>
          <w:sz w:val="20"/>
        </w:rPr>
        <w:t xml:space="preserve"> was 123,296.</w:t>
      </w:r>
    </w:p>
    <w:p w:rsidR="008B589F" w:rsidRDefault="008B589F" w:rsidP="008B589F">
      <w:pPr>
        <w:pStyle w:val="ListParagraph"/>
        <w:numPr>
          <w:ilvl w:val="0"/>
          <w:numId w:val="2"/>
        </w:numPr>
        <w:autoSpaceDE w:val="0"/>
        <w:autoSpaceDN w:val="0"/>
        <w:adjustRightInd w:val="0"/>
        <w:contextualSpacing w:val="0"/>
        <w:rPr>
          <w:rFonts w:ascii="Bliss-Light" w:hAnsi="Bliss-Light" w:cs="Bliss-Light"/>
          <w:sz w:val="20"/>
        </w:rPr>
      </w:pPr>
      <w:r w:rsidRPr="00773BAA">
        <w:rPr>
          <w:rFonts w:ascii="Bliss-Light" w:hAnsi="Bliss-Light" w:cs="Bliss-Light"/>
          <w:sz w:val="20"/>
        </w:rPr>
        <w:t>The UK governmen</w:t>
      </w:r>
      <w:r>
        <w:rPr>
          <w:rFonts w:ascii="Bliss-Light" w:hAnsi="Bliss-Light" w:cs="Bliss-Light"/>
          <w:sz w:val="20"/>
        </w:rPr>
        <w:t>t has committed over £450m</w:t>
      </w:r>
      <w:r w:rsidRPr="00773BAA">
        <w:rPr>
          <w:rFonts w:ascii="Bliss-Light" w:hAnsi="Bliss-Light" w:cs="Bliss-Light"/>
          <w:sz w:val="20"/>
        </w:rPr>
        <w:t xml:space="preserve"> to</w:t>
      </w:r>
      <w:r w:rsidR="00D37F58">
        <w:rPr>
          <w:rFonts w:ascii="Bliss-Light" w:hAnsi="Bliss-Light" w:cs="Bliss-Light"/>
          <w:sz w:val="20"/>
        </w:rPr>
        <w:t xml:space="preserve"> </w:t>
      </w:r>
      <w:r w:rsidRPr="00773BAA">
        <w:rPr>
          <w:rFonts w:ascii="Bliss-Light" w:hAnsi="Bliss-Light" w:cs="Bliss-Light"/>
          <w:sz w:val="20"/>
        </w:rPr>
        <w:t>p</w:t>
      </w:r>
      <w:r w:rsidR="00D37F58">
        <w:rPr>
          <w:rFonts w:ascii="Bliss-Light" w:hAnsi="Bliss-Light" w:cs="Bliss-Light"/>
          <w:sz w:val="20"/>
        </w:rPr>
        <w:t>osition</w:t>
      </w:r>
      <w:r w:rsidRPr="00773BAA">
        <w:rPr>
          <w:rFonts w:ascii="Bliss-Light" w:hAnsi="Bliss-Light" w:cs="Bliss-Light"/>
          <w:sz w:val="20"/>
        </w:rPr>
        <w:t xml:space="preserve"> the UK at the global forefront of the development, demonstration, manufacture and use of ultra-low carbon vehicles.</w:t>
      </w:r>
    </w:p>
    <w:p w:rsidR="008B589F" w:rsidRPr="00EC6A45" w:rsidRDefault="008B589F" w:rsidP="008B589F">
      <w:pPr>
        <w:pStyle w:val="ListParagraph"/>
        <w:numPr>
          <w:ilvl w:val="0"/>
          <w:numId w:val="2"/>
        </w:numPr>
        <w:contextualSpacing w:val="0"/>
        <w:rPr>
          <w:rFonts w:ascii="Arial" w:hAnsi="Arial" w:cs="Arial"/>
          <w:sz w:val="20"/>
        </w:rPr>
      </w:pPr>
      <w:r w:rsidRPr="00773BAA">
        <w:rPr>
          <w:rFonts w:ascii="Arial" w:hAnsi="Arial" w:cs="Arial"/>
          <w:sz w:val="20"/>
        </w:rPr>
        <w:t xml:space="preserve">The next 20 years will see over £150bn invested </w:t>
      </w:r>
      <w:r w:rsidR="00BD084A">
        <w:rPr>
          <w:rFonts w:ascii="Arial" w:hAnsi="Arial" w:cs="Arial"/>
          <w:sz w:val="20"/>
        </w:rPr>
        <w:t xml:space="preserve">in </w:t>
      </w:r>
      <w:r w:rsidRPr="00773BAA">
        <w:rPr>
          <w:rFonts w:ascii="Arial" w:hAnsi="Arial" w:cs="Arial"/>
          <w:sz w:val="20"/>
        </w:rPr>
        <w:t>low and ultra-low carbon vehicle technologies.</w:t>
      </w:r>
    </w:p>
    <w:p w:rsidR="008B589F" w:rsidRPr="00491551" w:rsidRDefault="008B589F" w:rsidP="008B589F">
      <w:pPr>
        <w:pStyle w:val="ListParagraph"/>
        <w:numPr>
          <w:ilvl w:val="0"/>
          <w:numId w:val="2"/>
        </w:numPr>
        <w:autoSpaceDE w:val="0"/>
        <w:autoSpaceDN w:val="0"/>
        <w:adjustRightInd w:val="0"/>
        <w:contextualSpacing w:val="0"/>
        <w:rPr>
          <w:rFonts w:ascii="Bliss-Light" w:hAnsi="Bliss-Light" w:cs="Bliss-Light"/>
          <w:sz w:val="20"/>
        </w:rPr>
      </w:pPr>
      <w:r w:rsidRPr="00491551">
        <w:rPr>
          <w:rFonts w:ascii="Bliss-Light" w:hAnsi="Bliss-Light" w:cs="Bliss-Light"/>
          <w:sz w:val="20"/>
        </w:rPr>
        <w:t>The Automotive Council ha</w:t>
      </w:r>
      <w:r>
        <w:rPr>
          <w:rFonts w:ascii="Bliss-Light" w:hAnsi="Bliss-Light" w:cs="Bliss-Light"/>
          <w:sz w:val="20"/>
        </w:rPr>
        <w:t>s identified five ‘sticky’ tech</w:t>
      </w:r>
      <w:r w:rsidRPr="00491551">
        <w:rPr>
          <w:rFonts w:ascii="Bliss-Light" w:hAnsi="Bliss-Light" w:cs="Bliss-Light"/>
          <w:sz w:val="20"/>
        </w:rPr>
        <w:t>nology groups where the UK has the potential for a significant return on investment.</w:t>
      </w:r>
    </w:p>
    <w:p w:rsidR="008B589F" w:rsidRPr="00BE26ED" w:rsidRDefault="008B589F" w:rsidP="008B589F">
      <w:pPr>
        <w:pStyle w:val="ListParagraph"/>
        <w:autoSpaceDE w:val="0"/>
        <w:autoSpaceDN w:val="0"/>
        <w:adjustRightInd w:val="0"/>
        <w:rPr>
          <w:rFonts w:ascii="Bliss-Light" w:hAnsi="Bliss-Light" w:cs="Bliss-Light"/>
          <w:sz w:val="20"/>
        </w:rPr>
      </w:pPr>
    </w:p>
    <w:p w:rsidR="008B589F" w:rsidRPr="002037FB" w:rsidRDefault="008B589F" w:rsidP="008B589F">
      <w:pPr>
        <w:rPr>
          <w:rFonts w:ascii="Arial" w:eastAsia="Times New Roman" w:hAnsi="Arial" w:cs="Arial"/>
          <w:b/>
          <w:color w:val="1074CB"/>
          <w:sz w:val="28"/>
          <w:szCs w:val="28"/>
        </w:rPr>
      </w:pPr>
      <w:r>
        <w:rPr>
          <w:rFonts w:ascii="Arial" w:eastAsia="Times New Roman" w:hAnsi="Arial" w:cs="Arial"/>
          <w:b/>
          <w:color w:val="1074CB"/>
          <w:sz w:val="28"/>
          <w:szCs w:val="28"/>
        </w:rPr>
        <w:t>Latest market information</w:t>
      </w:r>
    </w:p>
    <w:p w:rsidR="008B589F" w:rsidRPr="002037FB" w:rsidRDefault="008B589F" w:rsidP="008B589F">
      <w:pPr>
        <w:rPr>
          <w:rFonts w:ascii="Arial" w:eastAsiaTheme="minorHAnsi" w:hAnsi="Arial" w:cs="Arial"/>
          <w:sz w:val="20"/>
          <w:szCs w:val="22"/>
        </w:rPr>
      </w:pPr>
      <w:r w:rsidRPr="002037FB">
        <w:rPr>
          <w:rFonts w:ascii="Arial" w:eastAsiaTheme="minorHAnsi" w:hAnsi="Arial" w:cs="Arial"/>
          <w:sz w:val="20"/>
          <w:szCs w:val="22"/>
        </w:rPr>
        <w:t xml:space="preserve">UK new car registration figures: </w:t>
      </w:r>
    </w:p>
    <w:p w:rsidR="008B589F" w:rsidRPr="00D37F58" w:rsidRDefault="008B589F" w:rsidP="00D37F58">
      <w:pPr>
        <w:rPr>
          <w:rFonts w:ascii="Arial" w:eastAsia="Times New Roman" w:hAnsi="Arial" w:cs="Arial"/>
          <w:b/>
          <w:color w:val="1074CB"/>
          <w:sz w:val="20"/>
        </w:rPr>
      </w:pPr>
    </w:p>
    <w:tbl>
      <w:tblPr>
        <w:tblW w:w="9549" w:type="dxa"/>
        <w:tblInd w:w="108" w:type="dxa"/>
        <w:tblCellMar>
          <w:bottom w:w="28" w:type="dxa"/>
        </w:tblCellMar>
        <w:tblLook w:val="0000"/>
      </w:tblPr>
      <w:tblGrid>
        <w:gridCol w:w="1429"/>
        <w:gridCol w:w="1142"/>
        <w:gridCol w:w="1230"/>
        <w:gridCol w:w="1107"/>
        <w:gridCol w:w="1010"/>
        <w:gridCol w:w="1335"/>
        <w:gridCol w:w="1190"/>
        <w:gridCol w:w="1106"/>
      </w:tblGrid>
      <w:tr w:rsidR="008B589F" w:rsidTr="00D37F58">
        <w:trPr>
          <w:trHeight w:val="225"/>
        </w:trPr>
        <w:tc>
          <w:tcPr>
            <w:tcW w:w="1429" w:type="dxa"/>
            <w:tcBorders>
              <w:top w:val="single" w:sz="4" w:space="0" w:color="auto"/>
              <w:left w:val="single" w:sz="4" w:space="0" w:color="auto"/>
              <w:bottom w:val="nil"/>
              <w:right w:val="nil"/>
            </w:tcBorders>
            <w:noWrap/>
            <w:vAlign w:val="bottom"/>
          </w:tcPr>
          <w:p w:rsidR="008B589F" w:rsidRDefault="008B589F" w:rsidP="00952101">
            <w:pPr>
              <w:rPr>
                <w:rFonts w:ascii="Arial" w:hAnsi="Arial" w:cs="Arial"/>
                <w:b/>
                <w:bCs/>
                <w:color w:val="1074CB"/>
                <w:sz w:val="20"/>
              </w:rPr>
            </w:pPr>
            <w:r>
              <w:rPr>
                <w:rFonts w:ascii="Arial" w:hAnsi="Arial" w:cs="Arial"/>
                <w:b/>
                <w:bCs/>
                <w:color w:val="1074CB"/>
                <w:sz w:val="20"/>
              </w:rPr>
              <w:t>Year-to-date</w:t>
            </w:r>
          </w:p>
        </w:tc>
        <w:tc>
          <w:tcPr>
            <w:tcW w:w="1142"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Total</w:t>
            </w:r>
          </w:p>
        </w:tc>
        <w:tc>
          <w:tcPr>
            <w:tcW w:w="1230"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Diesel</w:t>
            </w:r>
          </w:p>
        </w:tc>
        <w:tc>
          <w:tcPr>
            <w:tcW w:w="1107"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Petrol</w:t>
            </w:r>
          </w:p>
        </w:tc>
        <w:tc>
          <w:tcPr>
            <w:tcW w:w="1010"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AFV</w:t>
            </w:r>
          </w:p>
        </w:tc>
        <w:tc>
          <w:tcPr>
            <w:tcW w:w="1335"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Private</w:t>
            </w:r>
          </w:p>
        </w:tc>
        <w:tc>
          <w:tcPr>
            <w:tcW w:w="1190" w:type="dxa"/>
            <w:tcBorders>
              <w:top w:val="single" w:sz="4" w:space="0" w:color="auto"/>
              <w:left w:val="nil"/>
              <w:bottom w:val="nil"/>
              <w:right w:val="nil"/>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Fleet</w:t>
            </w:r>
          </w:p>
        </w:tc>
        <w:tc>
          <w:tcPr>
            <w:tcW w:w="1106" w:type="dxa"/>
            <w:tcBorders>
              <w:top w:val="single" w:sz="4" w:space="0" w:color="auto"/>
              <w:left w:val="nil"/>
              <w:bottom w:val="nil"/>
              <w:right w:val="single" w:sz="4" w:space="0" w:color="auto"/>
            </w:tcBorders>
            <w:noWrap/>
            <w:vAlign w:val="bottom"/>
          </w:tcPr>
          <w:p w:rsidR="008B589F" w:rsidRDefault="008B589F" w:rsidP="00952101">
            <w:pPr>
              <w:jc w:val="right"/>
              <w:rPr>
                <w:rFonts w:ascii="Arial" w:hAnsi="Arial" w:cs="Arial"/>
                <w:b/>
                <w:bCs/>
                <w:color w:val="1074CB"/>
                <w:sz w:val="20"/>
              </w:rPr>
            </w:pPr>
            <w:r>
              <w:rPr>
                <w:rFonts w:ascii="Arial" w:hAnsi="Arial" w:cs="Arial"/>
                <w:b/>
                <w:bCs/>
                <w:color w:val="1074CB"/>
                <w:sz w:val="20"/>
              </w:rPr>
              <w:t>Business</w:t>
            </w:r>
          </w:p>
        </w:tc>
      </w:tr>
      <w:tr w:rsidR="008B589F" w:rsidRPr="000D4D6E" w:rsidTr="00D37F58">
        <w:trPr>
          <w:trHeight w:val="174"/>
        </w:trPr>
        <w:tc>
          <w:tcPr>
            <w:tcW w:w="1429" w:type="dxa"/>
            <w:tcBorders>
              <w:top w:val="nil"/>
              <w:left w:val="single" w:sz="4" w:space="0" w:color="auto"/>
              <w:bottom w:val="nil"/>
              <w:right w:val="nil"/>
            </w:tcBorders>
            <w:noWrap/>
            <w:vAlign w:val="bottom"/>
          </w:tcPr>
          <w:p w:rsidR="008B589F" w:rsidRPr="000D4D6E" w:rsidRDefault="008B589F" w:rsidP="00952101">
            <w:pPr>
              <w:rPr>
                <w:rFonts w:ascii="Arial" w:hAnsi="Arial" w:cs="Arial"/>
                <w:b/>
                <w:bCs/>
                <w:sz w:val="12"/>
                <w:szCs w:val="12"/>
              </w:rPr>
            </w:pPr>
            <w:r w:rsidRPr="000D4D6E">
              <w:rPr>
                <w:rFonts w:ascii="Arial" w:hAnsi="Arial" w:cs="Arial"/>
                <w:b/>
                <w:bCs/>
                <w:sz w:val="12"/>
                <w:szCs w:val="12"/>
              </w:rPr>
              <w:t> </w:t>
            </w:r>
          </w:p>
        </w:tc>
        <w:tc>
          <w:tcPr>
            <w:tcW w:w="1142"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230"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107"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010"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335"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190" w:type="dxa"/>
            <w:tcBorders>
              <w:top w:val="nil"/>
              <w:left w:val="nil"/>
              <w:bottom w:val="nil"/>
              <w:right w:val="nil"/>
            </w:tcBorders>
            <w:noWrap/>
            <w:vAlign w:val="bottom"/>
          </w:tcPr>
          <w:p w:rsidR="008B589F" w:rsidRPr="000D4D6E" w:rsidRDefault="008B589F" w:rsidP="00952101">
            <w:pPr>
              <w:rPr>
                <w:rFonts w:ascii="Arial" w:hAnsi="Arial" w:cs="Arial"/>
                <w:sz w:val="12"/>
                <w:szCs w:val="12"/>
              </w:rPr>
            </w:pPr>
          </w:p>
        </w:tc>
        <w:tc>
          <w:tcPr>
            <w:tcW w:w="1106" w:type="dxa"/>
            <w:tcBorders>
              <w:top w:val="nil"/>
              <w:left w:val="nil"/>
              <w:bottom w:val="nil"/>
              <w:right w:val="single" w:sz="4" w:space="0" w:color="auto"/>
            </w:tcBorders>
            <w:noWrap/>
            <w:vAlign w:val="bottom"/>
          </w:tcPr>
          <w:p w:rsidR="008B589F" w:rsidRPr="000D4D6E" w:rsidRDefault="008B589F" w:rsidP="00952101">
            <w:pPr>
              <w:rPr>
                <w:rFonts w:ascii="Arial" w:hAnsi="Arial" w:cs="Arial"/>
                <w:sz w:val="12"/>
                <w:szCs w:val="12"/>
              </w:rPr>
            </w:pPr>
            <w:r w:rsidRPr="00831282">
              <w:rPr>
                <w:rFonts w:ascii="Arial" w:hAnsi="Arial" w:cs="Arial"/>
                <w:sz w:val="12"/>
                <w:szCs w:val="12"/>
              </w:rPr>
              <w:t> </w:t>
            </w:r>
          </w:p>
        </w:tc>
      </w:tr>
      <w:tr w:rsidR="008B589F" w:rsidTr="00D37F58">
        <w:trPr>
          <w:trHeight w:val="225"/>
        </w:trPr>
        <w:tc>
          <w:tcPr>
            <w:tcW w:w="1429" w:type="dxa"/>
            <w:tcBorders>
              <w:top w:val="nil"/>
              <w:left w:val="single" w:sz="4" w:space="0" w:color="auto"/>
              <w:bottom w:val="nil"/>
              <w:right w:val="nil"/>
            </w:tcBorders>
            <w:noWrap/>
            <w:vAlign w:val="bottom"/>
          </w:tcPr>
          <w:p w:rsidR="008B589F" w:rsidRDefault="008B589F" w:rsidP="00952101">
            <w:pPr>
              <w:rPr>
                <w:rFonts w:ascii="Arial" w:hAnsi="Arial" w:cs="Arial"/>
                <w:color w:val="000000"/>
                <w:sz w:val="20"/>
              </w:rPr>
            </w:pPr>
            <w:r>
              <w:rPr>
                <w:rFonts w:ascii="Arial" w:hAnsi="Arial" w:cs="Arial"/>
                <w:color w:val="000000"/>
                <w:sz w:val="20"/>
              </w:rPr>
              <w:t>2012</w:t>
            </w:r>
          </w:p>
        </w:tc>
        <w:tc>
          <w:tcPr>
            <w:tcW w:w="1142"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1,260,997</w:t>
            </w:r>
          </w:p>
        </w:tc>
        <w:tc>
          <w:tcPr>
            <w:tcW w:w="1230"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643,133</w:t>
            </w:r>
          </w:p>
        </w:tc>
        <w:tc>
          <w:tcPr>
            <w:tcW w:w="1107"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600,504</w:t>
            </w:r>
          </w:p>
        </w:tc>
        <w:tc>
          <w:tcPr>
            <w:tcW w:w="101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17,360</w:t>
            </w:r>
          </w:p>
        </w:tc>
        <w:tc>
          <w:tcPr>
            <w:tcW w:w="1335"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567,772</w:t>
            </w:r>
          </w:p>
        </w:tc>
        <w:tc>
          <w:tcPr>
            <w:tcW w:w="119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641,608</w:t>
            </w:r>
          </w:p>
        </w:tc>
        <w:tc>
          <w:tcPr>
            <w:tcW w:w="1106" w:type="dxa"/>
            <w:tcBorders>
              <w:top w:val="nil"/>
              <w:left w:val="nil"/>
              <w:bottom w:val="nil"/>
              <w:right w:val="single" w:sz="4" w:space="0" w:color="auto"/>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51,617</w:t>
            </w:r>
          </w:p>
        </w:tc>
      </w:tr>
      <w:tr w:rsidR="008B589F" w:rsidTr="00D37F58">
        <w:trPr>
          <w:trHeight w:val="225"/>
        </w:trPr>
        <w:tc>
          <w:tcPr>
            <w:tcW w:w="1429" w:type="dxa"/>
            <w:tcBorders>
              <w:top w:val="nil"/>
              <w:left w:val="single" w:sz="4" w:space="0" w:color="auto"/>
              <w:bottom w:val="nil"/>
              <w:right w:val="nil"/>
            </w:tcBorders>
            <w:noWrap/>
            <w:vAlign w:val="bottom"/>
          </w:tcPr>
          <w:p w:rsidR="008B589F" w:rsidRDefault="008B589F" w:rsidP="00952101">
            <w:pPr>
              <w:rPr>
                <w:rFonts w:ascii="Arial" w:hAnsi="Arial" w:cs="Arial"/>
                <w:color w:val="000000"/>
                <w:sz w:val="20"/>
              </w:rPr>
            </w:pPr>
            <w:r>
              <w:rPr>
                <w:rFonts w:ascii="Arial" w:hAnsi="Arial" w:cs="Arial"/>
                <w:color w:val="000000"/>
                <w:sz w:val="20"/>
              </w:rPr>
              <w:t>2011</w:t>
            </w:r>
          </w:p>
        </w:tc>
        <w:tc>
          <w:tcPr>
            <w:tcW w:w="1142"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1,220,618</w:t>
            </w:r>
          </w:p>
        </w:tc>
        <w:tc>
          <w:tcPr>
            <w:tcW w:w="1230"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613,928</w:t>
            </w:r>
          </w:p>
        </w:tc>
        <w:tc>
          <w:tcPr>
            <w:tcW w:w="1107"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591,631</w:t>
            </w:r>
          </w:p>
        </w:tc>
        <w:tc>
          <w:tcPr>
            <w:tcW w:w="101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15,059</w:t>
            </w:r>
          </w:p>
        </w:tc>
        <w:tc>
          <w:tcPr>
            <w:tcW w:w="1335"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513,346</w:t>
            </w:r>
          </w:p>
        </w:tc>
        <w:tc>
          <w:tcPr>
            <w:tcW w:w="119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646,294</w:t>
            </w:r>
          </w:p>
        </w:tc>
        <w:tc>
          <w:tcPr>
            <w:tcW w:w="1106" w:type="dxa"/>
            <w:tcBorders>
              <w:top w:val="nil"/>
              <w:left w:val="nil"/>
              <w:bottom w:val="nil"/>
              <w:right w:val="single" w:sz="4" w:space="0" w:color="auto"/>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60,978</w:t>
            </w:r>
          </w:p>
        </w:tc>
      </w:tr>
      <w:tr w:rsidR="008B589F" w:rsidTr="00D37F58">
        <w:trPr>
          <w:trHeight w:val="225"/>
        </w:trPr>
        <w:tc>
          <w:tcPr>
            <w:tcW w:w="1429" w:type="dxa"/>
            <w:tcBorders>
              <w:top w:val="nil"/>
              <w:left w:val="single" w:sz="4" w:space="0" w:color="auto"/>
              <w:bottom w:val="nil"/>
              <w:right w:val="nil"/>
            </w:tcBorders>
            <w:noWrap/>
            <w:vAlign w:val="bottom"/>
          </w:tcPr>
          <w:p w:rsidR="008B589F" w:rsidRDefault="008B589F" w:rsidP="00952101">
            <w:pPr>
              <w:rPr>
                <w:rFonts w:ascii="Arial" w:hAnsi="Arial" w:cs="Arial"/>
                <w:color w:val="000000"/>
                <w:sz w:val="20"/>
              </w:rPr>
            </w:pPr>
            <w:r>
              <w:rPr>
                <w:rFonts w:ascii="Arial" w:hAnsi="Arial" w:cs="Arial"/>
                <w:color w:val="000000"/>
                <w:sz w:val="20"/>
              </w:rPr>
              <w:t>% change</w:t>
            </w:r>
          </w:p>
        </w:tc>
        <w:tc>
          <w:tcPr>
            <w:tcW w:w="1142"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3.3%</w:t>
            </w:r>
          </w:p>
        </w:tc>
        <w:tc>
          <w:tcPr>
            <w:tcW w:w="1230"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4.8%</w:t>
            </w:r>
          </w:p>
        </w:tc>
        <w:tc>
          <w:tcPr>
            <w:tcW w:w="1107"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1.5%</w:t>
            </w:r>
          </w:p>
        </w:tc>
        <w:tc>
          <w:tcPr>
            <w:tcW w:w="101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15.3%</w:t>
            </w:r>
          </w:p>
        </w:tc>
        <w:tc>
          <w:tcPr>
            <w:tcW w:w="1335"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10.6%</w:t>
            </w:r>
          </w:p>
        </w:tc>
        <w:tc>
          <w:tcPr>
            <w:tcW w:w="119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-0.7%</w:t>
            </w:r>
          </w:p>
        </w:tc>
        <w:tc>
          <w:tcPr>
            <w:tcW w:w="1106" w:type="dxa"/>
            <w:tcBorders>
              <w:top w:val="nil"/>
              <w:left w:val="nil"/>
              <w:bottom w:val="nil"/>
              <w:right w:val="single" w:sz="4" w:space="0" w:color="auto"/>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-15.4%</w:t>
            </w:r>
          </w:p>
        </w:tc>
      </w:tr>
      <w:tr w:rsidR="008B589F" w:rsidTr="00D37F58">
        <w:trPr>
          <w:trHeight w:val="80"/>
        </w:trPr>
        <w:tc>
          <w:tcPr>
            <w:tcW w:w="1429" w:type="dxa"/>
            <w:tcBorders>
              <w:top w:val="nil"/>
              <w:left w:val="single" w:sz="4" w:space="0" w:color="auto"/>
              <w:bottom w:val="nil"/>
              <w:right w:val="nil"/>
            </w:tcBorders>
            <w:noWrap/>
            <w:vAlign w:val="bottom"/>
          </w:tcPr>
          <w:p w:rsidR="008B589F" w:rsidRDefault="008B589F" w:rsidP="00952101">
            <w:pPr>
              <w:rPr>
                <w:rFonts w:ascii="Arial" w:hAnsi="Arial" w:cs="Arial"/>
                <w:color w:val="000000"/>
                <w:sz w:val="20"/>
              </w:rPr>
            </w:pPr>
            <w:proofErr w:type="spellStart"/>
            <w:r>
              <w:rPr>
                <w:rFonts w:ascii="Arial" w:hAnsi="Arial" w:cs="Arial"/>
                <w:color w:val="000000"/>
                <w:sz w:val="20"/>
              </w:rPr>
              <w:t>Mkt</w:t>
            </w:r>
            <w:proofErr w:type="spellEnd"/>
            <w:r>
              <w:rPr>
                <w:rFonts w:ascii="Arial" w:hAnsi="Arial" w:cs="Arial"/>
                <w:color w:val="000000"/>
                <w:sz w:val="20"/>
              </w:rPr>
              <w:t xml:space="preserve"> share '12</w:t>
            </w:r>
          </w:p>
        </w:tc>
        <w:tc>
          <w:tcPr>
            <w:tcW w:w="1142" w:type="dxa"/>
            <w:tcBorders>
              <w:top w:val="nil"/>
              <w:left w:val="nil"/>
              <w:bottom w:val="nil"/>
              <w:right w:val="nil"/>
            </w:tcBorders>
            <w:noWrap/>
            <w:vAlign w:val="bottom"/>
          </w:tcPr>
          <w:p w:rsidR="008B589F" w:rsidRDefault="008B589F" w:rsidP="00952101">
            <w:pPr>
              <w:rPr>
                <w:rFonts w:ascii="Arial" w:hAnsi="Arial" w:cs="Arial"/>
                <w:color w:val="000000"/>
                <w:sz w:val="20"/>
              </w:rPr>
            </w:pPr>
            <w:r>
              <w:rPr>
                <w:rFonts w:ascii="Arial" w:hAnsi="Arial" w:cs="Arial"/>
                <w:color w:val="000000"/>
                <w:sz w:val="20"/>
              </w:rPr>
              <w:t> </w:t>
            </w:r>
          </w:p>
        </w:tc>
        <w:tc>
          <w:tcPr>
            <w:tcW w:w="1230"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51.0%</w:t>
            </w:r>
          </w:p>
        </w:tc>
        <w:tc>
          <w:tcPr>
            <w:tcW w:w="1107"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47.6%</w:t>
            </w:r>
          </w:p>
        </w:tc>
        <w:tc>
          <w:tcPr>
            <w:tcW w:w="101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1.4%</w:t>
            </w:r>
          </w:p>
        </w:tc>
        <w:tc>
          <w:tcPr>
            <w:tcW w:w="1335" w:type="dxa"/>
            <w:tcBorders>
              <w:top w:val="nil"/>
              <w:left w:val="single" w:sz="4" w:space="0" w:color="auto"/>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45.0%</w:t>
            </w:r>
          </w:p>
        </w:tc>
        <w:tc>
          <w:tcPr>
            <w:tcW w:w="1190" w:type="dxa"/>
            <w:tcBorders>
              <w:top w:val="nil"/>
              <w:left w:val="nil"/>
              <w:bottom w:val="nil"/>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50.9%</w:t>
            </w:r>
          </w:p>
        </w:tc>
        <w:tc>
          <w:tcPr>
            <w:tcW w:w="1106" w:type="dxa"/>
            <w:tcBorders>
              <w:top w:val="nil"/>
              <w:left w:val="nil"/>
              <w:bottom w:val="nil"/>
              <w:right w:val="single" w:sz="4" w:space="0" w:color="auto"/>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4.1%</w:t>
            </w:r>
          </w:p>
        </w:tc>
      </w:tr>
      <w:tr w:rsidR="008B589F" w:rsidTr="00D37F58">
        <w:trPr>
          <w:trHeight w:val="225"/>
        </w:trPr>
        <w:tc>
          <w:tcPr>
            <w:tcW w:w="1429" w:type="dxa"/>
            <w:tcBorders>
              <w:top w:val="nil"/>
              <w:left w:val="single" w:sz="4" w:space="0" w:color="auto"/>
              <w:bottom w:val="single" w:sz="4" w:space="0" w:color="auto"/>
              <w:right w:val="nil"/>
            </w:tcBorders>
            <w:noWrap/>
            <w:vAlign w:val="bottom"/>
          </w:tcPr>
          <w:p w:rsidR="008B589F" w:rsidRDefault="008B589F" w:rsidP="00952101">
            <w:pPr>
              <w:rPr>
                <w:rFonts w:ascii="Arial" w:hAnsi="Arial" w:cs="Arial"/>
                <w:color w:val="000000"/>
                <w:sz w:val="20"/>
              </w:rPr>
            </w:pPr>
            <w:proofErr w:type="spellStart"/>
            <w:r>
              <w:rPr>
                <w:rFonts w:ascii="Arial" w:hAnsi="Arial" w:cs="Arial"/>
                <w:color w:val="000000"/>
                <w:sz w:val="20"/>
              </w:rPr>
              <w:t>Mkt</w:t>
            </w:r>
            <w:proofErr w:type="spellEnd"/>
            <w:r>
              <w:rPr>
                <w:rFonts w:ascii="Arial" w:hAnsi="Arial" w:cs="Arial"/>
                <w:color w:val="000000"/>
                <w:sz w:val="20"/>
              </w:rPr>
              <w:t xml:space="preserve"> share '11</w:t>
            </w:r>
          </w:p>
        </w:tc>
        <w:tc>
          <w:tcPr>
            <w:tcW w:w="1142" w:type="dxa"/>
            <w:tcBorders>
              <w:top w:val="nil"/>
              <w:left w:val="nil"/>
              <w:bottom w:val="single" w:sz="4" w:space="0" w:color="auto"/>
              <w:right w:val="nil"/>
            </w:tcBorders>
            <w:noWrap/>
            <w:vAlign w:val="bottom"/>
          </w:tcPr>
          <w:p w:rsidR="008B589F" w:rsidRDefault="008B589F" w:rsidP="00952101">
            <w:pPr>
              <w:rPr>
                <w:rFonts w:ascii="Arial" w:hAnsi="Arial" w:cs="Arial"/>
                <w:color w:val="000000"/>
                <w:sz w:val="20"/>
              </w:rPr>
            </w:pPr>
            <w:r>
              <w:rPr>
                <w:rFonts w:ascii="Arial" w:hAnsi="Arial" w:cs="Arial"/>
                <w:color w:val="000000"/>
                <w:sz w:val="20"/>
              </w:rPr>
              <w:t> </w:t>
            </w:r>
          </w:p>
        </w:tc>
        <w:tc>
          <w:tcPr>
            <w:tcW w:w="1230" w:type="dxa"/>
            <w:tcBorders>
              <w:top w:val="nil"/>
              <w:left w:val="single" w:sz="4" w:space="0" w:color="auto"/>
              <w:bottom w:val="single" w:sz="4" w:space="0" w:color="auto"/>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50.3%</w:t>
            </w:r>
          </w:p>
        </w:tc>
        <w:tc>
          <w:tcPr>
            <w:tcW w:w="1107" w:type="dxa"/>
            <w:tcBorders>
              <w:top w:val="nil"/>
              <w:left w:val="nil"/>
              <w:bottom w:val="single" w:sz="4" w:space="0" w:color="auto"/>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48.5%</w:t>
            </w:r>
          </w:p>
        </w:tc>
        <w:tc>
          <w:tcPr>
            <w:tcW w:w="1010" w:type="dxa"/>
            <w:tcBorders>
              <w:top w:val="nil"/>
              <w:left w:val="nil"/>
              <w:bottom w:val="single" w:sz="4" w:space="0" w:color="auto"/>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1.2%</w:t>
            </w:r>
          </w:p>
        </w:tc>
        <w:tc>
          <w:tcPr>
            <w:tcW w:w="1335" w:type="dxa"/>
            <w:tcBorders>
              <w:top w:val="nil"/>
              <w:left w:val="single" w:sz="4" w:space="0" w:color="auto"/>
              <w:bottom w:val="single" w:sz="4" w:space="0" w:color="auto"/>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42.1%</w:t>
            </w:r>
          </w:p>
        </w:tc>
        <w:tc>
          <w:tcPr>
            <w:tcW w:w="1190" w:type="dxa"/>
            <w:tcBorders>
              <w:top w:val="nil"/>
              <w:left w:val="nil"/>
              <w:bottom w:val="single" w:sz="4" w:space="0" w:color="auto"/>
              <w:right w:val="nil"/>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52.9%</w:t>
            </w:r>
          </w:p>
        </w:tc>
        <w:tc>
          <w:tcPr>
            <w:tcW w:w="1106" w:type="dxa"/>
            <w:tcBorders>
              <w:top w:val="nil"/>
              <w:left w:val="nil"/>
              <w:bottom w:val="single" w:sz="4" w:space="0" w:color="auto"/>
              <w:right w:val="single" w:sz="4" w:space="0" w:color="auto"/>
            </w:tcBorders>
            <w:noWrap/>
            <w:vAlign w:val="bottom"/>
          </w:tcPr>
          <w:p w:rsidR="008B589F" w:rsidRDefault="008B589F" w:rsidP="00952101">
            <w:pPr>
              <w:jc w:val="right"/>
              <w:rPr>
                <w:rFonts w:ascii="Arial" w:hAnsi="Arial" w:cs="Arial"/>
                <w:color w:val="000000"/>
                <w:sz w:val="20"/>
              </w:rPr>
            </w:pPr>
            <w:r>
              <w:rPr>
                <w:rFonts w:ascii="Arial" w:hAnsi="Arial" w:cs="Arial"/>
                <w:color w:val="000000"/>
                <w:sz w:val="20"/>
              </w:rPr>
              <w:t>5.0%</w:t>
            </w:r>
          </w:p>
        </w:tc>
      </w:tr>
    </w:tbl>
    <w:p w:rsidR="008B589F" w:rsidRPr="00E5162C" w:rsidRDefault="008B589F" w:rsidP="008B589F">
      <w:pPr>
        <w:rPr>
          <w:rFonts w:ascii="Arial" w:eastAsia="Times New Roman" w:hAnsi="Arial" w:cs="Arial"/>
          <w:b/>
          <w:color w:val="1074CB"/>
          <w:sz w:val="20"/>
        </w:rPr>
      </w:pPr>
    </w:p>
    <w:tbl>
      <w:tblPr>
        <w:tblpPr w:leftFromText="180" w:rightFromText="180" w:vertAnchor="text" w:horzAnchor="margin" w:tblpX="154" w:tblpY="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0F1"/>
        <w:tblLook w:val="01E0"/>
      </w:tblPr>
      <w:tblGrid>
        <w:gridCol w:w="9180"/>
      </w:tblGrid>
      <w:tr w:rsidR="008B589F" w:rsidRPr="00B24805" w:rsidTr="00E5162C">
        <w:trPr>
          <w:trHeight w:val="815"/>
        </w:trPr>
        <w:tc>
          <w:tcPr>
            <w:tcW w:w="9180" w:type="dxa"/>
            <w:shd w:val="clear" w:color="auto" w:fill="CCE0F1"/>
            <w:tcMar>
              <w:top w:w="108" w:type="dxa"/>
              <w:bottom w:w="108" w:type="dxa"/>
            </w:tcMar>
          </w:tcPr>
          <w:p w:rsidR="008B589F" w:rsidRPr="002D117B" w:rsidRDefault="008B589F" w:rsidP="00E5162C">
            <w:pPr>
              <w:autoSpaceDE w:val="0"/>
              <w:autoSpaceDN w:val="0"/>
              <w:adjustRightInd w:val="0"/>
              <w:rPr>
                <w:rFonts w:ascii="Arial" w:eastAsia="Times New Roman" w:hAnsi="Arial" w:cs="Arial"/>
                <w:color w:val="0F74CA"/>
                <w:sz w:val="23"/>
                <w:szCs w:val="23"/>
              </w:rPr>
            </w:pPr>
            <w:r w:rsidRPr="002D117B">
              <w:rPr>
                <w:rFonts w:ascii="Arial" w:eastAsia="Times New Roman" w:hAnsi="Arial" w:cs="Arial"/>
                <w:b/>
                <w:bCs/>
                <w:color w:val="0F74CA"/>
                <w:sz w:val="23"/>
                <w:szCs w:val="23"/>
              </w:rPr>
              <w:t xml:space="preserve">SMMT forecasts for 2012 and 2013 </w:t>
            </w:r>
          </w:p>
          <w:p w:rsidR="008B589F" w:rsidRDefault="008B589F" w:rsidP="00E5162C">
            <w:pPr>
              <w:autoSpaceDE w:val="0"/>
              <w:autoSpaceDN w:val="0"/>
              <w:adjustRightInd w:val="0"/>
              <w:rPr>
                <w:rFonts w:ascii="Arial" w:eastAsia="Times New Roman" w:hAnsi="Arial" w:cs="Arial"/>
                <w:b/>
                <w:bCs/>
                <w:color w:val="000000"/>
                <w:sz w:val="20"/>
              </w:rPr>
            </w:pP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b/>
                <w:bCs/>
                <w:color w:val="000000"/>
                <w:sz w:val="20"/>
              </w:rPr>
              <w:t xml:space="preserve">2012 </w:t>
            </w: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color w:val="000000"/>
                <w:sz w:val="20"/>
              </w:rPr>
              <w:t xml:space="preserve">New car registrations: 1.97 million units, up 1.6% on the 2011 total. </w:t>
            </w: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color w:val="000000"/>
                <w:sz w:val="20"/>
              </w:rPr>
              <w:t xml:space="preserve">Diesel penetration: 51.0%, compared with 50.6% in 2011. </w:t>
            </w:r>
          </w:p>
          <w:p w:rsidR="008B589F" w:rsidRPr="002D117B" w:rsidRDefault="008B589F" w:rsidP="00E5162C">
            <w:p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br/>
            </w:r>
            <w:r w:rsidRPr="002D117B">
              <w:rPr>
                <w:rFonts w:ascii="Arial" w:eastAsia="Times New Roman" w:hAnsi="Arial" w:cs="Arial"/>
                <w:color w:val="000000"/>
                <w:sz w:val="20"/>
              </w:rPr>
              <w:t xml:space="preserve">New LCV registrations: 236,000 units, down 9.3% on the 2011 total. </w:t>
            </w:r>
          </w:p>
          <w:p w:rsidR="008B589F" w:rsidRDefault="008B589F" w:rsidP="00E5162C">
            <w:pPr>
              <w:autoSpaceDE w:val="0"/>
              <w:autoSpaceDN w:val="0"/>
              <w:adjustRightInd w:val="0"/>
              <w:rPr>
                <w:rFonts w:ascii="Arial" w:eastAsia="Times New Roman" w:hAnsi="Arial" w:cs="Arial"/>
                <w:b/>
                <w:bCs/>
                <w:color w:val="000000"/>
                <w:sz w:val="20"/>
              </w:rPr>
            </w:pP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b/>
                <w:bCs/>
                <w:color w:val="000000"/>
                <w:sz w:val="20"/>
              </w:rPr>
              <w:t xml:space="preserve">2013 </w:t>
            </w: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color w:val="000000"/>
                <w:sz w:val="20"/>
              </w:rPr>
              <w:t xml:space="preserve">New car registrations: 1.99 million units, up 1.0% on the 2012 forecast. </w:t>
            </w:r>
          </w:p>
          <w:p w:rsidR="008B589F" w:rsidRPr="002D117B" w:rsidRDefault="008B589F" w:rsidP="00E5162C">
            <w:pPr>
              <w:autoSpaceDE w:val="0"/>
              <w:autoSpaceDN w:val="0"/>
              <w:adjustRightInd w:val="0"/>
              <w:rPr>
                <w:rFonts w:ascii="Arial" w:eastAsia="Times New Roman" w:hAnsi="Arial" w:cs="Arial"/>
                <w:color w:val="000000"/>
                <w:sz w:val="20"/>
              </w:rPr>
            </w:pPr>
            <w:r w:rsidRPr="002D117B">
              <w:rPr>
                <w:rFonts w:ascii="Arial" w:eastAsia="Times New Roman" w:hAnsi="Arial" w:cs="Arial"/>
                <w:color w:val="000000"/>
                <w:sz w:val="20"/>
              </w:rPr>
              <w:t xml:space="preserve">Diesel penetration: 50.9%. </w:t>
            </w:r>
          </w:p>
          <w:p w:rsidR="008B589F" w:rsidRPr="002D117B" w:rsidRDefault="008B589F" w:rsidP="00E5162C">
            <w:pPr>
              <w:autoSpaceDE w:val="0"/>
              <w:autoSpaceDN w:val="0"/>
              <w:adjustRightInd w:val="0"/>
              <w:rPr>
                <w:rFonts w:ascii="Arial" w:eastAsia="Times New Roman" w:hAnsi="Arial" w:cs="Arial"/>
                <w:color w:val="000000"/>
                <w:szCs w:val="24"/>
              </w:rPr>
            </w:pPr>
            <w:r>
              <w:rPr>
                <w:rFonts w:ascii="Arial" w:eastAsia="Times New Roman" w:hAnsi="Arial" w:cs="Arial"/>
                <w:color w:val="000000"/>
                <w:sz w:val="20"/>
              </w:rPr>
              <w:br/>
            </w:r>
            <w:r w:rsidRPr="002D117B">
              <w:rPr>
                <w:rFonts w:ascii="Arial" w:eastAsia="Times New Roman" w:hAnsi="Arial" w:cs="Arial"/>
                <w:color w:val="000000"/>
                <w:sz w:val="20"/>
              </w:rPr>
              <w:t>New LCV registrations: 250,300 units, up 6.1% on the 2012 forecast</w:t>
            </w:r>
            <w:r>
              <w:rPr>
                <w:rFonts w:ascii="Arial" w:eastAsia="Times New Roman" w:hAnsi="Arial" w:cs="Arial"/>
                <w:color w:val="000000"/>
                <w:sz w:val="20"/>
              </w:rPr>
              <w:t>.</w:t>
            </w:r>
          </w:p>
        </w:tc>
      </w:tr>
    </w:tbl>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Default="008B589F" w:rsidP="008B589F">
      <w:pPr>
        <w:pStyle w:val="ListParagraph"/>
        <w:spacing w:line="276" w:lineRule="auto"/>
        <w:ind w:left="0"/>
        <w:rPr>
          <w:rFonts w:ascii="Arial" w:hAnsi="Arial" w:cs="Arial"/>
        </w:rPr>
      </w:pPr>
    </w:p>
    <w:p w:rsidR="008B589F" w:rsidRPr="0069445A" w:rsidRDefault="008B589F" w:rsidP="008B589F">
      <w:pPr>
        <w:pStyle w:val="Heading1"/>
        <w:ind w:left="-81" w:firstLine="0"/>
        <w:rPr>
          <w:rFonts w:ascii="Arial" w:eastAsiaTheme="minorEastAsia" w:hAnsi="Arial" w:cs="Arial"/>
          <w:bCs/>
          <w:color w:val="1074CB"/>
          <w:sz w:val="44"/>
          <w:szCs w:val="44"/>
        </w:rPr>
      </w:pPr>
      <w:r w:rsidRPr="0069445A">
        <w:rPr>
          <w:rFonts w:ascii="Arial" w:eastAsiaTheme="minorEastAsia" w:hAnsi="Arial" w:cs="Arial"/>
          <w:bCs/>
          <w:color w:val="1074CB"/>
          <w:sz w:val="44"/>
          <w:szCs w:val="44"/>
        </w:rPr>
        <w:lastRenderedPageBreak/>
        <w:t xml:space="preserve">UK AUTOMOTIVE </w:t>
      </w:r>
      <w:r>
        <w:rPr>
          <w:rFonts w:ascii="Arial" w:eastAsiaTheme="minorEastAsia" w:hAnsi="Arial" w:cs="Arial"/>
          <w:bCs/>
          <w:color w:val="1074CB"/>
          <w:sz w:val="44"/>
          <w:szCs w:val="44"/>
        </w:rPr>
        <w:t>INVESTMENT</w:t>
      </w:r>
      <w:r w:rsidRPr="0069445A">
        <w:rPr>
          <w:rFonts w:ascii="Arial" w:eastAsiaTheme="minorEastAsia" w:hAnsi="Arial" w:cs="Arial"/>
          <w:bCs/>
          <w:color w:val="1074CB"/>
          <w:sz w:val="44"/>
          <w:szCs w:val="44"/>
        </w:rPr>
        <w:t xml:space="preserve"> NEWS</w:t>
      </w:r>
    </w:p>
    <w:p w:rsidR="008B589F" w:rsidRDefault="008B589F" w:rsidP="008B589F">
      <w:pPr>
        <w:pStyle w:val="Heading1"/>
        <w:shd w:val="clear" w:color="auto" w:fill="FFFFFF"/>
        <w:rPr>
          <w:rFonts w:ascii="Helvetica" w:hAnsi="Helvetica" w:cs="Helvetica"/>
          <w:vanish/>
        </w:rPr>
      </w:pPr>
      <w:r>
        <w:rPr>
          <w:rFonts w:ascii="Helvetica" w:hAnsi="Helvetica" w:cs="Helvetica"/>
          <w:vanish/>
        </w:rPr>
        <w:t>RErrrrrrSportBusiness.com</w:t>
      </w:r>
    </w:p>
    <w:p w:rsidR="008B589F" w:rsidRDefault="008B589F" w:rsidP="008B589F">
      <w:pPr>
        <w:rPr>
          <w:rFonts w:ascii="Arial" w:hAnsi="Arial" w:cs="Arial"/>
          <w:b/>
          <w:sz w:val="20"/>
        </w:rPr>
      </w:pPr>
    </w:p>
    <w:p w:rsidR="008B589F" w:rsidRPr="004E4A3F" w:rsidRDefault="00873174" w:rsidP="00D01D23">
      <w:pPr>
        <w:rPr>
          <w:rFonts w:ascii="Arial" w:hAnsi="Arial" w:cs="Arial"/>
          <w:b/>
          <w:sz w:val="20"/>
        </w:rPr>
      </w:pPr>
      <w:r>
        <w:rPr>
          <w:rFonts w:ascii="Arial" w:hAnsi="Arial" w:cs="Arial"/>
          <w:b/>
          <w:sz w:val="20"/>
        </w:rPr>
        <w:t>UK automotive investment</w:t>
      </w:r>
      <w:r w:rsidR="008B589F">
        <w:rPr>
          <w:rFonts w:ascii="Arial" w:hAnsi="Arial" w:cs="Arial"/>
          <w:b/>
          <w:sz w:val="20"/>
        </w:rPr>
        <w:t xml:space="preserve"> announcements </w:t>
      </w:r>
      <w:r>
        <w:rPr>
          <w:rFonts w:ascii="Arial" w:hAnsi="Arial" w:cs="Arial"/>
          <w:b/>
          <w:sz w:val="20"/>
        </w:rPr>
        <w:t>during</w:t>
      </w:r>
      <w:r w:rsidR="008B589F">
        <w:rPr>
          <w:rFonts w:ascii="Arial" w:hAnsi="Arial" w:cs="Arial"/>
          <w:b/>
          <w:sz w:val="20"/>
        </w:rPr>
        <w:t xml:space="preserve"> the last three months: </w:t>
      </w:r>
    </w:p>
    <w:p w:rsidR="008B589F" w:rsidRPr="00EC6A45" w:rsidRDefault="008B589F" w:rsidP="00D01D23">
      <w:pPr>
        <w:pStyle w:val="NormalWeb"/>
        <w:shd w:val="clear" w:color="auto" w:fill="FFFFFF"/>
        <w:rPr>
          <w:rFonts w:ascii="Arial" w:hAnsi="Arial" w:cs="Arial"/>
          <w:color w:val="0D2255"/>
          <w:sz w:val="20"/>
          <w:szCs w:val="20"/>
        </w:rPr>
      </w:pPr>
      <w:r>
        <w:rPr>
          <w:rFonts w:ascii="Arial" w:hAnsi="Arial" w:cs="Arial"/>
          <w:b/>
          <w:bCs/>
          <w:sz w:val="20"/>
          <w:szCs w:val="20"/>
        </w:rPr>
        <w:t xml:space="preserve">10 </w:t>
      </w:r>
      <w:r w:rsidRPr="00693242">
        <w:rPr>
          <w:rFonts w:ascii="Arial" w:hAnsi="Arial" w:cs="Arial"/>
          <w:b/>
          <w:bCs/>
          <w:sz w:val="20"/>
          <w:szCs w:val="20"/>
        </w:rPr>
        <w:t>September –</w:t>
      </w:r>
      <w:r>
        <w:rPr>
          <w:rFonts w:ascii="Arial" w:hAnsi="Arial" w:cs="Arial"/>
          <w:b/>
          <w:bCs/>
          <w:sz w:val="20"/>
          <w:szCs w:val="20"/>
        </w:rPr>
        <w:t xml:space="preserve"> </w:t>
      </w:r>
      <w:r w:rsidRPr="00693242">
        <w:rPr>
          <w:rFonts w:ascii="Arial" w:hAnsi="Arial" w:cs="Arial"/>
          <w:sz w:val="20"/>
          <w:szCs w:val="20"/>
        </w:rPr>
        <w:t xml:space="preserve">MG’s parent company, SAIC Motor UK </w:t>
      </w:r>
      <w:r>
        <w:rPr>
          <w:rFonts w:ascii="Arial" w:hAnsi="Arial" w:cs="Arial"/>
          <w:sz w:val="20"/>
          <w:szCs w:val="20"/>
        </w:rPr>
        <w:t xml:space="preserve">announced </w:t>
      </w:r>
      <w:r w:rsidRPr="00693242">
        <w:rPr>
          <w:rFonts w:ascii="Arial" w:hAnsi="Arial" w:cs="Arial"/>
          <w:sz w:val="20"/>
          <w:szCs w:val="20"/>
        </w:rPr>
        <w:t xml:space="preserve">plans to expand its European Design Centre, based at the company’s </w:t>
      </w:r>
      <w:proofErr w:type="spellStart"/>
      <w:r w:rsidRPr="00693242">
        <w:rPr>
          <w:rFonts w:ascii="Arial" w:hAnsi="Arial" w:cs="Arial"/>
          <w:sz w:val="20"/>
          <w:szCs w:val="20"/>
        </w:rPr>
        <w:t>Longbridge</w:t>
      </w:r>
      <w:proofErr w:type="spellEnd"/>
      <w:r w:rsidRPr="00693242">
        <w:rPr>
          <w:rFonts w:ascii="Arial" w:hAnsi="Arial" w:cs="Arial"/>
          <w:sz w:val="20"/>
          <w:szCs w:val="20"/>
        </w:rPr>
        <w:t xml:space="preserve"> headquarters. Following a total investment of £1.5 million in the facility, the European Design Centre is to double in size to more than 2</w:t>
      </w:r>
      <w:r w:rsidR="00E5162C">
        <w:rPr>
          <w:rFonts w:ascii="Arial" w:hAnsi="Arial" w:cs="Arial"/>
          <w:sz w:val="20"/>
          <w:szCs w:val="20"/>
        </w:rPr>
        <w:t>,</w:t>
      </w:r>
      <w:r w:rsidRPr="00693242">
        <w:rPr>
          <w:rFonts w:ascii="Arial" w:hAnsi="Arial" w:cs="Arial"/>
          <w:sz w:val="20"/>
          <w:szCs w:val="20"/>
        </w:rPr>
        <w:t>000m</w:t>
      </w:r>
      <w:r w:rsidRPr="00693242">
        <w:rPr>
          <w:rFonts w:ascii="Arial" w:hAnsi="Arial" w:cs="Arial"/>
          <w:sz w:val="20"/>
          <w:szCs w:val="20"/>
          <w:vertAlign w:val="superscript"/>
        </w:rPr>
        <w:t>2</w:t>
      </w:r>
      <w:r w:rsidRPr="00693242">
        <w:rPr>
          <w:rFonts w:ascii="Arial" w:hAnsi="Arial" w:cs="Arial"/>
          <w:sz w:val="20"/>
          <w:szCs w:val="20"/>
        </w:rPr>
        <w:t xml:space="preserve">. </w:t>
      </w:r>
    </w:p>
    <w:p w:rsidR="008B589F" w:rsidRPr="00F16096" w:rsidRDefault="008B589F" w:rsidP="00D01D23">
      <w:pPr>
        <w:pStyle w:val="NormalWeb"/>
        <w:shd w:val="clear" w:color="auto" w:fill="FFFFFF"/>
        <w:rPr>
          <w:rFonts w:ascii="Georgia" w:hAnsi="Georgia" w:cs="Arial"/>
          <w:color w:val="0D2255"/>
        </w:rPr>
      </w:pPr>
      <w:r>
        <w:rPr>
          <w:rFonts w:ascii="Arial" w:hAnsi="Arial" w:cs="Arial"/>
          <w:b/>
          <w:bCs/>
          <w:sz w:val="20"/>
          <w:szCs w:val="20"/>
        </w:rPr>
        <w:t xml:space="preserve">6 September – </w:t>
      </w:r>
      <w:r w:rsidRPr="00F16096">
        <w:rPr>
          <w:rFonts w:ascii="Arial" w:hAnsi="Arial" w:cs="Arial"/>
          <w:sz w:val="20"/>
          <w:szCs w:val="20"/>
        </w:rPr>
        <w:t>Jaguar Land Rover (JLR) announced that it has invested £370 million to upgrade its UK manufacturing facilities and increase productivity as it prepares to launch the new Range Rover in 170 countries around the world.</w:t>
      </w:r>
    </w:p>
    <w:p w:rsidR="008B589F" w:rsidRPr="00F16096" w:rsidRDefault="008B589F" w:rsidP="00D01D23">
      <w:pPr>
        <w:pStyle w:val="NormalWeb"/>
        <w:shd w:val="clear" w:color="auto" w:fill="FFFFFF"/>
        <w:rPr>
          <w:rFonts w:ascii="Arial" w:hAnsi="Arial" w:cs="Arial"/>
          <w:sz w:val="20"/>
          <w:szCs w:val="20"/>
        </w:rPr>
      </w:pPr>
      <w:r>
        <w:rPr>
          <w:rFonts w:ascii="Arial" w:hAnsi="Arial" w:cs="Arial"/>
          <w:b/>
          <w:bCs/>
          <w:sz w:val="20"/>
          <w:szCs w:val="20"/>
        </w:rPr>
        <w:t>6</w:t>
      </w:r>
      <w:r w:rsidRPr="00F16096">
        <w:rPr>
          <w:rFonts w:ascii="Arial" w:hAnsi="Arial" w:cs="Arial"/>
          <w:b/>
          <w:bCs/>
          <w:sz w:val="20"/>
          <w:szCs w:val="20"/>
        </w:rPr>
        <w:t xml:space="preserve"> September </w:t>
      </w:r>
      <w:r>
        <w:rPr>
          <w:rFonts w:ascii="Arial" w:hAnsi="Arial" w:cs="Arial"/>
          <w:b/>
          <w:bCs/>
          <w:sz w:val="20"/>
          <w:szCs w:val="20"/>
        </w:rPr>
        <w:t>–</w:t>
      </w:r>
      <w:r w:rsidRPr="00F16096">
        <w:rPr>
          <w:rFonts w:ascii="Arial" w:hAnsi="Arial" w:cs="Arial"/>
          <w:b/>
          <w:bCs/>
          <w:sz w:val="20"/>
          <w:szCs w:val="20"/>
        </w:rPr>
        <w:t xml:space="preserve"> </w:t>
      </w:r>
      <w:r w:rsidRPr="00F16096">
        <w:rPr>
          <w:rFonts w:ascii="Arial" w:hAnsi="Arial" w:cs="Arial"/>
          <w:sz w:val="20"/>
          <w:szCs w:val="20"/>
        </w:rPr>
        <w:t>Honda</w:t>
      </w:r>
      <w:r>
        <w:rPr>
          <w:rFonts w:ascii="Arial" w:hAnsi="Arial" w:cs="Arial"/>
          <w:sz w:val="20"/>
          <w:szCs w:val="20"/>
        </w:rPr>
        <w:t xml:space="preserve"> </w:t>
      </w:r>
      <w:r w:rsidRPr="00F16096">
        <w:rPr>
          <w:rFonts w:ascii="Arial" w:hAnsi="Arial" w:cs="Arial"/>
          <w:sz w:val="20"/>
          <w:szCs w:val="20"/>
        </w:rPr>
        <w:t xml:space="preserve">confirmed a £267 million investment programme </w:t>
      </w:r>
      <w:r>
        <w:rPr>
          <w:rFonts w:ascii="Arial" w:hAnsi="Arial" w:cs="Arial"/>
          <w:sz w:val="20"/>
          <w:szCs w:val="20"/>
        </w:rPr>
        <w:t>supporting</w:t>
      </w:r>
      <w:r w:rsidRPr="00F16096">
        <w:rPr>
          <w:rFonts w:ascii="Arial" w:hAnsi="Arial" w:cs="Arial"/>
          <w:sz w:val="20"/>
          <w:szCs w:val="20"/>
        </w:rPr>
        <w:t xml:space="preserve"> the introduction of the new Civic and CR-V models and the 1.6 litre diesel engine for Honda Civic going in</w:t>
      </w:r>
      <w:r>
        <w:rPr>
          <w:rFonts w:ascii="Arial" w:hAnsi="Arial" w:cs="Arial"/>
          <w:sz w:val="20"/>
          <w:szCs w:val="20"/>
        </w:rPr>
        <w:t xml:space="preserve">to production in December 2012. </w:t>
      </w:r>
      <w:r w:rsidRPr="00F16096">
        <w:rPr>
          <w:rFonts w:ascii="Arial" w:hAnsi="Arial" w:cs="Arial"/>
          <w:sz w:val="20"/>
          <w:szCs w:val="20"/>
        </w:rPr>
        <w:t xml:space="preserve">500 new staff </w:t>
      </w:r>
      <w:proofErr w:type="gramStart"/>
      <w:r w:rsidRPr="00F16096">
        <w:rPr>
          <w:rFonts w:ascii="Arial" w:hAnsi="Arial" w:cs="Arial"/>
          <w:sz w:val="20"/>
          <w:szCs w:val="20"/>
        </w:rPr>
        <w:t>have</w:t>
      </w:r>
      <w:proofErr w:type="gramEnd"/>
      <w:r w:rsidRPr="00F16096">
        <w:rPr>
          <w:rFonts w:ascii="Arial" w:hAnsi="Arial" w:cs="Arial"/>
          <w:sz w:val="20"/>
          <w:szCs w:val="20"/>
        </w:rPr>
        <w:t xml:space="preserve"> joined the facility this year, taking the total workforce to 3,500.</w:t>
      </w:r>
    </w:p>
    <w:p w:rsidR="008B589F" w:rsidRPr="00EC6ADF" w:rsidRDefault="008B589F" w:rsidP="00D01D23">
      <w:pPr>
        <w:shd w:val="clear" w:color="auto" w:fill="FFFFFF"/>
        <w:spacing w:before="100" w:beforeAutospacing="1" w:after="300"/>
        <w:rPr>
          <w:rFonts w:ascii="Arial" w:eastAsia="Times New Roman" w:hAnsi="Arial" w:cs="Arial"/>
          <w:bCs/>
          <w:sz w:val="20"/>
          <w:u w:val="single"/>
        </w:rPr>
      </w:pPr>
      <w:r w:rsidRPr="00EC6ADF">
        <w:rPr>
          <w:rFonts w:ascii="Arial" w:eastAsia="Times New Roman" w:hAnsi="Arial" w:cs="Arial"/>
          <w:b/>
          <w:bCs/>
          <w:sz w:val="20"/>
        </w:rPr>
        <w:t>10 August</w:t>
      </w:r>
      <w:r w:rsidRPr="00EC6ADF">
        <w:rPr>
          <w:rFonts w:ascii="Arial" w:eastAsia="Times New Roman" w:hAnsi="Arial" w:cs="Arial"/>
          <w:bCs/>
          <w:sz w:val="20"/>
        </w:rPr>
        <w:t xml:space="preserve"> –</w:t>
      </w:r>
      <w:r>
        <w:rPr>
          <w:rFonts w:ascii="Arial" w:eastAsia="Times New Roman" w:hAnsi="Arial" w:cs="Arial"/>
          <w:bCs/>
          <w:sz w:val="20"/>
        </w:rPr>
        <w:t xml:space="preserve"> </w:t>
      </w:r>
      <w:r w:rsidRPr="00592B88">
        <w:rPr>
          <w:rFonts w:ascii="Arial" w:hAnsi="Arial" w:cs="Arial"/>
          <w:sz w:val="20"/>
        </w:rPr>
        <w:t>Pirelli Group has announced £20</w:t>
      </w:r>
      <w:r>
        <w:rPr>
          <w:rFonts w:ascii="Arial" w:hAnsi="Arial" w:cs="Arial"/>
          <w:sz w:val="20"/>
        </w:rPr>
        <w:t xml:space="preserve"> </w:t>
      </w:r>
      <w:r w:rsidRPr="00592B88">
        <w:rPr>
          <w:rFonts w:ascii="Arial" w:hAnsi="Arial" w:cs="Arial"/>
          <w:sz w:val="20"/>
        </w:rPr>
        <w:t>m</w:t>
      </w:r>
      <w:r>
        <w:rPr>
          <w:rFonts w:ascii="Arial" w:hAnsi="Arial" w:cs="Arial"/>
          <w:sz w:val="20"/>
        </w:rPr>
        <w:t>illion</w:t>
      </w:r>
      <w:r w:rsidRPr="00592B88">
        <w:rPr>
          <w:rFonts w:ascii="Arial" w:hAnsi="Arial" w:cs="Arial"/>
          <w:sz w:val="20"/>
        </w:rPr>
        <w:t xml:space="preserve"> investment in R&amp;D and new process machinery; creating 37 new </w:t>
      </w:r>
      <w:r>
        <w:rPr>
          <w:rFonts w:ascii="Arial" w:hAnsi="Arial" w:cs="Arial"/>
          <w:sz w:val="20"/>
        </w:rPr>
        <w:t>jobs and safeguarding 120</w:t>
      </w:r>
      <w:r w:rsidRPr="00592B88">
        <w:rPr>
          <w:rFonts w:ascii="Arial" w:hAnsi="Arial" w:cs="Arial"/>
          <w:sz w:val="20"/>
        </w:rPr>
        <w:t>.</w:t>
      </w:r>
    </w:p>
    <w:p w:rsidR="008B589F" w:rsidRPr="00C8196E" w:rsidRDefault="008B589F" w:rsidP="00D01D23">
      <w:pPr>
        <w:shd w:val="clear" w:color="auto" w:fill="FFFFFF"/>
        <w:spacing w:before="100" w:beforeAutospacing="1" w:after="300"/>
        <w:rPr>
          <w:rFonts w:ascii="Arial" w:eastAsia="Times New Roman" w:hAnsi="Arial" w:cs="Arial"/>
          <w:bCs/>
          <w:sz w:val="20"/>
          <w:u w:val="single"/>
        </w:rPr>
      </w:pPr>
      <w:r w:rsidRPr="00EC6ADF">
        <w:rPr>
          <w:rFonts w:ascii="Arial" w:eastAsia="Times New Roman" w:hAnsi="Arial" w:cs="Arial"/>
          <w:b/>
          <w:bCs/>
          <w:sz w:val="20"/>
        </w:rPr>
        <w:t>10 August</w:t>
      </w:r>
      <w:r w:rsidRPr="00EC6ADF">
        <w:rPr>
          <w:rFonts w:ascii="Arial" w:eastAsia="Times New Roman" w:hAnsi="Arial" w:cs="Arial"/>
          <w:bCs/>
          <w:sz w:val="20"/>
        </w:rPr>
        <w:t xml:space="preserve"> – GKN plc h</w:t>
      </w:r>
      <w:r w:rsidRPr="00EC6ADF">
        <w:rPr>
          <w:rFonts w:ascii="Arial" w:hAnsi="Arial" w:cs="Arial"/>
          <w:sz w:val="20"/>
        </w:rPr>
        <w:t>as announced a significant commitment of more than £12m to increase capacity at its Birmingham and Telford facilities, supporting its role as a tier-one supplier to the key automotive brands</w:t>
      </w:r>
      <w:r>
        <w:rPr>
          <w:rFonts w:ascii="Arial" w:hAnsi="Arial" w:cs="Arial"/>
          <w:sz w:val="20"/>
        </w:rPr>
        <w:t>.</w:t>
      </w:r>
    </w:p>
    <w:p w:rsidR="008B589F" w:rsidRDefault="008B589F" w:rsidP="00D01D23">
      <w:pPr>
        <w:shd w:val="clear" w:color="auto" w:fill="FFFFFF"/>
        <w:spacing w:before="100" w:beforeAutospacing="1" w:after="300"/>
        <w:rPr>
          <w:rFonts w:ascii="Arial" w:eastAsia="Times New Roman" w:hAnsi="Arial" w:cs="Arial"/>
          <w:sz w:val="20"/>
        </w:rPr>
      </w:pPr>
      <w:r w:rsidRPr="004E4A3F">
        <w:rPr>
          <w:rFonts w:ascii="Arial" w:eastAsia="Times New Roman" w:hAnsi="Arial" w:cs="Arial"/>
          <w:b/>
          <w:sz w:val="20"/>
        </w:rPr>
        <w:t>25 July</w:t>
      </w:r>
      <w:r w:rsidRPr="004E4A3F">
        <w:rPr>
          <w:rFonts w:ascii="Arial" w:eastAsia="Times New Roman" w:hAnsi="Arial" w:cs="Arial"/>
          <w:sz w:val="20"/>
        </w:rPr>
        <w:t xml:space="preserve"> </w:t>
      </w:r>
      <w:r w:rsidR="00E5162C">
        <w:rPr>
          <w:rFonts w:ascii="Arial" w:eastAsia="Times New Roman" w:hAnsi="Arial" w:cs="Arial"/>
          <w:sz w:val="20"/>
        </w:rPr>
        <w:t>–</w:t>
      </w:r>
      <w:r w:rsidRPr="004E4A3F">
        <w:rPr>
          <w:rFonts w:ascii="Arial" w:eastAsia="Times New Roman" w:hAnsi="Arial" w:cs="Arial"/>
          <w:sz w:val="20"/>
        </w:rPr>
        <w:t xml:space="preserve"> Ford has announced it </w:t>
      </w:r>
      <w:r>
        <w:rPr>
          <w:rFonts w:ascii="Arial" w:eastAsia="Times New Roman" w:hAnsi="Arial" w:cs="Arial"/>
          <w:sz w:val="20"/>
        </w:rPr>
        <w:t>is investing 1.44 million in a</w:t>
      </w:r>
      <w:r w:rsidRPr="004E4A3F">
        <w:rPr>
          <w:rFonts w:ascii="Arial" w:eastAsia="Times New Roman" w:hAnsi="Arial" w:cs="Arial"/>
          <w:sz w:val="20"/>
        </w:rPr>
        <w:t xml:space="preserve"> High Speed Sustainable Manufacturing Institute</w:t>
      </w:r>
      <w:r w:rsidR="00BD084A">
        <w:rPr>
          <w:rFonts w:ascii="Arial" w:eastAsia="Times New Roman" w:hAnsi="Arial" w:cs="Arial"/>
          <w:sz w:val="20"/>
        </w:rPr>
        <w:t xml:space="preserve"> (HSSMI) being launched by the g</w:t>
      </w:r>
      <w:r w:rsidRPr="004E4A3F">
        <w:rPr>
          <w:rFonts w:ascii="Arial" w:eastAsia="Times New Roman" w:hAnsi="Arial" w:cs="Arial"/>
          <w:sz w:val="20"/>
        </w:rPr>
        <w:t>overnment at the Centre for Engineering and Manufacturing Excellence (CEME) in East London.</w:t>
      </w:r>
    </w:p>
    <w:p w:rsidR="008B589F" w:rsidRPr="004E4A3F" w:rsidRDefault="008B589F" w:rsidP="00D01D23">
      <w:pPr>
        <w:pStyle w:val="NormalWeb"/>
        <w:rPr>
          <w:rFonts w:ascii="Arial" w:hAnsi="Arial" w:cs="Arial"/>
          <w:bCs/>
          <w:sz w:val="20"/>
        </w:rPr>
      </w:pPr>
      <w:r>
        <w:rPr>
          <w:rFonts w:ascii="Arial" w:hAnsi="Arial" w:cs="Arial"/>
          <w:b/>
          <w:bCs/>
          <w:sz w:val="20"/>
        </w:rPr>
        <w:t>25 July</w:t>
      </w:r>
      <w:r>
        <w:rPr>
          <w:rFonts w:ascii="Arial" w:hAnsi="Arial" w:cs="Arial"/>
          <w:bCs/>
          <w:sz w:val="20"/>
        </w:rPr>
        <w:t xml:space="preserve"> – </w:t>
      </w:r>
      <w:r w:rsidRPr="00B22DEA">
        <w:rPr>
          <w:rFonts w:ascii="Arial" w:eastAsia="Batang" w:hAnsi="Arial" w:cs="Arial"/>
          <w:sz w:val="20"/>
          <w:szCs w:val="20"/>
          <w:lang w:eastAsia="ja-JP"/>
        </w:rPr>
        <w:t>Jaguar Land Rover (JLR</w:t>
      </w:r>
      <w:r>
        <w:rPr>
          <w:rFonts w:ascii="Arial" w:eastAsia="Batang" w:hAnsi="Arial" w:cs="Arial"/>
          <w:sz w:val="20"/>
          <w:szCs w:val="20"/>
          <w:lang w:eastAsia="ja-JP"/>
        </w:rPr>
        <w:t>) announced that it will create m</w:t>
      </w:r>
      <w:r w:rsidRPr="00B22DEA">
        <w:rPr>
          <w:rFonts w:ascii="Arial" w:eastAsia="Batang" w:hAnsi="Arial" w:cs="Arial"/>
          <w:sz w:val="20"/>
          <w:szCs w:val="20"/>
          <w:lang w:eastAsia="ja-JP"/>
        </w:rPr>
        <w:t>ore than 1,100 new jobs at its Castle Bromwich facility to support the launch of new Jaguar models.</w:t>
      </w:r>
    </w:p>
    <w:p w:rsidR="008B589F" w:rsidRPr="00695E66" w:rsidRDefault="008B589F" w:rsidP="00D01D23">
      <w:pPr>
        <w:pStyle w:val="NormalWeb"/>
        <w:rPr>
          <w:rFonts w:ascii="Arial" w:hAnsi="Arial" w:cs="Arial"/>
          <w:sz w:val="20"/>
          <w:szCs w:val="20"/>
        </w:rPr>
      </w:pPr>
      <w:r w:rsidRPr="00695E66">
        <w:rPr>
          <w:rFonts w:ascii="Arial" w:hAnsi="Arial" w:cs="Arial"/>
          <w:b/>
          <w:bCs/>
          <w:sz w:val="20"/>
        </w:rPr>
        <w:t>20 July</w:t>
      </w:r>
      <w:r w:rsidRPr="00695E66">
        <w:rPr>
          <w:rFonts w:ascii="Arial" w:hAnsi="Arial" w:cs="Arial"/>
          <w:bCs/>
          <w:sz w:val="20"/>
        </w:rPr>
        <w:t xml:space="preserve"> </w:t>
      </w:r>
      <w:r w:rsidRPr="005D6122">
        <w:rPr>
          <w:rFonts w:ascii="Arial" w:hAnsi="Arial" w:cs="Arial"/>
          <w:b/>
          <w:bCs/>
          <w:sz w:val="20"/>
        </w:rPr>
        <w:t xml:space="preserve">– </w:t>
      </w:r>
      <w:r w:rsidRPr="005D6122">
        <w:rPr>
          <w:rStyle w:val="Strong"/>
          <w:rFonts w:ascii="Arial" w:hAnsi="Arial" w:cs="Arial"/>
          <w:b w:val="0"/>
          <w:sz w:val="20"/>
          <w:szCs w:val="20"/>
        </w:rPr>
        <w:t>IAC has invested £3.5m at its Solihull and Scunthorpe plants as a result of major wins with Jaguar Land Rover (JLR).</w:t>
      </w:r>
      <w:r w:rsidRPr="00695E66">
        <w:rPr>
          <w:rStyle w:val="Strong"/>
          <w:rFonts w:ascii="Arial" w:hAnsi="Arial" w:cs="Arial"/>
          <w:sz w:val="20"/>
          <w:szCs w:val="20"/>
        </w:rPr>
        <w:t> </w:t>
      </w:r>
      <w:r w:rsidRPr="00695E66">
        <w:rPr>
          <w:rFonts w:ascii="Arial" w:hAnsi="Arial" w:cs="Arial"/>
          <w:sz w:val="20"/>
          <w:szCs w:val="20"/>
        </w:rPr>
        <w:t>Th</w:t>
      </w:r>
      <w:r>
        <w:rPr>
          <w:rFonts w:ascii="Arial" w:hAnsi="Arial" w:cs="Arial"/>
          <w:sz w:val="20"/>
          <w:szCs w:val="20"/>
        </w:rPr>
        <w:t xml:space="preserve">e company is investing in new equipment </w:t>
      </w:r>
      <w:r w:rsidR="00BD084A">
        <w:rPr>
          <w:rFonts w:ascii="Arial" w:hAnsi="Arial" w:cs="Arial"/>
          <w:sz w:val="20"/>
          <w:szCs w:val="20"/>
        </w:rPr>
        <w:t xml:space="preserve">for </w:t>
      </w:r>
      <w:r w:rsidRPr="00695E66">
        <w:rPr>
          <w:rFonts w:ascii="Arial" w:hAnsi="Arial" w:cs="Arial"/>
          <w:sz w:val="20"/>
          <w:szCs w:val="20"/>
        </w:rPr>
        <w:t xml:space="preserve">the launch of the new </w:t>
      </w:r>
      <w:proofErr w:type="spellStart"/>
      <w:r w:rsidRPr="00695E66">
        <w:rPr>
          <w:rFonts w:ascii="Arial" w:hAnsi="Arial" w:cs="Arial"/>
          <w:sz w:val="20"/>
          <w:szCs w:val="20"/>
        </w:rPr>
        <w:t>Evoque</w:t>
      </w:r>
      <w:proofErr w:type="spellEnd"/>
      <w:r w:rsidRPr="00695E66">
        <w:rPr>
          <w:rFonts w:ascii="Arial" w:hAnsi="Arial" w:cs="Arial"/>
          <w:sz w:val="20"/>
          <w:szCs w:val="20"/>
        </w:rPr>
        <w:t xml:space="preserve">, along with ongoing production of the Range Rover. </w:t>
      </w:r>
    </w:p>
    <w:p w:rsidR="008B589F" w:rsidRPr="00E87D50" w:rsidRDefault="008B589F" w:rsidP="00D01D23">
      <w:pPr>
        <w:pStyle w:val="NormalWeb"/>
        <w:rPr>
          <w:rFonts w:ascii="Arial" w:hAnsi="Arial" w:cs="Arial"/>
          <w:color w:val="333333"/>
          <w:sz w:val="18"/>
          <w:szCs w:val="18"/>
        </w:rPr>
      </w:pPr>
      <w:r w:rsidRPr="000F5A87">
        <w:rPr>
          <w:rFonts w:ascii="Arial" w:hAnsi="Arial" w:cs="Arial"/>
          <w:b/>
          <w:color w:val="000000" w:themeColor="text1"/>
          <w:sz w:val="20"/>
        </w:rPr>
        <w:t>19 July</w:t>
      </w:r>
      <w:r>
        <w:rPr>
          <w:rFonts w:ascii="Arial" w:hAnsi="Arial" w:cs="Arial"/>
          <w:color w:val="000000" w:themeColor="text1"/>
          <w:sz w:val="20"/>
        </w:rPr>
        <w:t xml:space="preserve"> – F</w:t>
      </w:r>
      <w:r w:rsidRPr="00C52B6E">
        <w:rPr>
          <w:rFonts w:ascii="Arial" w:hAnsi="Arial" w:cs="Arial"/>
          <w:sz w:val="20"/>
        </w:rPr>
        <w:t>ollowing the allocation of £</w:t>
      </w:r>
      <w:r>
        <w:rPr>
          <w:rFonts w:ascii="Arial" w:hAnsi="Arial" w:cs="Arial"/>
          <w:sz w:val="20"/>
        </w:rPr>
        <w:t>3.1</w:t>
      </w:r>
      <w:r w:rsidRPr="00C52B6E">
        <w:rPr>
          <w:rFonts w:ascii="Arial" w:hAnsi="Arial" w:cs="Arial"/>
          <w:sz w:val="20"/>
        </w:rPr>
        <w:t xml:space="preserve"> million from the second round of Regional Growth Fund</w:t>
      </w:r>
      <w:r>
        <w:rPr>
          <w:rFonts w:ascii="Arial" w:hAnsi="Arial" w:cs="Arial"/>
          <w:sz w:val="20"/>
        </w:rPr>
        <w:t xml:space="preserve"> (RGF)</w:t>
      </w:r>
      <w:r w:rsidRPr="00C52B6E">
        <w:rPr>
          <w:rFonts w:ascii="Arial" w:hAnsi="Arial" w:cs="Arial"/>
          <w:sz w:val="20"/>
        </w:rPr>
        <w:t xml:space="preserve"> bidding</w:t>
      </w:r>
      <w:r>
        <w:rPr>
          <w:rFonts w:ascii="Arial" w:hAnsi="Arial" w:cs="Arial"/>
          <w:sz w:val="20"/>
        </w:rPr>
        <w:t xml:space="preserve">, matched with £12.7m of private investment, </w:t>
      </w:r>
      <w:r w:rsidRPr="00E87D50">
        <w:rPr>
          <w:rFonts w:ascii="Arial" w:hAnsi="Arial" w:cs="Arial"/>
          <w:color w:val="000000" w:themeColor="text1"/>
          <w:sz w:val="20"/>
        </w:rPr>
        <w:t>DTR VMS</w:t>
      </w:r>
      <w:r>
        <w:rPr>
          <w:rFonts w:ascii="Arial" w:hAnsi="Arial" w:cs="Arial"/>
          <w:color w:val="000000" w:themeColor="text1"/>
          <w:sz w:val="20"/>
        </w:rPr>
        <w:t xml:space="preserve"> announced plans </w:t>
      </w:r>
      <w:r>
        <w:rPr>
          <w:rFonts w:ascii="Arial" w:hAnsi="Arial" w:cs="Arial"/>
          <w:sz w:val="20"/>
        </w:rPr>
        <w:t>to move to a</w:t>
      </w:r>
      <w:r w:rsidRPr="000F5A87">
        <w:rPr>
          <w:rFonts w:ascii="Arial" w:hAnsi="Arial" w:cs="Arial"/>
          <w:color w:val="000000" w:themeColor="text1"/>
          <w:sz w:val="22"/>
        </w:rPr>
        <w:t xml:space="preserve"> </w:t>
      </w:r>
      <w:r w:rsidRPr="000F5A87">
        <w:rPr>
          <w:rFonts w:ascii="Arial" w:hAnsi="Arial" w:cs="Arial"/>
          <w:color w:val="000000" w:themeColor="text1"/>
          <w:sz w:val="20"/>
          <w:szCs w:val="18"/>
        </w:rPr>
        <w:t xml:space="preserve">new site will include research facilities and create 21 new jobs, while safeguarding existing </w:t>
      </w:r>
      <w:r>
        <w:rPr>
          <w:rFonts w:ascii="Arial" w:hAnsi="Arial" w:cs="Arial"/>
          <w:color w:val="000000" w:themeColor="text1"/>
          <w:sz w:val="20"/>
          <w:szCs w:val="18"/>
        </w:rPr>
        <w:t>187 employees</w:t>
      </w:r>
      <w:r w:rsidRPr="000F5A87">
        <w:rPr>
          <w:rFonts w:ascii="Arial" w:hAnsi="Arial" w:cs="Arial"/>
          <w:color w:val="000000" w:themeColor="text1"/>
          <w:sz w:val="20"/>
          <w:szCs w:val="18"/>
        </w:rPr>
        <w:t>.</w:t>
      </w:r>
      <w:r w:rsidRPr="000F5A87">
        <w:rPr>
          <w:rFonts w:ascii="Arial" w:hAnsi="Arial" w:cs="Arial"/>
          <w:color w:val="333333"/>
          <w:sz w:val="18"/>
          <w:szCs w:val="18"/>
        </w:rPr>
        <w:t xml:space="preserve"> </w:t>
      </w:r>
    </w:p>
    <w:p w:rsidR="008B589F" w:rsidRPr="00E87D50" w:rsidRDefault="008B589F" w:rsidP="00D01D23">
      <w:pPr>
        <w:shd w:val="clear" w:color="auto" w:fill="FFFFFF"/>
        <w:spacing w:before="100" w:beforeAutospacing="1" w:after="250"/>
        <w:rPr>
          <w:rFonts w:ascii="Arial" w:eastAsia="Times New Roman" w:hAnsi="Arial" w:cs="Arial"/>
          <w:color w:val="000000" w:themeColor="text1"/>
          <w:sz w:val="20"/>
        </w:rPr>
      </w:pPr>
      <w:r w:rsidRPr="00912011">
        <w:rPr>
          <w:rFonts w:ascii="Arial" w:eastAsia="Times New Roman" w:hAnsi="Arial" w:cs="Arial"/>
          <w:b/>
          <w:bCs/>
          <w:color w:val="000000" w:themeColor="text1"/>
          <w:sz w:val="20"/>
        </w:rPr>
        <w:t xml:space="preserve">9 July – </w:t>
      </w:r>
      <w:r w:rsidRPr="00E87D50">
        <w:rPr>
          <w:rFonts w:ascii="Arial" w:eastAsia="Times New Roman" w:hAnsi="Arial" w:cs="Arial"/>
          <w:color w:val="000000" w:themeColor="text1"/>
          <w:sz w:val="20"/>
        </w:rPr>
        <w:t>BMW Group</w:t>
      </w:r>
      <w:r w:rsidRPr="00912011">
        <w:rPr>
          <w:rFonts w:ascii="Arial" w:eastAsia="Times New Roman" w:hAnsi="Arial" w:cs="Arial"/>
          <w:color w:val="000000" w:themeColor="text1"/>
          <w:sz w:val="20"/>
        </w:rPr>
        <w:t xml:space="preserve"> </w:t>
      </w:r>
      <w:r>
        <w:rPr>
          <w:rFonts w:ascii="Arial" w:eastAsia="Times New Roman" w:hAnsi="Arial" w:cs="Arial"/>
          <w:color w:val="000000" w:themeColor="text1"/>
          <w:sz w:val="20"/>
        </w:rPr>
        <w:t>c</w:t>
      </w:r>
      <w:r w:rsidR="00BD084A">
        <w:rPr>
          <w:rFonts w:ascii="Arial" w:eastAsia="Times New Roman" w:hAnsi="Arial" w:cs="Arial"/>
          <w:color w:val="000000" w:themeColor="text1"/>
          <w:sz w:val="20"/>
        </w:rPr>
        <w:t>onfirmed</w:t>
      </w:r>
      <w:r w:rsidRPr="00912011">
        <w:rPr>
          <w:rFonts w:ascii="Arial" w:eastAsia="Times New Roman" w:hAnsi="Arial" w:cs="Arial"/>
          <w:color w:val="000000" w:themeColor="text1"/>
          <w:sz w:val="20"/>
        </w:rPr>
        <w:t xml:space="preserve"> a further £250 million investment in its UK manufacturing operations by the end of 2015 at its plants in Oxford, Swindon and Hams Hall to support international growth of the MINI brand.</w:t>
      </w:r>
    </w:p>
    <w:p w:rsidR="008B589F" w:rsidRPr="00E87D50" w:rsidRDefault="008B589F" w:rsidP="00D01D23">
      <w:pPr>
        <w:pStyle w:val="NormalWeb"/>
        <w:rPr>
          <w:rFonts w:ascii="Arial" w:hAnsi="Arial" w:cs="Arial"/>
          <w:bCs/>
          <w:sz w:val="20"/>
          <w:szCs w:val="20"/>
        </w:rPr>
      </w:pPr>
      <w:r>
        <w:rPr>
          <w:rFonts w:ascii="Arial" w:hAnsi="Arial" w:cs="Arial"/>
          <w:b/>
          <w:bCs/>
          <w:sz w:val="20"/>
        </w:rPr>
        <w:t>4 July</w:t>
      </w:r>
      <w:r w:rsidRPr="00EF5B03">
        <w:rPr>
          <w:rFonts w:ascii="Arial" w:hAnsi="Arial" w:cs="Arial"/>
          <w:b/>
          <w:bCs/>
          <w:sz w:val="20"/>
        </w:rPr>
        <w:t xml:space="preserve"> 2012</w:t>
      </w:r>
      <w:r>
        <w:rPr>
          <w:rFonts w:ascii="Arial" w:hAnsi="Arial" w:cs="Arial"/>
          <w:b/>
          <w:bCs/>
          <w:sz w:val="20"/>
        </w:rPr>
        <w:t xml:space="preserve"> </w:t>
      </w:r>
      <w:r w:rsidRPr="005D6122">
        <w:rPr>
          <w:rFonts w:ascii="Arial" w:hAnsi="Arial" w:cs="Arial"/>
          <w:bCs/>
          <w:sz w:val="20"/>
        </w:rPr>
        <w:t>– Brose</w:t>
      </w:r>
      <w:r>
        <w:rPr>
          <w:rFonts w:ascii="Arial" w:hAnsi="Arial" w:cs="Arial"/>
          <w:bCs/>
          <w:sz w:val="20"/>
        </w:rPr>
        <w:t xml:space="preserve"> announced more than 250 jobs to be created at the North Warwickshire components manufacturing site with a £7 million expansion. </w:t>
      </w:r>
    </w:p>
    <w:p w:rsidR="008B589F" w:rsidRDefault="008B589F" w:rsidP="00D01D23">
      <w:pPr>
        <w:spacing w:before="100" w:beforeAutospacing="1" w:after="100" w:afterAutospacing="1"/>
        <w:rPr>
          <w:rFonts w:ascii="Arial" w:eastAsia="Times New Roman" w:hAnsi="Arial" w:cs="Arial"/>
          <w:sz w:val="20"/>
        </w:rPr>
      </w:pPr>
      <w:r>
        <w:rPr>
          <w:rFonts w:ascii="Arial" w:eastAsia="Times New Roman" w:hAnsi="Arial" w:cs="Arial"/>
          <w:b/>
          <w:bCs/>
          <w:sz w:val="20"/>
        </w:rPr>
        <w:t>3</w:t>
      </w:r>
      <w:r w:rsidRPr="009E378D">
        <w:rPr>
          <w:rFonts w:ascii="Arial" w:eastAsia="Times New Roman" w:hAnsi="Arial" w:cs="Arial"/>
          <w:b/>
          <w:bCs/>
          <w:sz w:val="20"/>
        </w:rPr>
        <w:t xml:space="preserve"> July</w:t>
      </w:r>
      <w:r w:rsidRPr="009E378D">
        <w:rPr>
          <w:rFonts w:ascii="Arial" w:eastAsia="Times New Roman" w:hAnsi="Arial" w:cs="Arial"/>
          <w:sz w:val="20"/>
        </w:rPr>
        <w:t xml:space="preserve"> </w:t>
      </w:r>
      <w:r w:rsidR="00E5162C">
        <w:rPr>
          <w:rFonts w:ascii="Arial" w:eastAsia="Times New Roman" w:hAnsi="Arial" w:cs="Arial"/>
          <w:sz w:val="20"/>
        </w:rPr>
        <w:t>–</w:t>
      </w:r>
      <w:r w:rsidRPr="009E378D">
        <w:rPr>
          <w:rFonts w:ascii="Arial" w:eastAsia="Times New Roman" w:hAnsi="Arial" w:cs="Arial"/>
          <w:sz w:val="20"/>
        </w:rPr>
        <w:t xml:space="preserve"> Toyota supplier Futaba Industrial UK confirmed that it is </w:t>
      </w:r>
      <w:r w:rsidRPr="005D6122">
        <w:rPr>
          <w:rFonts w:ascii="Arial" w:eastAsia="Times New Roman" w:hAnsi="Arial" w:cs="Arial"/>
          <w:sz w:val="20"/>
        </w:rPr>
        <w:t>to create up to 100 jobs</w:t>
      </w:r>
      <w:r w:rsidRPr="005D6122">
        <w:rPr>
          <w:rFonts w:ascii="Arial" w:eastAsia="Times New Roman" w:hAnsi="Arial" w:cs="Arial"/>
          <w:color w:val="0000FF"/>
          <w:sz w:val="20"/>
        </w:rPr>
        <w:t xml:space="preserve"> </w:t>
      </w:r>
      <w:r w:rsidRPr="005D6122">
        <w:rPr>
          <w:rFonts w:ascii="Arial" w:eastAsia="Times New Roman" w:hAnsi="Arial" w:cs="Arial"/>
          <w:sz w:val="20"/>
        </w:rPr>
        <w:t>at</w:t>
      </w:r>
      <w:r w:rsidRPr="009E378D">
        <w:rPr>
          <w:rFonts w:ascii="Arial" w:eastAsia="Times New Roman" w:hAnsi="Arial" w:cs="Arial"/>
          <w:sz w:val="20"/>
        </w:rPr>
        <w:t xml:space="preserve"> its Derbyshire plant as a result of the Burnaston-based car manufacturer’s decision to p</w:t>
      </w:r>
      <w:r w:rsidR="00E5162C">
        <w:rPr>
          <w:rFonts w:ascii="Arial" w:eastAsia="Times New Roman" w:hAnsi="Arial" w:cs="Arial"/>
          <w:sz w:val="20"/>
        </w:rPr>
        <w:t xml:space="preserve">roduce the new </w:t>
      </w:r>
      <w:proofErr w:type="spellStart"/>
      <w:r w:rsidR="00E5162C">
        <w:rPr>
          <w:rFonts w:ascii="Arial" w:eastAsia="Times New Roman" w:hAnsi="Arial" w:cs="Arial"/>
          <w:sz w:val="20"/>
        </w:rPr>
        <w:t>Auris</w:t>
      </w:r>
      <w:proofErr w:type="spellEnd"/>
      <w:r w:rsidR="00E5162C">
        <w:rPr>
          <w:rFonts w:ascii="Arial" w:eastAsia="Times New Roman" w:hAnsi="Arial" w:cs="Arial"/>
          <w:sz w:val="20"/>
        </w:rPr>
        <w:t xml:space="preserve"> in the UK.</w:t>
      </w:r>
    </w:p>
    <w:p w:rsidR="00D01D23" w:rsidRPr="008B589F" w:rsidRDefault="00D01D23" w:rsidP="00D01D23">
      <w:pPr>
        <w:spacing w:before="100" w:beforeAutospacing="1" w:after="100" w:afterAutospacing="1"/>
        <w:rPr>
          <w:rFonts w:ascii="Arial" w:eastAsia="Times New Roman" w:hAnsi="Arial" w:cs="Arial"/>
          <w:sz w:val="20"/>
        </w:rPr>
      </w:pPr>
      <w:r>
        <w:rPr>
          <w:rFonts w:ascii="Arial" w:hAnsi="Arial" w:cs="Arial"/>
          <w:sz w:val="20"/>
        </w:rPr>
        <w:t>For a full breakdown of the</w:t>
      </w:r>
      <w:r w:rsidRPr="0098522F">
        <w:rPr>
          <w:rFonts w:ascii="Arial" w:hAnsi="Arial" w:cs="Arial"/>
          <w:sz w:val="20"/>
        </w:rPr>
        <w:t xml:space="preserve"> </w:t>
      </w:r>
      <w:r>
        <w:rPr>
          <w:rFonts w:ascii="Arial" w:hAnsi="Arial" w:cs="Arial"/>
          <w:sz w:val="20"/>
        </w:rPr>
        <w:t>investment pledged to UK automotive during the last two years</w:t>
      </w:r>
      <w:r w:rsidRPr="0098522F">
        <w:rPr>
          <w:rFonts w:ascii="Arial" w:hAnsi="Arial" w:cs="Arial"/>
          <w:sz w:val="20"/>
        </w:rPr>
        <w:t xml:space="preserve">, </w:t>
      </w:r>
      <w:r>
        <w:rPr>
          <w:rFonts w:ascii="Arial" w:hAnsi="Arial" w:cs="Arial"/>
          <w:sz w:val="20"/>
        </w:rPr>
        <w:t xml:space="preserve">go to </w:t>
      </w:r>
      <w:hyperlink r:id="rId12" w:history="1">
        <w:r w:rsidRPr="00CA5AC7">
          <w:rPr>
            <w:rStyle w:val="Hyperlink"/>
            <w:rFonts w:ascii="Arial" w:hAnsi="Arial" w:cs="Arial"/>
            <w:sz w:val="20"/>
          </w:rPr>
          <w:t>www.smmt.co.uk/investment</w:t>
        </w:r>
      </w:hyperlink>
      <w:r w:rsidRPr="0098522F">
        <w:rPr>
          <w:rFonts w:ascii="Arial" w:hAnsi="Arial" w:cs="Arial"/>
          <w:sz w:val="20"/>
        </w:rPr>
        <w:t>.</w:t>
      </w:r>
    </w:p>
    <w:sectPr w:rsidR="00D01D23" w:rsidRPr="008B589F" w:rsidSect="008B589F">
      <w:headerReference w:type="default" r:id="rId13"/>
      <w:footerReference w:type="default" r:id="rId14"/>
      <w:type w:val="continuous"/>
      <w:pgSz w:w="11906" w:h="16838" w:code="9"/>
      <w:pgMar w:top="1440" w:right="1440" w:bottom="1440" w:left="1440" w:header="23" w:footer="27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33" w:rsidRDefault="006A7933" w:rsidP="00C078E2">
      <w:r>
        <w:separator/>
      </w:r>
    </w:p>
  </w:endnote>
  <w:endnote w:type="continuationSeparator" w:id="0">
    <w:p w:rsidR="006A7933" w:rsidRDefault="006A7933" w:rsidP="00C07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iss-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33" w:rsidRDefault="006A7933" w:rsidP="00AF2748">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6A7933" w:rsidRPr="0098763B" w:rsidRDefault="006A7933" w:rsidP="00AF2748">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55 billion turnover and £12</w:t>
    </w:r>
    <w:r w:rsidRPr="0098763B">
      <w:rPr>
        <w:rFonts w:ascii="Arial" w:hAnsi="Arial" w:cs="Arial"/>
        <w:b w:val="0"/>
        <w:color w:val="1074CB"/>
        <w:sz w:val="16"/>
        <w:szCs w:val="16"/>
      </w:rPr>
      <w:t xml:space="preserve"> billion value added. With </w:t>
    </w:r>
    <w:r>
      <w:rPr>
        <w:rFonts w:ascii="Arial" w:hAnsi="Arial" w:cs="Arial"/>
        <w:b w:val="0"/>
        <w:color w:val="1074CB"/>
        <w:sz w:val="16"/>
        <w:szCs w:val="16"/>
      </w:rPr>
      <w:t>more than</w:t>
    </w:r>
    <w:r w:rsidRPr="0098763B">
      <w:rPr>
        <w:rFonts w:ascii="Arial" w:hAnsi="Arial" w:cs="Arial"/>
        <w:b w:val="0"/>
        <w:color w:val="1074CB"/>
        <w:sz w:val="16"/>
        <w:szCs w:val="16"/>
      </w:rPr>
      <w:t xml:space="preserve"> 700,000 jobs dependent on the industry, it accounts for 10% of total exports and invests </w:t>
    </w:r>
    <w:r>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6A7933" w:rsidRPr="00593F7B" w:rsidRDefault="006A7933" w:rsidP="00AF2748">
    <w:pPr>
      <w:pStyle w:val="Footer"/>
      <w:rPr>
        <w:rFonts w:ascii="Arial" w:hAnsi="Arial" w:cs="Arial"/>
        <w:sz w:val="16"/>
        <w:szCs w:val="16"/>
      </w:rPr>
    </w:pPr>
  </w:p>
  <w:p w:rsidR="006A7933" w:rsidRDefault="006A7933" w:rsidP="00AF2748">
    <w:pPr>
      <w:rPr>
        <w:rFonts w:ascii="Arial" w:hAnsi="Arial" w:cs="Arial"/>
        <w:b/>
        <w:color w:val="1074CB"/>
        <w:sz w:val="16"/>
        <w:szCs w:val="16"/>
      </w:rPr>
    </w:pPr>
    <w:r>
      <w:rPr>
        <w:rFonts w:ascii="Arial" w:hAnsi="Arial" w:cs="Arial"/>
        <w:b/>
        <w:color w:val="1074CB"/>
        <w:sz w:val="16"/>
        <w:szCs w:val="16"/>
      </w:rPr>
      <w:t>Media contacts:</w:t>
    </w:r>
  </w:p>
  <w:p w:rsidR="006A7933" w:rsidRDefault="006A7933" w:rsidP="00AF2748">
    <w:pPr>
      <w:rPr>
        <w:rFonts w:ascii="Arial" w:hAnsi="Arial" w:cs="Arial"/>
        <w:color w:val="1074CB"/>
        <w:sz w:val="16"/>
        <w:szCs w:val="16"/>
      </w:rPr>
    </w:pPr>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r>
      <w:rPr>
        <w:rFonts w:ascii="Arial" w:hAnsi="Arial" w:cs="Arial"/>
        <w:color w:val="1074CB"/>
        <w:sz w:val="16"/>
        <w:szCs w:val="16"/>
      </w:rPr>
      <w:t xml:space="preserve"> </w:t>
    </w:r>
  </w:p>
  <w:p w:rsidR="006A7933" w:rsidRDefault="006A7933" w:rsidP="00AF2748">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1C2174">
        <w:rPr>
          <w:rStyle w:val="Hyperlink"/>
          <w:rFonts w:ascii="Arial" w:hAnsi="Arial" w:cs="Arial"/>
          <w:sz w:val="16"/>
          <w:szCs w:val="16"/>
        </w:rPr>
        <w:t>jvisscher@smmt.co.uk</w:t>
      </w:r>
    </w:hyperlink>
    <w:r>
      <w:rPr>
        <w:rFonts w:ascii="Arial" w:hAnsi="Arial" w:cs="Arial"/>
        <w:color w:val="1074CB"/>
        <w:sz w:val="16"/>
        <w:szCs w:val="16"/>
      </w:rPr>
      <w:t xml:space="preserve"> </w:t>
    </w:r>
  </w:p>
  <w:p w:rsidR="006A7933" w:rsidRDefault="006A7933" w:rsidP="00AF2748">
    <w:pPr>
      <w:rPr>
        <w:rFonts w:ascii="Arial" w:hAnsi="Arial" w:cs="Arial"/>
        <w:color w:val="1074CB"/>
        <w:sz w:val="16"/>
        <w:szCs w:val="16"/>
      </w:rPr>
    </w:pPr>
  </w:p>
  <w:p w:rsidR="006A7933" w:rsidRDefault="006A7933" w:rsidP="00AF2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33" w:rsidRDefault="006A7933" w:rsidP="00AF274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33" w:rsidRDefault="006A7933" w:rsidP="00C078E2">
      <w:r>
        <w:separator/>
      </w:r>
    </w:p>
  </w:footnote>
  <w:footnote w:type="continuationSeparator" w:id="0">
    <w:p w:rsidR="006A7933" w:rsidRDefault="006A7933" w:rsidP="00C0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33" w:rsidRDefault="006A7933" w:rsidP="00AF2748">
    <w:pPr>
      <w:pStyle w:val="Header"/>
      <w:jc w:val="right"/>
    </w:pPr>
    <w:r w:rsidRPr="0040241C">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6A7933" w:rsidRDefault="006A7933" w:rsidP="00AF2748">
    <w:pPr>
      <w:rPr>
        <w:rStyle w:val="Strong"/>
        <w:rFonts w:ascii="Arial" w:hAnsi="Arial" w:cs="Arial"/>
        <w:color w:val="1074CB"/>
        <w:sz w:val="20"/>
      </w:rPr>
    </w:pPr>
    <w:r>
      <w:rPr>
        <w:rStyle w:val="Strong"/>
        <w:rFonts w:ascii="Arial" w:hAnsi="Arial" w:cs="Arial"/>
        <w:color w:val="1074CB"/>
        <w:sz w:val="20"/>
      </w:rPr>
      <w:t xml:space="preserve">                                                                                   </w:t>
    </w:r>
  </w:p>
  <w:p w:rsidR="006A7933" w:rsidRDefault="006A7933" w:rsidP="00AF2748">
    <w:pPr>
      <w:rPr>
        <w:rStyle w:val="Strong"/>
        <w:rFonts w:ascii="Arial" w:hAnsi="Arial" w:cs="Arial"/>
        <w:color w:val="1074CB"/>
        <w:sz w:val="20"/>
      </w:rPr>
    </w:pPr>
  </w:p>
  <w:p w:rsidR="006A7933" w:rsidRDefault="006A7933" w:rsidP="00AF2748">
    <w:pPr>
      <w:rPr>
        <w:rStyle w:val="Strong"/>
        <w:rFonts w:ascii="Arial" w:hAnsi="Arial" w:cs="Arial"/>
        <w:color w:val="1074CB"/>
        <w:sz w:val="20"/>
      </w:rPr>
    </w:pPr>
  </w:p>
  <w:p w:rsidR="006A7933" w:rsidRDefault="006A7933" w:rsidP="00AF2748">
    <w:pPr>
      <w:rPr>
        <w:rStyle w:val="Strong"/>
        <w:rFonts w:ascii="Arial" w:hAnsi="Arial" w:cs="Arial"/>
        <w:color w:val="1074CB"/>
        <w:sz w:val="20"/>
      </w:rPr>
    </w:pPr>
  </w:p>
  <w:p w:rsidR="006A7933" w:rsidRDefault="006A7933" w:rsidP="00AF2748">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33" w:rsidRPr="006A7933" w:rsidRDefault="006A7933" w:rsidP="006A7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E8D"/>
    <w:multiLevelType w:val="hybridMultilevel"/>
    <w:tmpl w:val="EFEE0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8669DD"/>
    <w:multiLevelType w:val="hybridMultilevel"/>
    <w:tmpl w:val="FD4E3F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F661809"/>
    <w:multiLevelType w:val="hybridMultilevel"/>
    <w:tmpl w:val="A2F6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078E2"/>
    <w:rsid w:val="0002144E"/>
    <w:rsid w:val="000F0838"/>
    <w:rsid w:val="00161EDC"/>
    <w:rsid w:val="001A214A"/>
    <w:rsid w:val="00236CD3"/>
    <w:rsid w:val="00282D6E"/>
    <w:rsid w:val="002A04BC"/>
    <w:rsid w:val="002F0942"/>
    <w:rsid w:val="00305DC2"/>
    <w:rsid w:val="00330309"/>
    <w:rsid w:val="0039040F"/>
    <w:rsid w:val="00416E0E"/>
    <w:rsid w:val="0045137A"/>
    <w:rsid w:val="00473D48"/>
    <w:rsid w:val="004E2EB6"/>
    <w:rsid w:val="005A680F"/>
    <w:rsid w:val="005C28E0"/>
    <w:rsid w:val="00665CCA"/>
    <w:rsid w:val="006A7933"/>
    <w:rsid w:val="006C2DFF"/>
    <w:rsid w:val="00703777"/>
    <w:rsid w:val="007E7CEF"/>
    <w:rsid w:val="00825235"/>
    <w:rsid w:val="00873174"/>
    <w:rsid w:val="008946C6"/>
    <w:rsid w:val="008B589F"/>
    <w:rsid w:val="009246A1"/>
    <w:rsid w:val="00952101"/>
    <w:rsid w:val="00972C68"/>
    <w:rsid w:val="00A55A00"/>
    <w:rsid w:val="00AB264E"/>
    <w:rsid w:val="00AF2748"/>
    <w:rsid w:val="00B3719B"/>
    <w:rsid w:val="00B85768"/>
    <w:rsid w:val="00BA3E4E"/>
    <w:rsid w:val="00BB4042"/>
    <w:rsid w:val="00BD084A"/>
    <w:rsid w:val="00BD2D3E"/>
    <w:rsid w:val="00BF2315"/>
    <w:rsid w:val="00C078E2"/>
    <w:rsid w:val="00D01D23"/>
    <w:rsid w:val="00D37F58"/>
    <w:rsid w:val="00E5162C"/>
    <w:rsid w:val="00E56562"/>
    <w:rsid w:val="00E56C54"/>
    <w:rsid w:val="00F10947"/>
    <w:rsid w:val="00FC1B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8E2"/>
    <w:rPr>
      <w:rFonts w:ascii="Times" w:eastAsia="Times" w:hAnsi="Times"/>
      <w:sz w:val="24"/>
    </w:rPr>
  </w:style>
  <w:style w:type="paragraph" w:styleId="Heading1">
    <w:name w:val="heading 1"/>
    <w:basedOn w:val="Normal"/>
    <w:next w:val="Normal"/>
    <w:link w:val="Heading1Char"/>
    <w:qFormat/>
    <w:rsid w:val="00C078E2"/>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E2"/>
    <w:rPr>
      <w:rFonts w:ascii="Arial Bold" w:hAnsi="Arial Bold"/>
      <w:b/>
    </w:rPr>
  </w:style>
  <w:style w:type="paragraph" w:styleId="Header">
    <w:name w:val="header"/>
    <w:basedOn w:val="Normal"/>
    <w:link w:val="HeaderChar"/>
    <w:rsid w:val="00C078E2"/>
    <w:pPr>
      <w:tabs>
        <w:tab w:val="center" w:pos="4320"/>
        <w:tab w:val="right" w:pos="8640"/>
      </w:tabs>
    </w:pPr>
  </w:style>
  <w:style w:type="character" w:customStyle="1" w:styleId="HeaderChar">
    <w:name w:val="Header Char"/>
    <w:basedOn w:val="DefaultParagraphFont"/>
    <w:link w:val="Header"/>
    <w:rsid w:val="00C078E2"/>
    <w:rPr>
      <w:rFonts w:ascii="Times" w:eastAsia="Times" w:hAnsi="Times"/>
      <w:sz w:val="24"/>
    </w:rPr>
  </w:style>
  <w:style w:type="paragraph" w:styleId="Footer">
    <w:name w:val="footer"/>
    <w:basedOn w:val="Normal"/>
    <w:link w:val="FooterChar"/>
    <w:rsid w:val="00C078E2"/>
    <w:pPr>
      <w:tabs>
        <w:tab w:val="center" w:pos="4320"/>
        <w:tab w:val="right" w:pos="8640"/>
      </w:tabs>
    </w:pPr>
  </w:style>
  <w:style w:type="character" w:customStyle="1" w:styleId="FooterChar">
    <w:name w:val="Footer Char"/>
    <w:basedOn w:val="DefaultParagraphFont"/>
    <w:link w:val="Footer"/>
    <w:rsid w:val="00C078E2"/>
    <w:rPr>
      <w:rFonts w:ascii="Times" w:eastAsia="Times" w:hAnsi="Times"/>
      <w:sz w:val="24"/>
    </w:rPr>
  </w:style>
  <w:style w:type="character" w:styleId="Hyperlink">
    <w:name w:val="Hyperlink"/>
    <w:basedOn w:val="DefaultParagraphFont"/>
    <w:rsid w:val="00C078E2"/>
    <w:rPr>
      <w:color w:val="0000FF"/>
      <w:u w:val="single"/>
    </w:rPr>
  </w:style>
  <w:style w:type="character" w:styleId="Strong">
    <w:name w:val="Strong"/>
    <w:basedOn w:val="DefaultParagraphFont"/>
    <w:uiPriority w:val="22"/>
    <w:qFormat/>
    <w:rsid w:val="00C078E2"/>
    <w:rPr>
      <w:b/>
      <w:bCs/>
    </w:rPr>
  </w:style>
  <w:style w:type="paragraph" w:styleId="PlainText">
    <w:name w:val="Plain Text"/>
    <w:basedOn w:val="Normal"/>
    <w:link w:val="PlainTextChar"/>
    <w:uiPriority w:val="99"/>
    <w:unhideWhenUsed/>
    <w:rsid w:val="00C078E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C078E2"/>
    <w:rPr>
      <w:rFonts w:ascii="Arial" w:eastAsiaTheme="minorHAnsi" w:hAnsi="Arial" w:cstheme="minorBidi"/>
      <w:szCs w:val="21"/>
      <w:lang w:eastAsia="en-US"/>
    </w:rPr>
  </w:style>
  <w:style w:type="paragraph" w:styleId="Caption">
    <w:name w:val="caption"/>
    <w:basedOn w:val="Normal"/>
    <w:next w:val="Normal"/>
    <w:uiPriority w:val="35"/>
    <w:unhideWhenUsed/>
    <w:qFormat/>
    <w:rsid w:val="00C078E2"/>
    <w:pPr>
      <w:spacing w:after="200"/>
    </w:pPr>
    <w:rPr>
      <w:b/>
      <w:bCs/>
      <w:color w:val="4F81BD" w:themeColor="accent1"/>
      <w:sz w:val="18"/>
      <w:szCs w:val="18"/>
    </w:rPr>
  </w:style>
  <w:style w:type="paragraph" w:styleId="BalloonText">
    <w:name w:val="Balloon Text"/>
    <w:basedOn w:val="Normal"/>
    <w:link w:val="BalloonTextChar"/>
    <w:rsid w:val="00C078E2"/>
    <w:rPr>
      <w:rFonts w:ascii="Tahoma" w:hAnsi="Tahoma" w:cs="Tahoma"/>
      <w:sz w:val="16"/>
      <w:szCs w:val="16"/>
    </w:rPr>
  </w:style>
  <w:style w:type="character" w:customStyle="1" w:styleId="BalloonTextChar">
    <w:name w:val="Balloon Text Char"/>
    <w:basedOn w:val="DefaultParagraphFont"/>
    <w:link w:val="BalloonText"/>
    <w:rsid w:val="00C078E2"/>
    <w:rPr>
      <w:rFonts w:ascii="Tahoma" w:eastAsia="Times" w:hAnsi="Tahoma" w:cs="Tahoma"/>
      <w:sz w:val="16"/>
      <w:szCs w:val="16"/>
    </w:rPr>
  </w:style>
  <w:style w:type="paragraph" w:styleId="ListParagraph">
    <w:name w:val="List Paragraph"/>
    <w:basedOn w:val="Normal"/>
    <w:uiPriority w:val="34"/>
    <w:qFormat/>
    <w:rsid w:val="008B589F"/>
    <w:pPr>
      <w:ind w:left="720"/>
      <w:contextualSpacing/>
    </w:pPr>
  </w:style>
  <w:style w:type="paragraph" w:customStyle="1" w:styleId="Default">
    <w:name w:val="Default"/>
    <w:rsid w:val="008B589F"/>
    <w:pPr>
      <w:autoSpaceDE w:val="0"/>
      <w:autoSpaceDN w:val="0"/>
      <w:adjustRightInd w:val="0"/>
    </w:pPr>
    <w:rPr>
      <w:rFonts w:ascii="Arial" w:eastAsia="Times" w:hAnsi="Arial" w:cs="Arial"/>
      <w:color w:val="000000"/>
      <w:sz w:val="24"/>
      <w:szCs w:val="24"/>
    </w:rPr>
  </w:style>
  <w:style w:type="paragraph" w:styleId="NormalWeb">
    <w:name w:val="Normal (Web)"/>
    <w:basedOn w:val="Normal"/>
    <w:uiPriority w:val="99"/>
    <w:unhideWhenUsed/>
    <w:rsid w:val="008B589F"/>
    <w:pPr>
      <w:spacing w:before="100" w:beforeAutospacing="1" w:after="100" w:afterAutospacing="1"/>
    </w:pPr>
    <w:rPr>
      <w:rFonts w:ascii="Times New Roman" w:eastAsia="Times New Roman" w:hAnsi="Times New Roman"/>
      <w:szCs w:val="24"/>
    </w:rPr>
  </w:style>
  <w:style w:type="paragraph" w:styleId="EndnoteText">
    <w:name w:val="endnote text"/>
    <w:basedOn w:val="Normal"/>
    <w:link w:val="EndnoteTextChar"/>
    <w:rsid w:val="00D01D23"/>
    <w:rPr>
      <w:sz w:val="20"/>
    </w:rPr>
  </w:style>
  <w:style w:type="character" w:customStyle="1" w:styleId="EndnoteTextChar">
    <w:name w:val="Endnote Text Char"/>
    <w:basedOn w:val="DefaultParagraphFont"/>
    <w:link w:val="EndnoteText"/>
    <w:rsid w:val="00D01D23"/>
    <w:rPr>
      <w:rFonts w:ascii="Times" w:eastAsia="Times" w:hAnsi="Times"/>
    </w:rPr>
  </w:style>
  <w:style w:type="character" w:styleId="EndnoteReference">
    <w:name w:val="endnote reference"/>
    <w:basedOn w:val="DefaultParagraphFont"/>
    <w:rsid w:val="00D01D23"/>
    <w:rPr>
      <w:vertAlign w:val="superscript"/>
    </w:rPr>
  </w:style>
</w:styles>
</file>

<file path=word/webSettings.xml><?xml version="1.0" encoding="utf-8"?>
<w:webSettings xmlns:r="http://schemas.openxmlformats.org/officeDocument/2006/relationships" xmlns:w="http://schemas.openxmlformats.org/wordprocessingml/2006/main">
  <w:divs>
    <w:div w:id="3068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isscj\AppData\Local\Microsoft\Windows\Temporary%20Internet%20Files\Content.Outlook\G4UA28WW\www.smmt.co.uk\invest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000"/>
              <a:t>All vehicles</a:t>
            </a:r>
          </a:p>
        </c:rich>
      </c:tx>
      <c:layout/>
    </c:title>
    <c:plotArea>
      <c:layout>
        <c:manualLayout>
          <c:layoutTarget val="inner"/>
          <c:xMode val="edge"/>
          <c:yMode val="edge"/>
          <c:x val="0.21002714866827221"/>
          <c:y val="0.11581852268466437"/>
          <c:w val="0.62637041656921688"/>
          <c:h val="0.73380689913760766"/>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'PR-12MONTH-charts'!$C$4:$BV$4</c:f>
              <c:numCache>
                <c:formatCode>General</c:formatCode>
                <c:ptCount val="72"/>
                <c:pt idx="0">
                  <c:v>1447.1529999999998</c:v>
                </c:pt>
                <c:pt idx="1">
                  <c:v>1431.6109999999999</c:v>
                </c:pt>
                <c:pt idx="2">
                  <c:v>1410.6589999999999</c:v>
                </c:pt>
                <c:pt idx="3">
                  <c:v>1412.5039999999999</c:v>
                </c:pt>
                <c:pt idx="4">
                  <c:v>1408.6849999999984</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1009.3649999999992</c:v>
                </c:pt>
                <c:pt idx="31">
                  <c:v>983.24400000000003</c:v>
                </c:pt>
                <c:pt idx="32">
                  <c:v>960.25400000000002</c:v>
                </c:pt>
                <c:pt idx="33">
                  <c:v>952.62300000000005</c:v>
                </c:pt>
                <c:pt idx="34">
                  <c:v>967.96699999999908</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numCache>
            </c:numRef>
          </c:val>
        </c:ser>
        <c:marker val="1"/>
        <c:axId val="105257216"/>
        <c:axId val="107646976"/>
      </c:lineChart>
      <c:lineChart>
        <c:grouping val="standard"/>
        <c:ser>
          <c:idx val="1"/>
          <c:order val="1"/>
          <c:tx>
            <c:strRef>
              <c:f>'PR-12MONTH-charts'!$B$9</c:f>
              <c:strCache>
                <c:ptCount val="1"/>
                <c:pt idx="0">
                  <c:v>Total CV</c:v>
                </c:pt>
              </c:strCache>
            </c:strRef>
          </c:tx>
          <c:spPr>
            <a:ln>
              <a:solidFill>
                <a:schemeClr val="accent1"/>
              </a:solidFill>
              <a:prstDash val="sysDash"/>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'PR-12MONTH-charts'!$C$9:$BV$9</c:f>
              <c:numCache>
                <c:formatCode>General</c:formatCode>
                <c:ptCount val="72"/>
                <c:pt idx="0">
                  <c:v>209.13800000000001</c:v>
                </c:pt>
                <c:pt idx="1">
                  <c:v>208.41499999999999</c:v>
                </c:pt>
                <c:pt idx="2">
                  <c:v>207.38600000000019</c:v>
                </c:pt>
                <c:pt idx="3">
                  <c:v>207.62</c:v>
                </c:pt>
                <c:pt idx="4">
                  <c:v>209.48000000000019</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164.89700000000019</c:v>
                </c:pt>
                <c:pt idx="27">
                  <c:v>150.56800000000001</c:v>
                </c:pt>
                <c:pt idx="28">
                  <c:v>137.55800000000019</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c:v>
                </c:pt>
                <c:pt idx="40">
                  <c:v>109.98699999999999</c:v>
                </c:pt>
                <c:pt idx="41">
                  <c:v>112.111</c:v>
                </c:pt>
                <c:pt idx="42">
                  <c:v>113.232</c:v>
                </c:pt>
                <c:pt idx="43">
                  <c:v>114.29600000000002</c:v>
                </c:pt>
                <c:pt idx="44">
                  <c:v>115.9190000000001</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c:v>
                </c:pt>
              </c:numCache>
            </c:numRef>
          </c:val>
        </c:ser>
        <c:marker val="1"/>
        <c:axId val="107649280"/>
        <c:axId val="107655168"/>
      </c:lineChart>
      <c:catAx>
        <c:axId val="10525721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07646976"/>
        <c:crosses val="autoZero"/>
        <c:auto val="1"/>
        <c:lblAlgn val="ctr"/>
        <c:lblOffset val="100"/>
        <c:tickMarkSkip val="12"/>
      </c:catAx>
      <c:valAx>
        <c:axId val="107646976"/>
        <c:scaling>
          <c:orientation val="minMax"/>
          <c:min val="800"/>
        </c:scaling>
        <c:axPos val="l"/>
        <c:majorGridlines/>
        <c:title>
          <c:tx>
            <c:rich>
              <a:bodyPr/>
              <a:lstStyle/>
              <a:p>
                <a:pPr>
                  <a:defRPr sz="1000" b="0" i="0" u="none" strike="noStrike" baseline="0">
                    <a:solidFill>
                      <a:srgbClr val="000000"/>
                    </a:solidFill>
                    <a:latin typeface="Arial"/>
                    <a:ea typeface="Arial"/>
                    <a:cs typeface="Arial"/>
                  </a:defRPr>
                </a:pPr>
                <a:r>
                  <a:rPr lang="en-GB"/>
                  <a:t>Cars - '000s</a:t>
                </a:r>
              </a:p>
            </c:rich>
          </c:tx>
          <c:layout>
            <c:manualLayout>
              <c:xMode val="edge"/>
              <c:yMode val="edge"/>
              <c:x val="0"/>
              <c:y val="0.33846014413944253"/>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5257216"/>
        <c:crosses val="autoZero"/>
        <c:crossBetween val="between"/>
      </c:valAx>
      <c:catAx>
        <c:axId val="107649280"/>
        <c:scaling>
          <c:orientation val="minMax"/>
        </c:scaling>
        <c:delete val="1"/>
        <c:axPos val="b"/>
        <c:numFmt formatCode="General" sourceLinked="1"/>
        <c:tickLblPos val="none"/>
        <c:crossAx val="107655168"/>
        <c:crosses val="autoZero"/>
        <c:auto val="1"/>
        <c:lblAlgn val="ctr"/>
        <c:lblOffset val="100"/>
      </c:catAx>
      <c:valAx>
        <c:axId val="107655168"/>
        <c:scaling>
          <c:orientation val="minMax"/>
          <c:max val="275"/>
          <c:min val="50"/>
        </c:scaling>
        <c:axPos val="r"/>
        <c:title>
          <c:tx>
            <c:rich>
              <a:bodyPr rot="-5400000" vert="horz"/>
              <a:lstStyle/>
              <a:p>
                <a:pPr>
                  <a:defRPr/>
                </a:pPr>
                <a:r>
                  <a:rPr lang="en-US"/>
                  <a:t>CVs - '000s</a:t>
                </a:r>
              </a:p>
            </c:rich>
          </c:tx>
          <c:layout/>
        </c:title>
        <c:numFmt formatCode="General" sourceLinked="1"/>
        <c:tickLblPos val="nextTo"/>
        <c:crossAx val="107649280"/>
        <c:crosses val="max"/>
        <c:crossBetween val="between"/>
        <c:majorUnit val="25"/>
      </c:valAx>
    </c:plotArea>
    <c:legend>
      <c:legendPos val="r"/>
      <c:layout>
        <c:manualLayout>
          <c:xMode val="edge"/>
          <c:yMode val="edge"/>
          <c:x val="0.29703066029374398"/>
          <c:y val="0.13214308758211468"/>
          <c:w val="0.56435825455811384"/>
          <c:h val="0.11785734838404756"/>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000"/>
              <a:t>Cars</a:t>
            </a:r>
          </a:p>
        </c:rich>
      </c:tx>
      <c:layout/>
    </c:title>
    <c:plotArea>
      <c:layout>
        <c:manualLayout>
          <c:layoutTarget val="inner"/>
          <c:xMode val="edge"/>
          <c:yMode val="edge"/>
          <c:x val="0.21002714866827221"/>
          <c:y val="0.10629471316085501"/>
          <c:w val="0.67131380854620892"/>
          <c:h val="0.74333070866141771"/>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'PR-12MONTH-charts'!$AY$3:$DF$3</c:f>
              <c:numCache>
                <c:formatCode>General</c:formatCode>
                <c:ptCount val="60"/>
                <c:pt idx="0">
                  <c:v>2011</c:v>
                </c:pt>
                <c:pt idx="12">
                  <c:v>2012</c:v>
                </c:pt>
                <c:pt idx="24">
                  <c:v>2013</c:v>
                </c:pt>
                <c:pt idx="36">
                  <c:v>2014</c:v>
                </c:pt>
                <c:pt idx="48">
                  <c:v>2015</c:v>
                </c:pt>
              </c:numCache>
            </c:numRef>
          </c:cat>
          <c:val>
            <c:numRef>
              <c:f>'PR-12MONTH-charts'!$AY$4:$DF$4</c:f>
              <c:numCache>
                <c:formatCode>General</c:formatCode>
                <c:ptCount val="60"/>
                <c:pt idx="0">
                  <c:v>1279.4490000000001</c:v>
                </c:pt>
                <c:pt idx="1">
                  <c:v>1294.1769999999999</c:v>
                </c:pt>
                <c:pt idx="2">
                  <c:v>1311.607</c:v>
                </c:pt>
                <c:pt idx="3">
                  <c:v>1299.6229999999998</c:v>
                </c:pt>
                <c:pt idx="4">
                  <c:v>1294.538</c:v>
                </c:pt>
                <c:pt idx="5">
                  <c:v>1296.636</c:v>
                </c:pt>
                <c:pt idx="6">
                  <c:v>1297.9290000000001</c:v>
                </c:pt>
                <c:pt idx="7">
                  <c:v>1306.297</c:v>
                </c:pt>
                <c:pt idx="8">
                  <c:v>1315.8</c:v>
                </c:pt>
                <c:pt idx="9">
                  <c:v>1331.6559999999999</c:v>
                </c:pt>
                <c:pt idx="10">
                  <c:v>1342.337</c:v>
                </c:pt>
                <c:pt idx="11">
                  <c:v>1343.81</c:v>
                </c:pt>
                <c:pt idx="12">
                  <c:v>1361.165</c:v>
                </c:pt>
                <c:pt idx="13">
                  <c:v>1387.665</c:v>
                </c:pt>
                <c:pt idx="14">
                  <c:v>1388.0050000000001</c:v>
                </c:pt>
                <c:pt idx="15">
                  <c:v>1396.0509999999999</c:v>
                </c:pt>
                <c:pt idx="16">
                  <c:v>1437.9170000000001</c:v>
                </c:pt>
                <c:pt idx="17">
                  <c:v>1437.0739999999998</c:v>
                </c:pt>
                <c:pt idx="18">
                  <c:v>1459.3709999999999</c:v>
                </c:pt>
                <c:pt idx="19">
                  <c:v>1451.6979999999999</c:v>
                </c:pt>
              </c:numCache>
            </c:numRef>
          </c:val>
        </c:ser>
        <c:ser>
          <c:idx val="1"/>
          <c:order val="1"/>
          <c:tx>
            <c:strRef>
              <c:f>'PR-12MONTH-charts'!$AX$6</c:f>
              <c:strCache>
                <c:ptCount val="1"/>
                <c:pt idx="0">
                  <c:v>Forecast</c:v>
                </c:pt>
              </c:strCache>
            </c:strRef>
          </c:tx>
          <c:spPr>
            <a:ln>
              <a:solidFill>
                <a:schemeClr val="tx2">
                  <a:lumMod val="40000"/>
                  <a:lumOff val="60000"/>
                </a:schemeClr>
              </a:solidFill>
              <a:prstDash val="sysDash"/>
            </a:ln>
          </c:spPr>
          <c:marker>
            <c:symbol val="none"/>
          </c:marker>
          <c:cat>
            <c:numRef>
              <c:f>'PR-12MONTH-charts'!$AY$3:$DF$3</c:f>
              <c:numCache>
                <c:formatCode>General</c:formatCode>
                <c:ptCount val="60"/>
                <c:pt idx="0">
                  <c:v>2011</c:v>
                </c:pt>
                <c:pt idx="12">
                  <c:v>2012</c:v>
                </c:pt>
                <c:pt idx="24">
                  <c:v>2013</c:v>
                </c:pt>
                <c:pt idx="36">
                  <c:v>2014</c:v>
                </c:pt>
                <c:pt idx="48">
                  <c:v>2015</c:v>
                </c:pt>
              </c:numCache>
            </c:numRef>
          </c:cat>
          <c:val>
            <c:numRef>
              <c:f>'PR-12MONTH-charts'!$AY$6:$DF$6</c:f>
              <c:numCache>
                <c:formatCode>General</c:formatCode>
                <c:ptCount val="60"/>
                <c:pt idx="18">
                  <c:v>1459.3709999999999</c:v>
                </c:pt>
                <c:pt idx="19">
                  <c:v>1451.6979999999999</c:v>
                </c:pt>
                <c:pt idx="23">
                  <c:v>1530</c:v>
                </c:pt>
                <c:pt idx="35">
                  <c:v>1640</c:v>
                </c:pt>
                <c:pt idx="47">
                  <c:v>1790</c:v>
                </c:pt>
                <c:pt idx="59">
                  <c:v>2030</c:v>
                </c:pt>
              </c:numCache>
            </c:numRef>
          </c:val>
        </c:ser>
        <c:marker val="1"/>
        <c:axId val="109065344"/>
        <c:axId val="109066880"/>
      </c:lineChart>
      <c:catAx>
        <c:axId val="10906534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09066880"/>
        <c:crosses val="autoZero"/>
        <c:auto val="1"/>
        <c:lblAlgn val="ctr"/>
        <c:lblOffset val="100"/>
        <c:tickMarkSkip val="12"/>
      </c:catAx>
      <c:valAx>
        <c:axId val="109066880"/>
        <c:scaling>
          <c:orientation val="minMax"/>
          <c:min val="12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9065344"/>
        <c:crosses val="autoZero"/>
        <c:crossBetween val="between"/>
      </c:valAx>
    </c:plotArea>
    <c:legend>
      <c:legendPos val="r"/>
      <c:layout>
        <c:manualLayout>
          <c:xMode val="edge"/>
          <c:yMode val="edge"/>
          <c:x val="0.20462112153568968"/>
          <c:y val="0.12500021798308075"/>
          <c:w val="0.55115689187839023"/>
          <c:h val="7.1428695990332011E-2"/>
        </c:manualLayout>
      </c:layout>
      <c:txPr>
        <a:bodyPr/>
        <a:lstStyle/>
        <a:p>
          <a:pPr>
            <a:defRPr sz="600" b="0" i="0" u="none" strike="noStrike" baseline="0">
              <a:solidFill>
                <a:srgbClr val="000000"/>
              </a:solidFill>
              <a:latin typeface="Arial"/>
              <a:ea typeface="Arial"/>
              <a:cs typeface="Arial"/>
            </a:defRPr>
          </a:pPr>
          <a:endParaRPr lang="en-US"/>
        </a:p>
      </c:txPr>
    </c:legend>
    <c:plotVisOnly val="1"/>
    <c:dispBlanksAs val="span"/>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EE035-4F6E-400D-B85D-585D35C0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lawrek</cp:lastModifiedBy>
  <cp:revision>4</cp:revision>
  <cp:lastPrinted>2012-09-19T16:10:00Z</cp:lastPrinted>
  <dcterms:created xsi:type="dcterms:W3CDTF">2012-09-19T16:06:00Z</dcterms:created>
  <dcterms:modified xsi:type="dcterms:W3CDTF">2012-09-19T16:48:00Z</dcterms:modified>
</cp:coreProperties>
</file>