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jc w:val="center"/>
        <w:tblCellSpacing w:w="0" w:type="dxa"/>
        <w:tblCellMar>
          <w:left w:w="0" w:type="dxa"/>
          <w:right w:w="0" w:type="dxa"/>
        </w:tblCellMar>
        <w:tblLook w:val="04A0"/>
      </w:tblPr>
      <w:tblGrid>
        <w:gridCol w:w="9090"/>
        <w:gridCol w:w="36"/>
      </w:tblGrid>
      <w:tr w:rsidR="001A7D7F" w:rsidTr="001A7D7F">
        <w:trPr>
          <w:tblCellSpacing w:w="0" w:type="dxa"/>
          <w:jc w:val="center"/>
        </w:trPr>
        <w:tc>
          <w:tcPr>
            <w:tcW w:w="5000" w:type="pct"/>
            <w:gridSpan w:val="2"/>
            <w:tcMar>
              <w:top w:w="15" w:type="dxa"/>
              <w:left w:w="15" w:type="dxa"/>
              <w:bottom w:w="15" w:type="dxa"/>
              <w:right w:w="15" w:type="dxa"/>
            </w:tcMar>
            <w:vAlign w:val="center"/>
          </w:tcPr>
          <w:tbl>
            <w:tblPr>
              <w:tblW w:w="5000" w:type="pct"/>
              <w:tblCellSpacing w:w="0" w:type="dxa"/>
              <w:tblCellMar>
                <w:left w:w="0" w:type="dxa"/>
                <w:right w:w="0" w:type="dxa"/>
              </w:tblCellMar>
              <w:tblLook w:val="04A0"/>
            </w:tblPr>
            <w:tblGrid>
              <w:gridCol w:w="9096"/>
            </w:tblGrid>
            <w:tr w:rsidR="001A7D7F">
              <w:trPr>
                <w:tblCellSpacing w:w="0" w:type="dxa"/>
              </w:trPr>
              <w:tc>
                <w:tcPr>
                  <w:tcW w:w="0" w:type="auto"/>
                  <w:vAlign w:val="bottom"/>
                  <w:hideMark/>
                </w:tcPr>
                <w:p w:rsidR="001A7D7F" w:rsidRDefault="001A7D7F">
                  <w:pPr>
                    <w:spacing w:after="240"/>
                    <w:jc w:val="center"/>
                  </w:pPr>
                  <w:r>
                    <w:rPr>
                      <w:noProof/>
                    </w:rPr>
                    <w:drawing>
                      <wp:inline distT="0" distB="0" distL="0" distR="0">
                        <wp:extent cx="5715000" cy="914400"/>
                        <wp:effectExtent l="19050" t="0" r="0" b="0"/>
                        <wp:docPr id="1" name="Picture 1" descr="new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banner"/>
                                <pic:cNvPicPr>
                                  <a:picLocks noChangeAspect="1" noChangeArrowheads="1"/>
                                </pic:cNvPicPr>
                              </pic:nvPicPr>
                              <pic:blipFill>
                                <a:blip r:embed="rId4" cstate="print"/>
                                <a:srcRect/>
                                <a:stretch>
                                  <a:fillRect/>
                                </a:stretch>
                              </pic:blipFill>
                              <pic:spPr bwMode="auto">
                                <a:xfrm>
                                  <a:off x="0" y="0"/>
                                  <a:ext cx="5715000" cy="914400"/>
                                </a:xfrm>
                                <a:prstGeom prst="rect">
                                  <a:avLst/>
                                </a:prstGeom>
                                <a:noFill/>
                                <a:ln w="9525">
                                  <a:noFill/>
                                  <a:miter lim="800000"/>
                                  <a:headEnd/>
                                  <a:tailEnd/>
                                </a:ln>
                              </pic:spPr>
                            </pic:pic>
                          </a:graphicData>
                        </a:graphic>
                      </wp:inline>
                    </w:drawing>
                  </w:r>
                </w:p>
              </w:tc>
            </w:tr>
          </w:tbl>
          <w:p w:rsidR="001A7D7F" w:rsidRDefault="001A7D7F">
            <w:pPr>
              <w:rPr>
                <w:vanish/>
              </w:rPr>
            </w:pPr>
            <w:bookmarkStart w:id="0" w:name="LETTER.BLOCK2"/>
            <w:bookmarkEnd w:id="0"/>
          </w:p>
          <w:tbl>
            <w:tblPr>
              <w:tblW w:w="5000" w:type="pct"/>
              <w:tblCellSpacing w:w="0" w:type="dxa"/>
              <w:shd w:val="clear" w:color="auto" w:fill="FFFFFF"/>
              <w:tblCellMar>
                <w:left w:w="0" w:type="dxa"/>
                <w:right w:w="0" w:type="dxa"/>
              </w:tblCellMar>
              <w:tblLook w:val="04A0"/>
            </w:tblPr>
            <w:tblGrid>
              <w:gridCol w:w="9096"/>
            </w:tblGrid>
            <w:tr w:rsidR="001A7D7F">
              <w:trPr>
                <w:tblCellSpacing w:w="0" w:type="dxa"/>
              </w:trPr>
              <w:tc>
                <w:tcPr>
                  <w:tcW w:w="0" w:type="auto"/>
                  <w:shd w:val="clear" w:color="auto" w:fill="FFFFFF"/>
                  <w:tcMar>
                    <w:top w:w="30" w:type="dxa"/>
                    <w:left w:w="30" w:type="dxa"/>
                    <w:bottom w:w="30" w:type="dxa"/>
                    <w:right w:w="30" w:type="dxa"/>
                  </w:tcMar>
                  <w:vAlign w:val="center"/>
                  <w:hideMark/>
                </w:tcPr>
                <w:p w:rsidR="001A7D7F" w:rsidRDefault="001A7D7F">
                  <w:pPr>
                    <w:spacing w:after="150"/>
                    <w:rPr>
                      <w:rFonts w:ascii="Arial" w:hAnsi="Arial" w:cs="Arial"/>
                      <w:color w:val="FFFFFF"/>
                      <w:sz w:val="28"/>
                      <w:szCs w:val="28"/>
                    </w:rPr>
                  </w:pPr>
                  <w:r>
                    <w:rPr>
                      <w:rStyle w:val="Strong"/>
                      <w:rFonts w:ascii="Arial" w:hAnsi="Arial" w:cs="Arial"/>
                      <w:color w:val="000000"/>
                      <w:sz w:val="28"/>
                      <w:szCs w:val="28"/>
                    </w:rPr>
                    <w:t>Welcome</w:t>
                  </w:r>
                </w:p>
              </w:tc>
            </w:tr>
            <w:tr w:rsidR="001A7D7F">
              <w:trPr>
                <w:tblCellSpacing w:w="0" w:type="dxa"/>
              </w:trPr>
              <w:tc>
                <w:tcPr>
                  <w:tcW w:w="0" w:type="auto"/>
                  <w:shd w:val="clear" w:color="auto" w:fill="FFFFFF"/>
                  <w:tcMar>
                    <w:top w:w="30" w:type="dxa"/>
                    <w:left w:w="30" w:type="dxa"/>
                    <w:bottom w:w="30" w:type="dxa"/>
                    <w:right w:w="30" w:type="dxa"/>
                  </w:tcMar>
                  <w:vAlign w:val="center"/>
                  <w:hideMark/>
                </w:tcPr>
                <w:p w:rsidR="001A7D7F" w:rsidRDefault="001A7D7F">
                  <w:pPr>
                    <w:pStyle w:val="NormalWeb"/>
                    <w:spacing w:before="0" w:beforeAutospacing="0" w:after="0" w:afterAutospacing="0"/>
                    <w:ind w:left="1800"/>
                    <w:rPr>
                      <w:rFonts w:ascii="Arial" w:hAnsi="Arial" w:cs="Arial"/>
                      <w:color w:val="000000"/>
                      <w:sz w:val="20"/>
                      <w:szCs w:val="20"/>
                    </w:rPr>
                  </w:pPr>
                  <w:r>
                    <w:rPr>
                      <w:noProof/>
                    </w:rPr>
                    <w:drawing>
                      <wp:anchor distT="47625" distB="47625" distL="47625" distR="47625" simplePos="0" relativeHeight="251658240" behindDoc="0" locked="0" layoutInCell="1" allowOverlap="0">
                        <wp:simplePos x="0" y="0"/>
                        <wp:positionH relativeFrom="column">
                          <wp:align>left</wp:align>
                        </wp:positionH>
                        <wp:positionV relativeFrom="line">
                          <wp:posOffset>0</wp:posOffset>
                        </wp:positionV>
                        <wp:extent cx="952500" cy="1352550"/>
                        <wp:effectExtent l="19050" t="0" r="0" b="0"/>
                        <wp:wrapSquare wrapText="bothSides"/>
                        <wp:docPr id="9" name="Picture 2" descr="Paul Everitt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ul Everitt_NEW"/>
                                <pic:cNvPicPr>
                                  <a:picLocks noChangeAspect="1" noChangeArrowheads="1"/>
                                </pic:cNvPicPr>
                              </pic:nvPicPr>
                              <pic:blipFill>
                                <a:blip r:link="rId5" cstate="print"/>
                                <a:srcRect/>
                                <a:stretch>
                                  <a:fillRect/>
                                </a:stretch>
                              </pic:blipFill>
                              <pic:spPr bwMode="auto">
                                <a:xfrm>
                                  <a:off x="0" y="0"/>
                                  <a:ext cx="952500" cy="1352550"/>
                                </a:xfrm>
                                <a:prstGeom prst="rect">
                                  <a:avLst/>
                                </a:prstGeom>
                                <a:noFill/>
                              </pic:spPr>
                            </pic:pic>
                          </a:graphicData>
                        </a:graphic>
                      </wp:anchor>
                    </w:drawing>
                  </w:r>
                  <w:r>
                    <w:rPr>
                      <w:rFonts w:ascii="Arial" w:hAnsi="Arial" w:cs="Arial"/>
                      <w:color w:val="000000"/>
                      <w:sz w:val="20"/>
                      <w:szCs w:val="20"/>
                    </w:rPr>
                    <w:t>Despite today's reported dip in consumer confidence, the economy saw tentative signs of growth, up 0.5% for quarter one. ONS figures show manufacturing grew 1.1% during the period, while automotive manufacturing out-performed all the indicators, recording around 10% growth for vehicle and engine production for January to March. There's no doubt that the events in Japan will have a short-term impact on manufacturing levels and I have written to Vince Cable to highlight areas where government support would help to sustain the UK supply chain during this difficult period. At the end of next week there will be a lot of interest in April's new vehicle registration figures as these will give us a better indication of confidence in the market place.</w:t>
                  </w:r>
                </w:p>
                <w:p w:rsidR="001A7D7F" w:rsidRDefault="001A7D7F">
                  <w:pPr>
                    <w:pStyle w:val="NormalWeb"/>
                    <w:spacing w:before="0" w:beforeAutospacing="0" w:after="0" w:afterAutospacing="0"/>
                    <w:jc w:val="right"/>
                    <w:rPr>
                      <w:rFonts w:ascii="Arial" w:hAnsi="Arial" w:cs="Arial"/>
                      <w:color w:val="000000"/>
                      <w:sz w:val="20"/>
                      <w:szCs w:val="20"/>
                    </w:rPr>
                  </w:pPr>
                  <w:r>
                    <w:rPr>
                      <w:rFonts w:ascii="Arial" w:hAnsi="Arial" w:cs="Arial"/>
                      <w:color w:val="000000"/>
                      <w:sz w:val="20"/>
                      <w:szCs w:val="20"/>
                    </w:rPr>
                    <w:t>Paul Everitt, Chief Executive</w:t>
                  </w:r>
                </w:p>
              </w:tc>
            </w:tr>
          </w:tbl>
          <w:p w:rsidR="001A7D7F" w:rsidRDefault="001A7D7F">
            <w:pPr>
              <w:rPr>
                <w:rFonts w:eastAsia="Times New Roman"/>
              </w:rPr>
            </w:pPr>
          </w:p>
        </w:tc>
      </w:tr>
      <w:tr w:rsidR="001A7D7F" w:rsidTr="001A7D7F">
        <w:trPr>
          <w:tblCellSpacing w:w="0" w:type="dxa"/>
          <w:jc w:val="center"/>
        </w:trPr>
        <w:tc>
          <w:tcPr>
            <w:tcW w:w="0" w:type="auto"/>
            <w:shd w:val="clear" w:color="auto" w:fill="FFFFFF"/>
            <w:tcMar>
              <w:top w:w="15" w:type="dxa"/>
              <w:left w:w="15" w:type="dxa"/>
              <w:bottom w:w="15" w:type="dxa"/>
              <w:right w:w="15" w:type="dxa"/>
            </w:tcMar>
            <w:vAlign w:val="center"/>
            <w:hideMark/>
          </w:tcPr>
          <w:tbl>
            <w:tblPr>
              <w:tblW w:w="5000" w:type="pct"/>
              <w:tblCellSpacing w:w="0" w:type="dxa"/>
              <w:tblCellMar>
                <w:left w:w="0" w:type="dxa"/>
                <w:right w:w="0" w:type="dxa"/>
              </w:tblCellMar>
              <w:tblLook w:val="04A0"/>
            </w:tblPr>
            <w:tblGrid>
              <w:gridCol w:w="6623"/>
              <w:gridCol w:w="2437"/>
            </w:tblGrid>
            <w:tr w:rsidR="001A7D7F">
              <w:trPr>
                <w:tblCellSpacing w:w="0" w:type="dxa"/>
              </w:trPr>
              <w:tc>
                <w:tcPr>
                  <w:tcW w:w="5000" w:type="pct"/>
                  <w:gridSpan w:val="2"/>
                  <w:shd w:val="clear" w:color="auto" w:fill="FFFFFF"/>
                  <w:hideMark/>
                </w:tcPr>
                <w:p w:rsidR="001A7D7F" w:rsidRDefault="001A7D7F">
                  <w:pPr>
                    <w:rPr>
                      <w:rFonts w:asciiTheme="minorHAnsi" w:eastAsiaTheme="minorEastAsia" w:hAnsiTheme="minorHAnsi" w:cstheme="minorBidi"/>
                      <w:sz w:val="22"/>
                      <w:szCs w:val="22"/>
                    </w:rPr>
                  </w:pPr>
                </w:p>
              </w:tc>
            </w:tr>
            <w:tr w:rsidR="001A7D7F">
              <w:trPr>
                <w:tblCellSpacing w:w="0" w:type="dxa"/>
              </w:trPr>
              <w:tc>
                <w:tcPr>
                  <w:tcW w:w="0" w:type="auto"/>
                  <w:shd w:val="clear" w:color="auto" w:fill="FFFFFF"/>
                  <w:hideMark/>
                </w:tcPr>
                <w:tbl>
                  <w:tblPr>
                    <w:tblW w:w="5000" w:type="pct"/>
                    <w:tblCellSpacing w:w="0" w:type="dxa"/>
                    <w:tblCellMar>
                      <w:left w:w="0" w:type="dxa"/>
                      <w:right w:w="0" w:type="dxa"/>
                    </w:tblCellMar>
                    <w:tblLook w:val="04A0"/>
                  </w:tblPr>
                  <w:tblGrid>
                    <w:gridCol w:w="6623"/>
                  </w:tblGrid>
                  <w:tr w:rsidR="001A7D7F">
                    <w:trPr>
                      <w:tblCellSpacing w:w="0" w:type="dxa"/>
                    </w:trPr>
                    <w:tc>
                      <w:tcPr>
                        <w:tcW w:w="6600" w:type="dxa"/>
                        <w:tcMar>
                          <w:top w:w="105" w:type="dxa"/>
                          <w:left w:w="105" w:type="dxa"/>
                          <w:bottom w:w="105" w:type="dxa"/>
                          <w:right w:w="105" w:type="dxa"/>
                        </w:tcMar>
                        <w:vAlign w:val="center"/>
                      </w:tcPr>
                      <w:tbl>
                        <w:tblPr>
                          <w:tblW w:w="5000" w:type="pct"/>
                          <w:tblCellSpacing w:w="0" w:type="dxa"/>
                          <w:shd w:val="clear" w:color="auto" w:fill="FFFFFF"/>
                          <w:tblCellMar>
                            <w:left w:w="0" w:type="dxa"/>
                            <w:right w:w="0" w:type="dxa"/>
                          </w:tblCellMar>
                          <w:tblLook w:val="04A0"/>
                        </w:tblPr>
                        <w:tblGrid>
                          <w:gridCol w:w="6413"/>
                        </w:tblGrid>
                        <w:tr w:rsidR="001A7D7F">
                          <w:trPr>
                            <w:tblCellSpacing w:w="0" w:type="dxa"/>
                          </w:trPr>
                          <w:tc>
                            <w:tcPr>
                              <w:tcW w:w="0" w:type="auto"/>
                              <w:shd w:val="clear" w:color="auto" w:fill="D4DDE6"/>
                              <w:tcMar>
                                <w:top w:w="30" w:type="dxa"/>
                                <w:left w:w="30" w:type="dxa"/>
                                <w:bottom w:w="30" w:type="dxa"/>
                                <w:right w:w="30" w:type="dxa"/>
                              </w:tcMar>
                              <w:vAlign w:val="center"/>
                              <w:hideMark/>
                            </w:tcPr>
                            <w:p w:rsidR="001A7D7F" w:rsidRDefault="001A7D7F">
                              <w:pPr>
                                <w:pStyle w:val="NormalWeb"/>
                                <w:spacing w:before="0" w:beforeAutospacing="0" w:after="0" w:afterAutospacing="0"/>
                                <w:rPr>
                                  <w:rFonts w:ascii="Arial" w:hAnsi="Arial" w:cs="Arial"/>
                                  <w:sz w:val="28"/>
                                  <w:szCs w:val="28"/>
                                </w:rPr>
                              </w:pPr>
                              <w:bookmarkStart w:id="1" w:name="LETTER.BLOCK28"/>
                              <w:r>
                                <w:rPr>
                                  <w:rStyle w:val="Strong"/>
                                  <w:rFonts w:ascii="Arial" w:hAnsi="Arial" w:cs="Arial"/>
                                  <w:sz w:val="28"/>
                                  <w:szCs w:val="28"/>
                                </w:rPr>
                                <w:t>Automotive manufacturing up in March</w:t>
                              </w:r>
                              <w:bookmarkEnd w:id="1"/>
                              <w:r>
                                <w:rPr>
                                  <w:rFonts w:ascii="Arial" w:hAnsi="Arial" w:cs="Arial"/>
                                  <w:sz w:val="28"/>
                                  <w:szCs w:val="28"/>
                                </w:rPr>
                                <w:t xml:space="preserve"> </w:t>
                              </w:r>
                            </w:p>
                          </w:tc>
                        </w:tr>
                        <w:tr w:rsidR="001A7D7F">
                          <w:trPr>
                            <w:tblCellSpacing w:w="0" w:type="dxa"/>
                          </w:trPr>
                          <w:tc>
                            <w:tcPr>
                              <w:tcW w:w="0" w:type="auto"/>
                              <w:shd w:val="clear" w:color="auto" w:fill="FFFFFF"/>
                              <w:tcMar>
                                <w:top w:w="30" w:type="dxa"/>
                                <w:left w:w="30" w:type="dxa"/>
                                <w:bottom w:w="30" w:type="dxa"/>
                                <w:right w:w="30" w:type="dxa"/>
                              </w:tcMar>
                              <w:vAlign w:val="center"/>
                              <w:hideMark/>
                            </w:tcPr>
                            <w:p w:rsidR="001A7D7F" w:rsidRDefault="001A7D7F">
                              <w:pPr>
                                <w:pStyle w:val="NormalWeb"/>
                                <w:spacing w:before="0" w:beforeAutospacing="0" w:after="0" w:afterAutospacing="0"/>
                                <w:rPr>
                                  <w:rFonts w:ascii="Arial" w:hAnsi="Arial" w:cs="Arial"/>
                                  <w:sz w:val="20"/>
                                  <w:szCs w:val="20"/>
                                </w:rPr>
                              </w:pPr>
                              <w:r>
                                <w:rPr>
                                  <w:rFonts w:ascii="Arial" w:hAnsi="Arial" w:cs="Arial"/>
                                  <w:color w:val="000000"/>
                                  <w:sz w:val="20"/>
                                  <w:szCs w:val="20"/>
                                </w:rPr>
                                <w:t>Car output rose by 14.8% in March 2011, becoming the eighth consecutive monthly increase. Overall car output was up 13.0% over the first quarter, while engine production increased by 6.5% in March and by 9.4% over quarter one. This demonstrates encouraging growth across both car and engine sectors, d</w:t>
                              </w:r>
                              <w:r>
                                <w:rPr>
                                  <w:rFonts w:ascii="Arial" w:hAnsi="Arial" w:cs="Arial"/>
                                  <w:sz w:val="20"/>
                                  <w:szCs w:val="20"/>
                                </w:rPr>
                                <w:t xml:space="preserve">espite recent announcements of short-term difficulties from manufacturers affected by the Japanese earthquake. The rise in output and robust export demand indicate long-term strength and stability in the </w:t>
                              </w:r>
                              <w:proofErr w:type="spellStart"/>
                              <w:r>
                                <w:rPr>
                                  <w:rFonts w:ascii="Arial" w:hAnsi="Arial" w:cs="Arial"/>
                                  <w:sz w:val="20"/>
                                  <w:szCs w:val="20"/>
                                </w:rPr>
                                <w:t>industry.</w:t>
                              </w:r>
                              <w:r>
                                <w:rPr>
                                  <w:rFonts w:ascii="Arial" w:hAnsi="Arial" w:cs="Arial"/>
                                  <w:color w:val="000000"/>
                                  <w:sz w:val="20"/>
                                  <w:szCs w:val="20"/>
                                </w:rPr>
                                <w:t>Click</w:t>
                              </w:r>
                              <w:proofErr w:type="spellEnd"/>
                              <w:r>
                                <w:rPr>
                                  <w:rFonts w:ascii="Arial" w:hAnsi="Arial" w:cs="Arial"/>
                                  <w:color w:val="000000"/>
                                  <w:sz w:val="20"/>
                                  <w:szCs w:val="20"/>
                                </w:rPr>
                                <w:t xml:space="preserve"> </w:t>
                              </w:r>
                              <w:hyperlink r:id="rId6" w:tgtFrame="_blank" w:history="1">
                                <w:r>
                                  <w:rPr>
                                    <w:rStyle w:val="Hyperlink"/>
                                    <w:rFonts w:ascii="Arial" w:hAnsi="Arial" w:cs="Arial"/>
                                    <w:sz w:val="20"/>
                                    <w:szCs w:val="20"/>
                                  </w:rPr>
                                  <w:t>here</w:t>
                                </w:r>
                              </w:hyperlink>
                              <w:r>
                                <w:rPr>
                                  <w:rFonts w:ascii="Arial" w:hAnsi="Arial" w:cs="Arial"/>
                                  <w:color w:val="000000"/>
                                  <w:sz w:val="20"/>
                                  <w:szCs w:val="20"/>
                                </w:rPr>
                                <w:t>, to see the full data.</w:t>
                              </w:r>
                            </w:p>
                          </w:tc>
                        </w:tr>
                      </w:tbl>
                      <w:p w:rsidR="001A7D7F" w:rsidRDefault="001A7D7F">
                        <w:pPr>
                          <w:rPr>
                            <w:vanish/>
                          </w:rPr>
                        </w:pPr>
                        <w:bookmarkStart w:id="2" w:name="LETTER.BLOCK50"/>
                        <w:bookmarkEnd w:id="2"/>
                      </w:p>
                      <w:tbl>
                        <w:tblPr>
                          <w:tblW w:w="5000" w:type="pct"/>
                          <w:tblCellSpacing w:w="0" w:type="dxa"/>
                          <w:tblCellMar>
                            <w:left w:w="0" w:type="dxa"/>
                            <w:right w:w="0" w:type="dxa"/>
                          </w:tblCellMar>
                          <w:tblLook w:val="04A0"/>
                        </w:tblPr>
                        <w:tblGrid>
                          <w:gridCol w:w="6413"/>
                        </w:tblGrid>
                        <w:tr w:rsidR="001A7D7F">
                          <w:trPr>
                            <w:tblCellSpacing w:w="0" w:type="dxa"/>
                          </w:trPr>
                          <w:tc>
                            <w:tcPr>
                              <w:tcW w:w="0" w:type="auto"/>
                              <w:shd w:val="clear" w:color="auto" w:fill="D4DDE6"/>
                              <w:tcMar>
                                <w:top w:w="30" w:type="dxa"/>
                                <w:left w:w="30" w:type="dxa"/>
                                <w:bottom w:w="30" w:type="dxa"/>
                                <w:right w:w="30" w:type="dxa"/>
                              </w:tcMar>
                              <w:vAlign w:val="center"/>
                              <w:hideMark/>
                            </w:tcPr>
                            <w:p w:rsidR="001A7D7F" w:rsidRDefault="001A7D7F">
                              <w:pPr>
                                <w:pStyle w:val="NormalWeb"/>
                                <w:spacing w:before="0" w:beforeAutospacing="0" w:after="0" w:afterAutospacing="0"/>
                                <w:rPr>
                                  <w:rFonts w:ascii="Arial" w:hAnsi="Arial" w:cs="Arial"/>
                                  <w:color w:val="000000"/>
                                  <w:sz w:val="28"/>
                                  <w:szCs w:val="28"/>
                                </w:rPr>
                              </w:pPr>
                              <w:r>
                                <w:rPr>
                                  <w:rFonts w:ascii="Arial" w:hAnsi="Arial" w:cs="Arial"/>
                                  <w:b/>
                                  <w:bCs/>
                                  <w:color w:val="000000"/>
                                  <w:sz w:val="28"/>
                                  <w:szCs w:val="28"/>
                                </w:rPr>
                                <w:t>Logistics Forum continues to grow</w:t>
                              </w:r>
                            </w:p>
                          </w:tc>
                        </w:tr>
                        <w:tr w:rsidR="001A7D7F">
                          <w:trPr>
                            <w:tblCellSpacing w:w="0" w:type="dxa"/>
                          </w:trPr>
                          <w:tc>
                            <w:tcPr>
                              <w:tcW w:w="0" w:type="auto"/>
                              <w:tcMar>
                                <w:top w:w="30" w:type="dxa"/>
                                <w:left w:w="30" w:type="dxa"/>
                                <w:bottom w:w="30" w:type="dxa"/>
                                <w:right w:w="30" w:type="dxa"/>
                              </w:tcMar>
                              <w:vAlign w:val="center"/>
                              <w:hideMark/>
                            </w:tcPr>
                            <w:p w:rsidR="001A7D7F" w:rsidRDefault="001A7D7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SMMT hosted the fourth UK Logistics Forum this week. Attendees included representatives from major OEMs, Tier 1 companies and service providers. Updates on </w:t>
                              </w:r>
                              <w:r>
                                <w:rPr>
                                  <w:rFonts w:ascii="Arial" w:hAnsi="Arial" w:cs="Arial"/>
                                  <w:color w:val="000000"/>
                                  <w:sz w:val="20"/>
                                  <w:szCs w:val="20"/>
                                  <w:lang w:val="en-US"/>
                                </w:rPr>
                                <w:t xml:space="preserve">Registration Peak Dates, </w:t>
                              </w:r>
                              <w:proofErr w:type="spellStart"/>
                              <w:r>
                                <w:rPr>
                                  <w:rFonts w:ascii="Arial" w:hAnsi="Arial" w:cs="Arial"/>
                                  <w:color w:val="000000"/>
                                  <w:sz w:val="20"/>
                                  <w:szCs w:val="20"/>
                                  <w:lang w:val="en-US"/>
                                </w:rPr>
                                <w:t>Cabotage</w:t>
                              </w:r>
                              <w:proofErr w:type="spellEnd"/>
                              <w:r>
                                <w:rPr>
                                  <w:rFonts w:ascii="Arial" w:hAnsi="Arial" w:cs="Arial"/>
                                  <w:color w:val="000000"/>
                                  <w:sz w:val="20"/>
                                  <w:szCs w:val="20"/>
                                  <w:lang w:val="en-US"/>
                                </w:rPr>
                                <w:t xml:space="preserve"> Commercial Vehicle Trailer Heights and the </w:t>
                              </w:r>
                              <w:proofErr w:type="spellStart"/>
                              <w:r>
                                <w:rPr>
                                  <w:rFonts w:ascii="Arial" w:hAnsi="Arial" w:cs="Arial"/>
                                  <w:color w:val="000000"/>
                                  <w:sz w:val="20"/>
                                  <w:szCs w:val="20"/>
                                  <w:lang w:val="en-US"/>
                                </w:rPr>
                                <w:t>standardisation</w:t>
                              </w:r>
                              <w:proofErr w:type="spellEnd"/>
                              <w:r>
                                <w:rPr>
                                  <w:rFonts w:ascii="Arial" w:hAnsi="Arial" w:cs="Arial"/>
                                  <w:color w:val="000000"/>
                                  <w:sz w:val="20"/>
                                  <w:szCs w:val="20"/>
                                  <w:lang w:val="en-US"/>
                                </w:rPr>
                                <w:t xml:space="preserve"> of CO2 measurement were among a selection of topics discussed by the group. </w:t>
                              </w:r>
                              <w:r>
                                <w:rPr>
                                  <w:rFonts w:ascii="Arial" w:hAnsi="Arial" w:cs="Arial"/>
                                  <w:color w:val="000000"/>
                                  <w:sz w:val="20"/>
                                  <w:szCs w:val="20"/>
                                </w:rPr>
                                <w:t xml:space="preserve">Dates of the next two meetings were confirmed for 14 June and 13 September 2011. For further information about joining the Logistics Committee, contact </w:t>
                              </w:r>
                              <w:hyperlink r:id="rId7" w:tgtFrame="_blank" w:history="1">
                                <w:r>
                                  <w:rPr>
                                    <w:rStyle w:val="Hyperlink"/>
                                    <w:rFonts w:ascii="Arial" w:hAnsi="Arial" w:cs="Arial"/>
                                    <w:sz w:val="20"/>
                                    <w:szCs w:val="20"/>
                                  </w:rPr>
                                  <w:t>memberservices@smmt.co.uk</w:t>
                                </w:r>
                              </w:hyperlink>
                              <w:r>
                                <w:rPr>
                                  <w:rFonts w:ascii="Arial" w:hAnsi="Arial" w:cs="Arial"/>
                                  <w:color w:val="000000"/>
                                  <w:sz w:val="20"/>
                                  <w:szCs w:val="20"/>
                                </w:rPr>
                                <w:t xml:space="preserve">. </w:t>
                              </w:r>
                            </w:p>
                          </w:tc>
                        </w:tr>
                      </w:tbl>
                      <w:p w:rsidR="001A7D7F" w:rsidRDefault="001A7D7F">
                        <w:pPr>
                          <w:rPr>
                            <w:vanish/>
                          </w:rPr>
                        </w:pPr>
                        <w:bookmarkStart w:id="3" w:name="LETTER.BLOCK45"/>
                        <w:bookmarkEnd w:id="3"/>
                      </w:p>
                      <w:tbl>
                        <w:tblPr>
                          <w:tblW w:w="5000" w:type="pct"/>
                          <w:tblCellSpacing w:w="0" w:type="dxa"/>
                          <w:shd w:val="clear" w:color="auto" w:fill="FFFFFF"/>
                          <w:tblCellMar>
                            <w:left w:w="0" w:type="dxa"/>
                            <w:right w:w="0" w:type="dxa"/>
                          </w:tblCellMar>
                          <w:tblLook w:val="04A0"/>
                        </w:tblPr>
                        <w:tblGrid>
                          <w:gridCol w:w="6413"/>
                        </w:tblGrid>
                        <w:tr w:rsidR="001A7D7F">
                          <w:trPr>
                            <w:tblCellSpacing w:w="0" w:type="dxa"/>
                          </w:trPr>
                          <w:tc>
                            <w:tcPr>
                              <w:tcW w:w="0" w:type="auto"/>
                              <w:shd w:val="clear" w:color="auto" w:fill="D4DDE6"/>
                              <w:tcMar>
                                <w:top w:w="30" w:type="dxa"/>
                                <w:left w:w="30" w:type="dxa"/>
                                <w:bottom w:w="30" w:type="dxa"/>
                                <w:right w:w="30" w:type="dxa"/>
                              </w:tcMar>
                              <w:vAlign w:val="center"/>
                              <w:hideMark/>
                            </w:tcPr>
                            <w:p w:rsidR="001A7D7F" w:rsidRDefault="001A7D7F">
                              <w:pPr>
                                <w:pStyle w:val="NormalWeb"/>
                                <w:spacing w:before="0" w:beforeAutospacing="0" w:after="0" w:afterAutospacing="0"/>
                                <w:rPr>
                                  <w:rFonts w:ascii="Arial" w:hAnsi="Arial" w:cs="Arial"/>
                                  <w:sz w:val="28"/>
                                  <w:szCs w:val="28"/>
                                </w:rPr>
                              </w:pPr>
                              <w:r>
                                <w:rPr>
                                  <w:rStyle w:val="Strong"/>
                                  <w:rFonts w:ascii="Arial" w:hAnsi="Arial" w:cs="Arial"/>
                                  <w:sz w:val="28"/>
                                  <w:szCs w:val="28"/>
                                </w:rPr>
                                <w:t>Regional Growth Fund: Round two</w:t>
                              </w:r>
                            </w:p>
                          </w:tc>
                        </w:tr>
                        <w:tr w:rsidR="001A7D7F">
                          <w:trPr>
                            <w:tblCellSpacing w:w="0" w:type="dxa"/>
                          </w:trPr>
                          <w:tc>
                            <w:tcPr>
                              <w:tcW w:w="0" w:type="auto"/>
                              <w:shd w:val="clear" w:color="auto" w:fill="FFFFFF"/>
                              <w:tcMar>
                                <w:top w:w="30" w:type="dxa"/>
                                <w:left w:w="30" w:type="dxa"/>
                                <w:bottom w:w="30" w:type="dxa"/>
                                <w:right w:w="30" w:type="dxa"/>
                              </w:tcMar>
                              <w:vAlign w:val="center"/>
                              <w:hideMark/>
                            </w:tcPr>
                            <w:p w:rsidR="001A7D7F" w:rsidRDefault="001A7D7F">
                              <w:pPr>
                                <w:pStyle w:val="NormalWeb"/>
                                <w:spacing w:before="0" w:beforeAutospacing="0" w:after="0" w:afterAutospacing="0"/>
                                <w:rPr>
                                  <w:rFonts w:ascii="Arial" w:hAnsi="Arial" w:cs="Arial"/>
                                  <w:sz w:val="20"/>
                                  <w:szCs w:val="20"/>
                                </w:rPr>
                              </w:pPr>
                              <w:r>
                                <w:rPr>
                                  <w:rFonts w:ascii="Arial" w:hAnsi="Arial" w:cs="Arial"/>
                                  <w:sz w:val="20"/>
                                  <w:szCs w:val="20"/>
                                </w:rPr>
                                <w:t xml:space="preserve">SMMT will host its next </w:t>
                              </w:r>
                              <w:proofErr w:type="spellStart"/>
                              <w:r>
                                <w:rPr>
                                  <w:rFonts w:ascii="Arial" w:hAnsi="Arial" w:cs="Arial"/>
                                  <w:sz w:val="20"/>
                                  <w:szCs w:val="20"/>
                                </w:rPr>
                                <w:t>webinar</w:t>
                              </w:r>
                              <w:proofErr w:type="spellEnd"/>
                              <w:r>
                                <w:rPr>
                                  <w:rFonts w:ascii="Arial" w:hAnsi="Arial" w:cs="Arial"/>
                                  <w:sz w:val="20"/>
                                  <w:szCs w:val="20"/>
                                </w:rPr>
                                <w:t xml:space="preserve"> on 11 May at 11:30, which will focus on the second round bidding for the Regional Growth Fund. This round opened on 12 April and will allocate the remainder of fund (nearly £1bn). T</w:t>
                              </w:r>
                              <w:r>
                                <w:rPr>
                                  <w:rFonts w:ascii="Arial" w:hAnsi="Arial" w:cs="Arial"/>
                                  <w:color w:val="000000"/>
                                  <w:sz w:val="20"/>
                                  <w:szCs w:val="20"/>
                                </w:rPr>
                                <w:t>he Department of Business Innovation and Skills will present a 30 minute session</w:t>
                              </w:r>
                              <w:r>
                                <w:rPr>
                                  <w:rFonts w:ascii="Arial" w:hAnsi="Arial" w:cs="Arial"/>
                                  <w:sz w:val="20"/>
                                  <w:szCs w:val="20"/>
                                </w:rPr>
                                <w:t xml:space="preserve"> explaining the differences between rounds one and two and guide organisations through the application process, helping to ensure a successful bid. </w:t>
                              </w:r>
                              <w:r>
                                <w:rPr>
                                  <w:rFonts w:ascii="Arial" w:hAnsi="Arial" w:cs="Arial"/>
                                  <w:color w:val="000000"/>
                                  <w:sz w:val="20"/>
                                  <w:szCs w:val="20"/>
                                </w:rPr>
                                <w:t xml:space="preserve">To register for </w:t>
                              </w:r>
                              <w:proofErr w:type="spellStart"/>
                              <w:r>
                                <w:rPr>
                                  <w:rFonts w:ascii="Arial" w:hAnsi="Arial" w:cs="Arial"/>
                                  <w:color w:val="000000"/>
                                  <w:sz w:val="20"/>
                                  <w:szCs w:val="20"/>
                                </w:rPr>
                                <w:t>SMMT's</w:t>
                              </w:r>
                              <w:proofErr w:type="spellEnd"/>
                              <w:r>
                                <w:rPr>
                                  <w:rFonts w:ascii="Arial" w:hAnsi="Arial" w:cs="Arial"/>
                                  <w:color w:val="000000"/>
                                  <w:sz w:val="20"/>
                                  <w:szCs w:val="20"/>
                                </w:rPr>
                                <w:t xml:space="preserve"> next free RGF </w:t>
                              </w:r>
                              <w:proofErr w:type="spellStart"/>
                              <w:r>
                                <w:rPr>
                                  <w:rFonts w:ascii="Arial" w:hAnsi="Arial" w:cs="Arial"/>
                                  <w:color w:val="000000"/>
                                  <w:sz w:val="20"/>
                                  <w:szCs w:val="20"/>
                                </w:rPr>
                                <w:t>webinar</w:t>
                              </w:r>
                              <w:proofErr w:type="spellEnd"/>
                              <w:r>
                                <w:rPr>
                                  <w:rFonts w:ascii="Arial" w:hAnsi="Arial" w:cs="Arial"/>
                                  <w:color w:val="000000"/>
                                  <w:sz w:val="20"/>
                                  <w:szCs w:val="20"/>
                                </w:rPr>
                                <w:t xml:space="preserve">, </w:t>
                              </w:r>
                              <w:r>
                                <w:rPr>
                                  <w:rFonts w:ascii="Arial" w:hAnsi="Arial" w:cs="Arial"/>
                                  <w:sz w:val="20"/>
                                  <w:szCs w:val="20"/>
                                </w:rPr>
                                <w:t xml:space="preserve">click </w:t>
                              </w:r>
                              <w:hyperlink r:id="rId8" w:tgtFrame="_blank" w:history="1">
                                <w:r>
                                  <w:rPr>
                                    <w:rStyle w:val="Hyperlink"/>
                                    <w:rFonts w:ascii="Arial" w:hAnsi="Arial" w:cs="Arial"/>
                                    <w:sz w:val="20"/>
                                    <w:szCs w:val="20"/>
                                  </w:rPr>
                                  <w:t>here.</w:t>
                                </w:r>
                              </w:hyperlink>
                            </w:p>
                          </w:tc>
                        </w:tr>
                      </w:tbl>
                      <w:p w:rsidR="001A7D7F" w:rsidRDefault="001A7D7F">
                        <w:pPr>
                          <w:rPr>
                            <w:vanish/>
                          </w:rPr>
                        </w:pPr>
                        <w:bookmarkStart w:id="4" w:name="LETTER.BLOCK52"/>
                        <w:bookmarkEnd w:id="4"/>
                      </w:p>
                      <w:tbl>
                        <w:tblPr>
                          <w:tblW w:w="5000" w:type="pct"/>
                          <w:tblCellSpacing w:w="0" w:type="dxa"/>
                          <w:tblCellMar>
                            <w:left w:w="0" w:type="dxa"/>
                            <w:right w:w="0" w:type="dxa"/>
                          </w:tblCellMar>
                          <w:tblLook w:val="04A0"/>
                        </w:tblPr>
                        <w:tblGrid>
                          <w:gridCol w:w="6413"/>
                        </w:tblGrid>
                        <w:tr w:rsidR="001A7D7F">
                          <w:trPr>
                            <w:tblCellSpacing w:w="0" w:type="dxa"/>
                          </w:trPr>
                          <w:tc>
                            <w:tcPr>
                              <w:tcW w:w="0" w:type="auto"/>
                              <w:shd w:val="clear" w:color="auto" w:fill="D4DDE6"/>
                              <w:tcMar>
                                <w:top w:w="30" w:type="dxa"/>
                                <w:left w:w="30" w:type="dxa"/>
                                <w:bottom w:w="30" w:type="dxa"/>
                                <w:right w:w="30" w:type="dxa"/>
                              </w:tcMar>
                              <w:vAlign w:val="center"/>
                              <w:hideMark/>
                            </w:tcPr>
                            <w:p w:rsidR="001A7D7F" w:rsidRDefault="001A7D7F">
                              <w:pPr>
                                <w:pStyle w:val="NormalWeb"/>
                                <w:spacing w:before="0" w:beforeAutospacing="0" w:after="0" w:afterAutospacing="0"/>
                                <w:rPr>
                                  <w:rFonts w:ascii="Arial" w:hAnsi="Arial" w:cs="Arial"/>
                                  <w:color w:val="000000"/>
                                  <w:sz w:val="28"/>
                                  <w:szCs w:val="28"/>
                                </w:rPr>
                              </w:pPr>
                              <w:r>
                                <w:rPr>
                                  <w:rStyle w:val="Strong"/>
                                  <w:rFonts w:ascii="Arial" w:hAnsi="Arial" w:cs="Arial"/>
                                  <w:color w:val="000000"/>
                                  <w:sz w:val="28"/>
                                  <w:szCs w:val="28"/>
                                </w:rPr>
                                <w:t xml:space="preserve">Nominate </w:t>
                              </w:r>
                              <w:proofErr w:type="spellStart"/>
                              <w:r>
                                <w:rPr>
                                  <w:rStyle w:val="Strong"/>
                                  <w:rFonts w:ascii="Arial" w:hAnsi="Arial" w:cs="Arial"/>
                                  <w:color w:val="000000"/>
                                  <w:sz w:val="28"/>
                                  <w:szCs w:val="28"/>
                                </w:rPr>
                                <w:t>eSafety</w:t>
                              </w:r>
                              <w:proofErr w:type="spellEnd"/>
                              <w:r>
                                <w:rPr>
                                  <w:rStyle w:val="Strong"/>
                                  <w:rFonts w:ascii="Arial" w:hAnsi="Arial" w:cs="Arial"/>
                                  <w:color w:val="000000"/>
                                  <w:sz w:val="28"/>
                                  <w:szCs w:val="28"/>
                                </w:rPr>
                                <w:t xml:space="preserve"> achievers</w:t>
                              </w:r>
                            </w:p>
                          </w:tc>
                        </w:tr>
                        <w:tr w:rsidR="001A7D7F">
                          <w:trPr>
                            <w:tblCellSpacing w:w="0" w:type="dxa"/>
                          </w:trPr>
                          <w:tc>
                            <w:tcPr>
                              <w:tcW w:w="0" w:type="auto"/>
                              <w:tcMar>
                                <w:top w:w="30" w:type="dxa"/>
                                <w:left w:w="30" w:type="dxa"/>
                                <w:bottom w:w="30" w:type="dxa"/>
                                <w:right w:w="30" w:type="dxa"/>
                              </w:tcMar>
                              <w:vAlign w:val="center"/>
                              <w:hideMark/>
                            </w:tcPr>
                            <w:p w:rsidR="001A7D7F" w:rsidRDefault="001A7D7F">
                              <w:pPr>
                                <w:pStyle w:val="NormalWeb"/>
                                <w:spacing w:before="0" w:beforeAutospacing="0" w:after="0" w:afterAutospacing="0"/>
                                <w:rPr>
                                  <w:rFonts w:ascii="Arial" w:hAnsi="Arial" w:cs="Arial"/>
                                  <w:color w:val="285685"/>
                                </w:rPr>
                              </w:pPr>
                              <w:r>
                                <w:rPr>
                                  <w:rFonts w:ascii="Arial" w:hAnsi="Arial" w:cs="Arial"/>
                                  <w:color w:val="000000"/>
                                  <w:sz w:val="20"/>
                                  <w:szCs w:val="20"/>
                                </w:rPr>
                                <w:t xml:space="preserve">Organisers of the third </w:t>
                              </w:r>
                              <w:proofErr w:type="spellStart"/>
                              <w:r>
                                <w:rPr>
                                  <w:rFonts w:ascii="Arial" w:hAnsi="Arial" w:cs="Arial"/>
                                  <w:color w:val="000000"/>
                                  <w:sz w:val="20"/>
                                  <w:szCs w:val="20"/>
                                </w:rPr>
                                <w:t>eSafety</w:t>
                              </w:r>
                              <w:proofErr w:type="spellEnd"/>
                              <w:r>
                                <w:rPr>
                                  <w:rFonts w:ascii="Arial" w:hAnsi="Arial" w:cs="Arial"/>
                                  <w:color w:val="000000"/>
                                  <w:sz w:val="20"/>
                                  <w:szCs w:val="20"/>
                                </w:rPr>
                                <w:t xml:space="preserve"> Challenge event are calling for nominations for this year's excellence prizes. There are three awards available at this year's event, held in Vienna on 30 and 31 May including excellence in marketing and sales, driver training and car </w:t>
                              </w:r>
                              <w:r>
                                <w:rPr>
                                  <w:rFonts w:ascii="Arial" w:hAnsi="Arial" w:cs="Arial"/>
                                  <w:color w:val="000000"/>
                                  <w:sz w:val="20"/>
                                  <w:szCs w:val="20"/>
                                </w:rPr>
                                <w:lastRenderedPageBreak/>
                                <w:t xml:space="preserve">dealership. To nominate an organisation, contact </w:t>
                              </w:r>
                              <w:hyperlink r:id="rId9" w:tgtFrame="_blank" w:history="1">
                                <w:r>
                                  <w:rPr>
                                    <w:rStyle w:val="Hyperlink"/>
                                    <w:rFonts w:ascii="Arial" w:hAnsi="Arial" w:cs="Arial"/>
                                    <w:sz w:val="20"/>
                                    <w:szCs w:val="20"/>
                                  </w:rPr>
                                  <w:t>s.rodriguez@eSafetyAware.eu</w:t>
                                </w:r>
                              </w:hyperlink>
                              <w:r>
                                <w:rPr>
                                  <w:rFonts w:ascii="Arial" w:hAnsi="Arial" w:cs="Arial"/>
                                  <w:color w:val="000000"/>
                                  <w:sz w:val="20"/>
                                  <w:szCs w:val="20"/>
                                </w:rPr>
                                <w:t xml:space="preserve">. The </w:t>
                              </w:r>
                              <w:proofErr w:type="spellStart"/>
                              <w:r>
                                <w:rPr>
                                  <w:rFonts w:ascii="Arial" w:hAnsi="Arial" w:cs="Arial"/>
                                  <w:color w:val="000000"/>
                                  <w:sz w:val="20"/>
                                  <w:szCs w:val="20"/>
                                </w:rPr>
                                <w:t>eSafety</w:t>
                              </w:r>
                              <w:proofErr w:type="spellEnd"/>
                              <w:r>
                                <w:rPr>
                                  <w:rFonts w:ascii="Arial" w:hAnsi="Arial" w:cs="Arial"/>
                                  <w:color w:val="000000"/>
                                  <w:sz w:val="20"/>
                                  <w:szCs w:val="20"/>
                                </w:rPr>
                                <w:t xml:space="preserve"> Challenge is an annual event that promotes and highlights the life-saving potential of advanced vehicle safety technologies. Admittance to the event is free, but registrations will be handled on a first come, first served basis. To attend the event, click </w:t>
                              </w:r>
                              <w:hyperlink r:id="rId10" w:tgtFrame="_blank" w:history="1">
                                <w:r>
                                  <w:rPr>
                                    <w:rStyle w:val="Hyperlink"/>
                                    <w:rFonts w:ascii="Arial" w:hAnsi="Arial" w:cs="Arial"/>
                                    <w:sz w:val="20"/>
                                    <w:szCs w:val="20"/>
                                  </w:rPr>
                                  <w:t>here.</w:t>
                                </w:r>
                              </w:hyperlink>
                            </w:p>
                          </w:tc>
                        </w:tr>
                      </w:tbl>
                      <w:p w:rsidR="001A7D7F" w:rsidRDefault="001A7D7F">
                        <w:pPr>
                          <w:rPr>
                            <w:vanish/>
                          </w:rPr>
                        </w:pPr>
                        <w:bookmarkStart w:id="5" w:name="LETTER.BLOCK49"/>
                        <w:bookmarkEnd w:id="5"/>
                      </w:p>
                      <w:tbl>
                        <w:tblPr>
                          <w:tblW w:w="5000" w:type="pct"/>
                          <w:tblCellSpacing w:w="0" w:type="dxa"/>
                          <w:shd w:val="clear" w:color="auto" w:fill="FFFFFF"/>
                          <w:tblCellMar>
                            <w:left w:w="0" w:type="dxa"/>
                            <w:right w:w="0" w:type="dxa"/>
                          </w:tblCellMar>
                          <w:tblLook w:val="04A0"/>
                        </w:tblPr>
                        <w:tblGrid>
                          <w:gridCol w:w="6413"/>
                        </w:tblGrid>
                        <w:tr w:rsidR="001A7D7F">
                          <w:trPr>
                            <w:tblCellSpacing w:w="0" w:type="dxa"/>
                          </w:trPr>
                          <w:tc>
                            <w:tcPr>
                              <w:tcW w:w="0" w:type="auto"/>
                              <w:shd w:val="clear" w:color="auto" w:fill="D4DDE6"/>
                              <w:tcMar>
                                <w:top w:w="30" w:type="dxa"/>
                                <w:left w:w="30" w:type="dxa"/>
                                <w:bottom w:w="30" w:type="dxa"/>
                                <w:right w:w="30" w:type="dxa"/>
                              </w:tcMar>
                              <w:vAlign w:val="center"/>
                              <w:hideMark/>
                            </w:tcPr>
                            <w:p w:rsidR="001A7D7F" w:rsidRDefault="001A7D7F">
                              <w:pPr>
                                <w:pStyle w:val="NormalWeb"/>
                                <w:spacing w:before="0" w:beforeAutospacing="0" w:after="0" w:afterAutospacing="0"/>
                                <w:rPr>
                                  <w:rFonts w:ascii="Arial" w:hAnsi="Arial" w:cs="Arial"/>
                                  <w:sz w:val="28"/>
                                  <w:szCs w:val="28"/>
                                </w:rPr>
                              </w:pPr>
                              <w:r>
                                <w:rPr>
                                  <w:rStyle w:val="Strong"/>
                                  <w:rFonts w:ascii="Arial" w:hAnsi="Arial" w:cs="Arial"/>
                                  <w:color w:val="000000"/>
                                  <w:sz w:val="28"/>
                                  <w:szCs w:val="28"/>
                                </w:rPr>
                                <w:t>Week in Brussels and Westminster </w:t>
                              </w:r>
                            </w:p>
                          </w:tc>
                        </w:tr>
                        <w:tr w:rsidR="001A7D7F">
                          <w:trPr>
                            <w:tblCellSpacing w:w="0" w:type="dxa"/>
                          </w:trPr>
                          <w:tc>
                            <w:tcPr>
                              <w:tcW w:w="0" w:type="auto"/>
                              <w:shd w:val="clear" w:color="auto" w:fill="FFFFFF"/>
                              <w:tcMar>
                                <w:top w:w="30" w:type="dxa"/>
                                <w:left w:w="30" w:type="dxa"/>
                                <w:bottom w:w="30" w:type="dxa"/>
                                <w:right w:w="30" w:type="dxa"/>
                              </w:tcMar>
                              <w:vAlign w:val="center"/>
                              <w:hideMark/>
                            </w:tcPr>
                            <w:p w:rsidR="001A7D7F" w:rsidRDefault="001A7D7F">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1A7D7F" w:rsidRDefault="001A7D7F">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This week in Brussels, the European Commission issued a consultation on proposed changes to the monitoring and reporting guidelines for the </w:t>
                              </w:r>
                              <w:proofErr w:type="spellStart"/>
                              <w:r>
                                <w:rPr>
                                  <w:rFonts w:ascii="Arial" w:hAnsi="Arial" w:cs="Arial"/>
                                  <w:color w:val="000000"/>
                                  <w:sz w:val="20"/>
                                  <w:szCs w:val="20"/>
                                </w:rPr>
                                <w:t>EU's</w:t>
                              </w:r>
                              <w:proofErr w:type="spellEnd"/>
                              <w:r>
                                <w:rPr>
                                  <w:rFonts w:ascii="Arial" w:hAnsi="Arial" w:cs="Arial"/>
                                  <w:color w:val="000000"/>
                                  <w:sz w:val="20"/>
                                  <w:szCs w:val="20"/>
                                </w:rPr>
                                <w:t xml:space="preserve"> Emissions Trading Scheme (EU ETS). The Commission will publish two new regulations by the end of 2011, which will replace the current guidelines as stated in the EU ETS directive from 2009. To read more, click </w:t>
                              </w:r>
                              <w:hyperlink r:id="rId11" w:tgtFrame="_blank" w:history="1">
                                <w:r>
                                  <w:rPr>
                                    <w:rStyle w:val="Hyperlink"/>
                                    <w:rFonts w:ascii="Arial" w:hAnsi="Arial" w:cs="Arial"/>
                                    <w:sz w:val="20"/>
                                    <w:szCs w:val="20"/>
                                  </w:rPr>
                                  <w:t>here</w:t>
                                </w:r>
                              </w:hyperlink>
                              <w:r>
                                <w:rPr>
                                  <w:rFonts w:ascii="Arial" w:hAnsi="Arial" w:cs="Arial"/>
                                  <w:color w:val="000000"/>
                                  <w:sz w:val="20"/>
                                  <w:szCs w:val="20"/>
                                </w:rPr>
                                <w:t>. </w:t>
                              </w:r>
                            </w:p>
                            <w:p w:rsidR="001A7D7F" w:rsidRDefault="001A7D7F">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1A7D7F" w:rsidRDefault="001A7D7F">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This week in Westminster, the CBI published a report looking at the attractiveness of the UK as a place to invest. The report </w:t>
                              </w:r>
                              <w:r>
                                <w:rPr>
                                  <w:rStyle w:val="Emphasis"/>
                                  <w:rFonts w:ascii="Arial" w:hAnsi="Arial" w:cs="Arial"/>
                                  <w:color w:val="000000"/>
                                  <w:sz w:val="20"/>
                                  <w:szCs w:val="20"/>
                                </w:rPr>
                                <w:t>'Making the UK the best place to invest'</w:t>
                              </w:r>
                              <w:r>
                                <w:rPr>
                                  <w:rFonts w:ascii="Arial" w:hAnsi="Arial" w:cs="Arial"/>
                                  <w:color w:val="000000"/>
                                  <w:sz w:val="20"/>
                                  <w:szCs w:val="20"/>
                                </w:rPr>
                                <w:t xml:space="preserve"> makes the case for business investment in the UK, outlining strengths and opportunities for international investment. Particular drivers for investment include the UK's science base and R&amp;D capabilities, with barriers to investment including the lack of </w:t>
                              </w:r>
                              <w:proofErr w:type="gramStart"/>
                              <w:r>
                                <w:rPr>
                                  <w:rFonts w:ascii="Arial" w:hAnsi="Arial" w:cs="Arial"/>
                                  <w:color w:val="000000"/>
                                  <w:sz w:val="20"/>
                                  <w:szCs w:val="20"/>
                                </w:rPr>
                                <w:t>a long</w:t>
                              </w:r>
                              <w:proofErr w:type="gramEnd"/>
                              <w:r>
                                <w:rPr>
                                  <w:rFonts w:ascii="Arial" w:hAnsi="Arial" w:cs="Arial"/>
                                  <w:color w:val="000000"/>
                                  <w:sz w:val="20"/>
                                  <w:szCs w:val="20"/>
                                </w:rPr>
                                <w:t xml:space="preserve"> term predictability in business incentives, skills shortages in science, technology and maths and the impact of regulation. To read more, click </w:t>
                              </w:r>
                              <w:hyperlink r:id="rId12" w:tgtFrame="_blank" w:history="1">
                                <w:r>
                                  <w:rPr>
                                    <w:rStyle w:val="Hyperlink"/>
                                    <w:rFonts w:ascii="Arial" w:hAnsi="Arial" w:cs="Arial"/>
                                    <w:sz w:val="20"/>
                                    <w:szCs w:val="20"/>
                                  </w:rPr>
                                  <w:t>here</w:t>
                                </w:r>
                              </w:hyperlink>
                              <w:r>
                                <w:rPr>
                                  <w:rFonts w:ascii="Arial" w:hAnsi="Arial" w:cs="Arial"/>
                                  <w:color w:val="000000"/>
                                  <w:sz w:val="20"/>
                                  <w:szCs w:val="20"/>
                                </w:rPr>
                                <w:t>.</w:t>
                              </w:r>
                            </w:p>
                          </w:tc>
                        </w:tr>
                      </w:tbl>
                      <w:p w:rsidR="001A7D7F" w:rsidRDefault="001A7D7F">
                        <w:pPr>
                          <w:rPr>
                            <w:rFonts w:eastAsia="Times New Roman"/>
                          </w:rPr>
                        </w:pPr>
                      </w:p>
                    </w:tc>
                  </w:tr>
                  <w:tr w:rsidR="001A7D7F">
                    <w:trPr>
                      <w:tblCellSpacing w:w="0" w:type="dxa"/>
                    </w:trPr>
                    <w:tc>
                      <w:tcPr>
                        <w:tcW w:w="5000" w:type="pct"/>
                        <w:shd w:val="clear" w:color="auto" w:fill="FFFFFF"/>
                        <w:tcMar>
                          <w:top w:w="105" w:type="dxa"/>
                          <w:left w:w="105" w:type="dxa"/>
                          <w:bottom w:w="105" w:type="dxa"/>
                          <w:right w:w="105" w:type="dxa"/>
                        </w:tcMar>
                        <w:hideMark/>
                      </w:tcPr>
                      <w:p w:rsidR="001A7D7F" w:rsidRDefault="001A7D7F">
                        <w:pPr>
                          <w:rPr>
                            <w:rFonts w:asciiTheme="minorHAnsi" w:eastAsiaTheme="minorEastAsia" w:hAnsiTheme="minorHAnsi" w:cstheme="minorBidi"/>
                            <w:sz w:val="22"/>
                            <w:szCs w:val="22"/>
                          </w:rPr>
                        </w:pPr>
                      </w:p>
                    </w:tc>
                  </w:tr>
                </w:tbl>
                <w:p w:rsidR="001A7D7F" w:rsidRDefault="001A7D7F">
                  <w:pPr>
                    <w:rPr>
                      <w:rFonts w:asciiTheme="minorHAnsi" w:eastAsiaTheme="minorEastAsia" w:hAnsiTheme="minorHAnsi" w:cstheme="minorBidi"/>
                      <w:sz w:val="22"/>
                      <w:szCs w:val="22"/>
                    </w:rPr>
                  </w:pPr>
                </w:p>
              </w:tc>
              <w:tc>
                <w:tcPr>
                  <w:tcW w:w="0" w:type="auto"/>
                  <w:shd w:val="clear" w:color="auto" w:fill="FFFFFF"/>
                  <w:hideMark/>
                </w:tcPr>
                <w:tbl>
                  <w:tblPr>
                    <w:tblW w:w="2400" w:type="dxa"/>
                    <w:tblCellSpacing w:w="0" w:type="dxa"/>
                    <w:tblCellMar>
                      <w:left w:w="0" w:type="dxa"/>
                      <w:right w:w="0" w:type="dxa"/>
                    </w:tblCellMar>
                    <w:tblLook w:val="04A0"/>
                  </w:tblPr>
                  <w:tblGrid>
                    <w:gridCol w:w="2430"/>
                  </w:tblGrid>
                  <w:tr w:rsidR="001A7D7F">
                    <w:trPr>
                      <w:tblCellSpacing w:w="0" w:type="dxa"/>
                    </w:trPr>
                    <w:tc>
                      <w:tcPr>
                        <w:tcW w:w="5000" w:type="pct"/>
                      </w:tcPr>
                      <w:tbl>
                        <w:tblPr>
                          <w:tblW w:w="5000" w:type="pct"/>
                          <w:tblCellSpacing w:w="0" w:type="dxa"/>
                          <w:shd w:val="clear" w:color="auto" w:fill="FFFFFF"/>
                          <w:tblCellMar>
                            <w:left w:w="0" w:type="dxa"/>
                            <w:right w:w="0" w:type="dxa"/>
                          </w:tblCellMar>
                          <w:tblLook w:val="04A0"/>
                        </w:tblPr>
                        <w:tblGrid>
                          <w:gridCol w:w="2430"/>
                        </w:tblGrid>
                        <w:tr w:rsidR="001A7D7F">
                          <w:trPr>
                            <w:tblCellSpacing w:w="0" w:type="dxa"/>
                          </w:trPr>
                          <w:tc>
                            <w:tcPr>
                              <w:tcW w:w="5000" w:type="pct"/>
                              <w:shd w:val="clear" w:color="auto" w:fill="FFFFFF"/>
                              <w:tcMar>
                                <w:top w:w="30" w:type="dxa"/>
                                <w:left w:w="30" w:type="dxa"/>
                                <w:bottom w:w="30" w:type="dxa"/>
                                <w:right w:w="30" w:type="dxa"/>
                              </w:tcMar>
                              <w:vAlign w:val="center"/>
                              <w:hideMark/>
                            </w:tcPr>
                            <w:p w:rsidR="001A7D7F" w:rsidRDefault="001A7D7F">
                              <w:pPr>
                                <w:spacing w:after="150"/>
                                <w:jc w:val="center"/>
                                <w:rPr>
                                  <w:rFonts w:ascii="Verdana" w:hAnsi="Verdana"/>
                                  <w:color w:val="EDEDED"/>
                                  <w:sz w:val="20"/>
                                  <w:szCs w:val="20"/>
                                </w:rPr>
                              </w:pPr>
                              <w:r>
                                <w:rPr>
                                  <w:rFonts w:ascii="Arial" w:hAnsi="Arial" w:cs="Arial"/>
                                  <w:b/>
                                  <w:bCs/>
                                  <w:color w:val="000000"/>
                                  <w:sz w:val="20"/>
                                  <w:szCs w:val="20"/>
                                </w:rPr>
                                <w:lastRenderedPageBreak/>
                                <w:t>Twitter</w:t>
                              </w:r>
                            </w:p>
                          </w:tc>
                        </w:tr>
                        <w:tr w:rsidR="001A7D7F">
                          <w:trPr>
                            <w:tblCellSpacing w:w="0" w:type="dxa"/>
                          </w:trPr>
                          <w:tc>
                            <w:tcPr>
                              <w:tcW w:w="5000" w:type="pct"/>
                              <w:shd w:val="clear" w:color="auto" w:fill="FFFFFF"/>
                              <w:tcMar>
                                <w:top w:w="150" w:type="dxa"/>
                                <w:left w:w="45" w:type="dxa"/>
                                <w:bottom w:w="30" w:type="dxa"/>
                                <w:right w:w="45" w:type="dxa"/>
                              </w:tcMar>
                              <w:vAlign w:val="center"/>
                              <w:hideMark/>
                            </w:tcPr>
                            <w:p w:rsidR="001A7D7F" w:rsidRDefault="001A7D7F">
                              <w:pPr>
                                <w:spacing w:after="150"/>
                                <w:jc w:val="center"/>
                                <w:rPr>
                                  <w:rFonts w:ascii="Verdana" w:hAnsi="Verdana"/>
                                  <w:color w:val="285685"/>
                                  <w:sz w:val="16"/>
                                  <w:szCs w:val="16"/>
                                </w:rPr>
                              </w:pPr>
                              <w:r>
                                <w:rPr>
                                  <w:rFonts w:ascii="Verdana" w:hAnsi="Verdana"/>
                                  <w:noProof/>
                                  <w:color w:val="0000FF"/>
                                  <w:sz w:val="16"/>
                                  <w:szCs w:val="16"/>
                                </w:rPr>
                                <w:drawing>
                                  <wp:inline distT="0" distB="0" distL="0" distR="0">
                                    <wp:extent cx="857250" cy="857250"/>
                                    <wp:effectExtent l="19050" t="0" r="0" b="0"/>
                                    <wp:docPr id="2" name="Picture 2" descr="twitter">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
                                            <pic:cNvPicPr>
                                              <a:picLocks noChangeAspect="1" noChangeArrowheads="1"/>
                                            </pic:cNvPicPr>
                                          </pic:nvPicPr>
                                          <pic:blipFill>
                                            <a:blip r:embed="rId14" cstate="print"/>
                                            <a:srcRect/>
                                            <a:stretch>
                                              <a:fillRect/>
                                            </a:stretch>
                                          </pic:blipFill>
                                          <pic:spPr bwMode="auto">
                                            <a:xfrm>
                                              <a:off x="0" y="0"/>
                                              <a:ext cx="857250" cy="857250"/>
                                            </a:xfrm>
                                            <a:prstGeom prst="rect">
                                              <a:avLst/>
                                            </a:prstGeom>
                                            <a:noFill/>
                                            <a:ln w="9525">
                                              <a:noFill/>
                                              <a:miter lim="800000"/>
                                              <a:headEnd/>
                                              <a:tailEnd/>
                                            </a:ln>
                                          </pic:spPr>
                                        </pic:pic>
                                      </a:graphicData>
                                    </a:graphic>
                                  </wp:inline>
                                </w:drawing>
                              </w:r>
                            </w:p>
                          </w:tc>
                        </w:tr>
                      </w:tbl>
                      <w:p w:rsidR="001A7D7F" w:rsidRDefault="001A7D7F">
                        <w:pPr>
                          <w:rPr>
                            <w:vanish/>
                          </w:rPr>
                        </w:pPr>
                      </w:p>
                      <w:tbl>
                        <w:tblPr>
                          <w:tblW w:w="5000" w:type="pct"/>
                          <w:tblCellSpacing w:w="0" w:type="dxa"/>
                          <w:shd w:val="clear" w:color="auto" w:fill="FFFFFF"/>
                          <w:tblCellMar>
                            <w:left w:w="0" w:type="dxa"/>
                            <w:right w:w="0" w:type="dxa"/>
                          </w:tblCellMar>
                          <w:tblLook w:val="04A0"/>
                        </w:tblPr>
                        <w:tblGrid>
                          <w:gridCol w:w="2430"/>
                        </w:tblGrid>
                        <w:tr w:rsidR="001A7D7F">
                          <w:trPr>
                            <w:tblCellSpacing w:w="0" w:type="dxa"/>
                          </w:trPr>
                          <w:tc>
                            <w:tcPr>
                              <w:tcW w:w="5000" w:type="pct"/>
                              <w:shd w:val="clear" w:color="auto" w:fill="FFFFFF"/>
                              <w:tcMar>
                                <w:top w:w="30" w:type="dxa"/>
                                <w:left w:w="30" w:type="dxa"/>
                                <w:bottom w:w="30" w:type="dxa"/>
                                <w:right w:w="30" w:type="dxa"/>
                              </w:tcMar>
                              <w:vAlign w:val="center"/>
                              <w:hideMark/>
                            </w:tcPr>
                            <w:p w:rsidR="001A7D7F" w:rsidRDefault="001A7D7F">
                              <w:pPr>
                                <w:spacing w:after="150"/>
                                <w:jc w:val="center"/>
                                <w:rPr>
                                  <w:rFonts w:ascii="Verdana" w:hAnsi="Verdana"/>
                                  <w:color w:val="EDEDED"/>
                                  <w:sz w:val="20"/>
                                  <w:szCs w:val="20"/>
                                </w:rPr>
                              </w:pPr>
                              <w:r>
                                <w:rPr>
                                  <w:rFonts w:ascii="Arial" w:hAnsi="Arial" w:cs="Arial"/>
                                  <w:b/>
                                  <w:bCs/>
                                  <w:color w:val="000000"/>
                                  <w:sz w:val="20"/>
                                  <w:szCs w:val="20"/>
                                </w:rPr>
                                <w:t>Automotive C</w:t>
                              </w:r>
                              <w:r>
                                <w:rPr>
                                  <w:noProof/>
                                </w:rPr>
                                <w:drawing>
                                  <wp:anchor distT="47625" distB="47625" distL="0" distR="0" simplePos="0" relativeHeight="251658240" behindDoc="0" locked="0" layoutInCell="1" allowOverlap="0">
                                    <wp:simplePos x="0" y="0"/>
                                    <wp:positionH relativeFrom="column">
                                      <wp:align>left</wp:align>
                                    </wp:positionH>
                                    <wp:positionV relativeFrom="line">
                                      <wp:posOffset>0</wp:posOffset>
                                    </wp:positionV>
                                    <wp:extent cx="1466850" cy="447675"/>
                                    <wp:effectExtent l="19050" t="0" r="0" b="0"/>
                                    <wp:wrapSquare wrapText="bothSides"/>
                                    <wp:docPr id="8" name="Picture 3" descr="AC">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
                                              <a:hlinkClick r:id="rId15" tgtFrame="&quot;_blank&quot;"/>
                                            </pic:cNvPr>
                                            <pic:cNvPicPr>
                                              <a:picLocks noChangeAspect="1" noChangeArrowheads="1"/>
                                            </pic:cNvPicPr>
                                          </pic:nvPicPr>
                                          <pic:blipFill>
                                            <a:blip r:link="rId16" cstate="print"/>
                                            <a:srcRect/>
                                            <a:stretch>
                                              <a:fillRect/>
                                            </a:stretch>
                                          </pic:blipFill>
                                          <pic:spPr bwMode="auto">
                                            <a:xfrm>
                                              <a:off x="0" y="0"/>
                                              <a:ext cx="1466850" cy="447675"/>
                                            </a:xfrm>
                                            <a:prstGeom prst="rect">
                                              <a:avLst/>
                                            </a:prstGeom>
                                            <a:noFill/>
                                          </pic:spPr>
                                        </pic:pic>
                                      </a:graphicData>
                                    </a:graphic>
                                  </wp:anchor>
                                </w:drawing>
                              </w:r>
                              <w:r>
                                <w:rPr>
                                  <w:rFonts w:ascii="Arial" w:hAnsi="Arial" w:cs="Arial"/>
                                  <w:b/>
                                  <w:bCs/>
                                  <w:color w:val="000000"/>
                                  <w:sz w:val="20"/>
                                  <w:szCs w:val="20"/>
                                </w:rPr>
                                <w:t>ouncil</w:t>
                              </w:r>
                            </w:p>
                          </w:tc>
                        </w:tr>
                        <w:tr w:rsidR="001A7D7F">
                          <w:trPr>
                            <w:tblCellSpacing w:w="0" w:type="dxa"/>
                          </w:trPr>
                          <w:tc>
                            <w:tcPr>
                              <w:tcW w:w="5000" w:type="pct"/>
                              <w:shd w:val="clear" w:color="auto" w:fill="FFFFFF"/>
                              <w:tcMar>
                                <w:top w:w="150" w:type="dxa"/>
                                <w:left w:w="45" w:type="dxa"/>
                                <w:bottom w:w="30" w:type="dxa"/>
                                <w:right w:w="45" w:type="dxa"/>
                              </w:tcMar>
                              <w:vAlign w:val="center"/>
                              <w:hideMark/>
                            </w:tcPr>
                            <w:p w:rsidR="001A7D7F" w:rsidRDefault="001A7D7F">
                              <w:pPr>
                                <w:rPr>
                                  <w:rFonts w:asciiTheme="minorHAnsi" w:eastAsiaTheme="minorEastAsia" w:hAnsiTheme="minorHAnsi" w:cstheme="minorBidi"/>
                                  <w:sz w:val="22"/>
                                  <w:szCs w:val="22"/>
                                </w:rPr>
                              </w:pPr>
                            </w:p>
                          </w:tc>
                        </w:tr>
                      </w:tbl>
                      <w:p w:rsidR="001A7D7F" w:rsidRDefault="001A7D7F">
                        <w:pPr>
                          <w:rPr>
                            <w:vanish/>
                          </w:rPr>
                        </w:pPr>
                      </w:p>
                      <w:tbl>
                        <w:tblPr>
                          <w:tblW w:w="5000" w:type="pct"/>
                          <w:tblCellSpacing w:w="0" w:type="dxa"/>
                          <w:shd w:val="clear" w:color="auto" w:fill="FFFFFF"/>
                          <w:tblCellMar>
                            <w:left w:w="0" w:type="dxa"/>
                            <w:right w:w="0" w:type="dxa"/>
                          </w:tblCellMar>
                          <w:tblLook w:val="04A0"/>
                        </w:tblPr>
                        <w:tblGrid>
                          <w:gridCol w:w="2430"/>
                        </w:tblGrid>
                        <w:tr w:rsidR="001A7D7F">
                          <w:trPr>
                            <w:tblCellSpacing w:w="0" w:type="dxa"/>
                          </w:trPr>
                          <w:tc>
                            <w:tcPr>
                              <w:tcW w:w="5000" w:type="pct"/>
                              <w:shd w:val="clear" w:color="auto" w:fill="FFFFFF"/>
                              <w:tcMar>
                                <w:top w:w="30" w:type="dxa"/>
                                <w:left w:w="30" w:type="dxa"/>
                                <w:bottom w:w="30" w:type="dxa"/>
                                <w:right w:w="30" w:type="dxa"/>
                              </w:tcMar>
                              <w:vAlign w:val="center"/>
                              <w:hideMark/>
                            </w:tcPr>
                            <w:p w:rsidR="001A7D7F" w:rsidRDefault="001A7D7F">
                              <w:pPr>
                                <w:spacing w:after="150"/>
                                <w:jc w:val="center"/>
                                <w:rPr>
                                  <w:rFonts w:ascii="Verdana" w:hAnsi="Verdana"/>
                                  <w:color w:val="EDEDED"/>
                                  <w:sz w:val="20"/>
                                  <w:szCs w:val="20"/>
                                </w:rPr>
                              </w:pPr>
                              <w:proofErr w:type="spellStart"/>
                              <w:r>
                                <w:rPr>
                                  <w:rFonts w:ascii="Arial" w:hAnsi="Arial" w:cs="Arial"/>
                                  <w:b/>
                                  <w:bCs/>
                                  <w:color w:val="000000"/>
                                  <w:sz w:val="20"/>
                                  <w:szCs w:val="20"/>
                                </w:rPr>
                                <w:t>Flickr</w:t>
                              </w:r>
                              <w:proofErr w:type="spellEnd"/>
                              <w:r>
                                <w:rPr>
                                  <w:rFonts w:ascii="Arial" w:hAnsi="Arial" w:cs="Arial"/>
                                  <w:b/>
                                  <w:bCs/>
                                  <w:color w:val="000000"/>
                                  <w:sz w:val="20"/>
                                  <w:szCs w:val="20"/>
                                </w:rPr>
                                <w:t> gallery</w:t>
                              </w:r>
                            </w:p>
                          </w:tc>
                        </w:tr>
                        <w:tr w:rsidR="001A7D7F">
                          <w:trPr>
                            <w:tblCellSpacing w:w="0" w:type="dxa"/>
                          </w:trPr>
                          <w:tc>
                            <w:tcPr>
                              <w:tcW w:w="5000" w:type="pct"/>
                              <w:shd w:val="clear" w:color="auto" w:fill="FFFFFF"/>
                              <w:tcMar>
                                <w:top w:w="150" w:type="dxa"/>
                                <w:left w:w="45" w:type="dxa"/>
                                <w:bottom w:w="30" w:type="dxa"/>
                                <w:right w:w="45" w:type="dxa"/>
                              </w:tcMar>
                              <w:vAlign w:val="center"/>
                              <w:hideMark/>
                            </w:tcPr>
                            <w:p w:rsidR="001A7D7F" w:rsidRDefault="001A7D7F">
                              <w:pPr>
                                <w:spacing w:after="150"/>
                                <w:jc w:val="center"/>
                                <w:rPr>
                                  <w:rFonts w:ascii="Verdana" w:hAnsi="Verdana"/>
                                  <w:color w:val="285685"/>
                                  <w:sz w:val="16"/>
                                  <w:szCs w:val="16"/>
                                </w:rPr>
                              </w:pPr>
                              <w:r>
                                <w:rPr>
                                  <w:rFonts w:ascii="Verdana" w:hAnsi="Verdana"/>
                                  <w:noProof/>
                                  <w:color w:val="0000FF"/>
                                  <w:sz w:val="16"/>
                                  <w:szCs w:val="16"/>
                                </w:rPr>
                                <w:drawing>
                                  <wp:inline distT="0" distB="0" distL="0" distR="0">
                                    <wp:extent cx="933450" cy="1323975"/>
                                    <wp:effectExtent l="19050" t="0" r="0" b="0"/>
                                    <wp:docPr id="3" name="Picture 3" descr="https://origin.ih.constantcontact.com/fs041/1103225665917/img/62.jpg">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rigin.ih.constantcontact.com/fs041/1103225665917/img/62.jpg"/>
                                            <pic:cNvPicPr>
                                              <a:picLocks noChangeAspect="1" noChangeArrowheads="1"/>
                                            </pic:cNvPicPr>
                                          </pic:nvPicPr>
                                          <pic:blipFill>
                                            <a:blip r:embed="rId18" cstate="print"/>
                                            <a:srcRect/>
                                            <a:stretch>
                                              <a:fillRect/>
                                            </a:stretch>
                                          </pic:blipFill>
                                          <pic:spPr bwMode="auto">
                                            <a:xfrm>
                                              <a:off x="0" y="0"/>
                                              <a:ext cx="933450" cy="1323975"/>
                                            </a:xfrm>
                                            <a:prstGeom prst="rect">
                                              <a:avLst/>
                                            </a:prstGeom>
                                            <a:noFill/>
                                            <a:ln w="9525">
                                              <a:noFill/>
                                              <a:miter lim="800000"/>
                                              <a:headEnd/>
                                              <a:tailEnd/>
                                            </a:ln>
                                          </pic:spPr>
                                        </pic:pic>
                                      </a:graphicData>
                                    </a:graphic>
                                  </wp:inline>
                                </w:drawing>
                              </w:r>
                            </w:p>
                          </w:tc>
                        </w:tr>
                      </w:tbl>
                      <w:p w:rsidR="001A7D7F" w:rsidRDefault="001A7D7F">
                        <w:pPr>
                          <w:rPr>
                            <w:vanish/>
                          </w:rPr>
                        </w:pPr>
                      </w:p>
                      <w:tbl>
                        <w:tblPr>
                          <w:tblW w:w="5000" w:type="pct"/>
                          <w:tblCellSpacing w:w="0" w:type="dxa"/>
                          <w:shd w:val="clear" w:color="auto" w:fill="FFFFFF"/>
                          <w:tblCellMar>
                            <w:left w:w="0" w:type="dxa"/>
                            <w:right w:w="0" w:type="dxa"/>
                          </w:tblCellMar>
                          <w:tblLook w:val="04A0"/>
                        </w:tblPr>
                        <w:tblGrid>
                          <w:gridCol w:w="2430"/>
                        </w:tblGrid>
                        <w:tr w:rsidR="001A7D7F">
                          <w:trPr>
                            <w:tblCellSpacing w:w="0" w:type="dxa"/>
                          </w:trPr>
                          <w:tc>
                            <w:tcPr>
                              <w:tcW w:w="5000" w:type="pct"/>
                              <w:shd w:val="clear" w:color="auto" w:fill="FFFFFF"/>
                              <w:tcMar>
                                <w:top w:w="30" w:type="dxa"/>
                                <w:left w:w="30" w:type="dxa"/>
                                <w:bottom w:w="30" w:type="dxa"/>
                                <w:right w:w="30" w:type="dxa"/>
                              </w:tcMar>
                              <w:vAlign w:val="center"/>
                              <w:hideMark/>
                            </w:tcPr>
                            <w:p w:rsidR="001A7D7F" w:rsidRDefault="001A7D7F">
                              <w:pPr>
                                <w:spacing w:after="150"/>
                                <w:jc w:val="center"/>
                                <w:rPr>
                                  <w:rFonts w:ascii="Verdana" w:hAnsi="Verdana"/>
                                  <w:color w:val="EDEDED"/>
                                  <w:sz w:val="20"/>
                                  <w:szCs w:val="20"/>
                                </w:rPr>
                              </w:pPr>
                              <w:r>
                                <w:rPr>
                                  <w:rFonts w:ascii="Arial" w:hAnsi="Arial" w:cs="Arial"/>
                                  <w:b/>
                                  <w:bCs/>
                                  <w:color w:val="000000"/>
                                  <w:sz w:val="20"/>
                                  <w:szCs w:val="20"/>
                                </w:rPr>
                                <w:t>Motor  Codes</w:t>
                              </w:r>
                            </w:p>
                          </w:tc>
                        </w:tr>
                        <w:tr w:rsidR="001A7D7F">
                          <w:trPr>
                            <w:tblCellSpacing w:w="0" w:type="dxa"/>
                          </w:trPr>
                          <w:tc>
                            <w:tcPr>
                              <w:tcW w:w="5000" w:type="pct"/>
                              <w:shd w:val="clear" w:color="auto" w:fill="FFFFFF"/>
                              <w:tcMar>
                                <w:top w:w="150" w:type="dxa"/>
                                <w:left w:w="45" w:type="dxa"/>
                                <w:bottom w:w="30" w:type="dxa"/>
                                <w:right w:w="45" w:type="dxa"/>
                              </w:tcMar>
                              <w:vAlign w:val="center"/>
                              <w:hideMark/>
                            </w:tcPr>
                            <w:p w:rsidR="001A7D7F" w:rsidRDefault="001A7D7F">
                              <w:pPr>
                                <w:spacing w:after="150"/>
                                <w:jc w:val="center"/>
                                <w:rPr>
                                  <w:rFonts w:ascii="Verdana" w:hAnsi="Verdana"/>
                                  <w:color w:val="285685"/>
                                  <w:sz w:val="16"/>
                                  <w:szCs w:val="16"/>
                                </w:rPr>
                              </w:pPr>
                              <w:r>
                                <w:rPr>
                                  <w:rFonts w:ascii="Verdana" w:hAnsi="Verdana"/>
                                  <w:noProof/>
                                  <w:color w:val="0000FF"/>
                                  <w:sz w:val="16"/>
                                  <w:szCs w:val="16"/>
                                </w:rPr>
                                <w:drawing>
                                  <wp:inline distT="0" distB="0" distL="0" distR="0">
                                    <wp:extent cx="1447800" cy="571500"/>
                                    <wp:effectExtent l="19050" t="0" r="0" b="0"/>
                                    <wp:docPr id="4" name="Picture 4" descr="https://origin.ih.constantcontact.com/fs041/1103225665917/img/47.jpg">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rigin.ih.constantcontact.com/fs041/1103225665917/img/47.jpg"/>
                                            <pic:cNvPicPr>
                                              <a:picLocks noChangeAspect="1" noChangeArrowheads="1"/>
                                            </pic:cNvPicPr>
                                          </pic:nvPicPr>
                                          <pic:blipFill>
                                            <a:blip r:embed="rId20" cstate="print"/>
                                            <a:srcRect/>
                                            <a:stretch>
                                              <a:fillRect/>
                                            </a:stretch>
                                          </pic:blipFill>
                                          <pic:spPr bwMode="auto">
                                            <a:xfrm>
                                              <a:off x="0" y="0"/>
                                              <a:ext cx="1447800" cy="571500"/>
                                            </a:xfrm>
                                            <a:prstGeom prst="rect">
                                              <a:avLst/>
                                            </a:prstGeom>
                                            <a:noFill/>
                                            <a:ln w="9525">
                                              <a:noFill/>
                                              <a:miter lim="800000"/>
                                              <a:headEnd/>
                                              <a:tailEnd/>
                                            </a:ln>
                                          </pic:spPr>
                                        </pic:pic>
                                      </a:graphicData>
                                    </a:graphic>
                                  </wp:inline>
                                </w:drawing>
                              </w:r>
                            </w:p>
                          </w:tc>
                        </w:tr>
                      </w:tbl>
                      <w:p w:rsidR="001A7D7F" w:rsidRDefault="001A7D7F">
                        <w:pPr>
                          <w:rPr>
                            <w:vanish/>
                          </w:rPr>
                        </w:pPr>
                      </w:p>
                      <w:tbl>
                        <w:tblPr>
                          <w:tblW w:w="5000" w:type="pct"/>
                          <w:tblCellSpacing w:w="0" w:type="dxa"/>
                          <w:shd w:val="clear" w:color="auto" w:fill="FFFFFF"/>
                          <w:tblCellMar>
                            <w:left w:w="0" w:type="dxa"/>
                            <w:right w:w="0" w:type="dxa"/>
                          </w:tblCellMar>
                          <w:tblLook w:val="04A0"/>
                        </w:tblPr>
                        <w:tblGrid>
                          <w:gridCol w:w="2430"/>
                        </w:tblGrid>
                        <w:tr w:rsidR="001A7D7F">
                          <w:trPr>
                            <w:tblCellSpacing w:w="0" w:type="dxa"/>
                          </w:trPr>
                          <w:tc>
                            <w:tcPr>
                              <w:tcW w:w="5000" w:type="pct"/>
                              <w:shd w:val="clear" w:color="auto" w:fill="FFFFFF"/>
                              <w:tcMar>
                                <w:top w:w="30" w:type="dxa"/>
                                <w:left w:w="30" w:type="dxa"/>
                                <w:bottom w:w="30" w:type="dxa"/>
                                <w:right w:w="30" w:type="dxa"/>
                              </w:tcMar>
                              <w:vAlign w:val="center"/>
                              <w:hideMark/>
                            </w:tcPr>
                            <w:p w:rsidR="001A7D7F" w:rsidRDefault="001A7D7F">
                              <w:pPr>
                                <w:spacing w:after="150"/>
                                <w:jc w:val="center"/>
                                <w:rPr>
                                  <w:rFonts w:ascii="Verdana" w:hAnsi="Verdana"/>
                                  <w:color w:val="EDEDED"/>
                                  <w:sz w:val="20"/>
                                  <w:szCs w:val="20"/>
                                </w:rPr>
                              </w:pPr>
                              <w:r>
                                <w:rPr>
                                  <w:rFonts w:ascii="Arial" w:hAnsi="Arial" w:cs="Arial"/>
                                  <w:b/>
                                  <w:bCs/>
                                  <w:color w:val="000000"/>
                                  <w:sz w:val="20"/>
                                  <w:szCs w:val="20"/>
                                </w:rPr>
                                <w:t>SMMT IATF Oversight</w:t>
                              </w:r>
                            </w:p>
                          </w:tc>
                        </w:tr>
                        <w:tr w:rsidR="001A7D7F">
                          <w:trPr>
                            <w:tblCellSpacing w:w="0" w:type="dxa"/>
                          </w:trPr>
                          <w:tc>
                            <w:tcPr>
                              <w:tcW w:w="5000" w:type="pct"/>
                              <w:shd w:val="clear" w:color="auto" w:fill="FFFFFF"/>
                              <w:tcMar>
                                <w:top w:w="150" w:type="dxa"/>
                                <w:left w:w="45" w:type="dxa"/>
                                <w:bottom w:w="30" w:type="dxa"/>
                                <w:right w:w="45" w:type="dxa"/>
                              </w:tcMar>
                              <w:vAlign w:val="center"/>
                              <w:hideMark/>
                            </w:tcPr>
                            <w:p w:rsidR="001A7D7F" w:rsidRDefault="001A7D7F">
                              <w:pPr>
                                <w:spacing w:after="150"/>
                                <w:jc w:val="center"/>
                                <w:rPr>
                                  <w:rFonts w:ascii="Verdana" w:hAnsi="Verdana"/>
                                  <w:color w:val="285685"/>
                                  <w:sz w:val="16"/>
                                  <w:szCs w:val="16"/>
                                </w:rPr>
                              </w:pPr>
                              <w:r>
                                <w:rPr>
                                  <w:rFonts w:ascii="Arial" w:hAnsi="Arial" w:cs="Arial"/>
                                  <w:b/>
                                  <w:bCs/>
                                  <w:noProof/>
                                  <w:color w:val="0000FF"/>
                                  <w:sz w:val="16"/>
                                  <w:szCs w:val="16"/>
                                </w:rPr>
                                <w:lastRenderedPageBreak/>
                                <w:drawing>
                                  <wp:inline distT="0" distB="0" distL="0" distR="0">
                                    <wp:extent cx="1457325" cy="561975"/>
                                    <wp:effectExtent l="19050" t="0" r="9525" b="0"/>
                                    <wp:docPr id="5" name="Picture 5" descr="https://origin.ih.constantcontact.com/fs041/1103225665917/img/70.jpg">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origin.ih.constantcontact.com/fs041/1103225665917/img/70.jpg"/>
                                            <pic:cNvPicPr>
                                              <a:picLocks noChangeAspect="1" noChangeArrowheads="1"/>
                                            </pic:cNvPicPr>
                                          </pic:nvPicPr>
                                          <pic:blipFill>
                                            <a:blip r:embed="rId22" cstate="print"/>
                                            <a:srcRect/>
                                            <a:stretch>
                                              <a:fillRect/>
                                            </a:stretch>
                                          </pic:blipFill>
                                          <pic:spPr bwMode="auto">
                                            <a:xfrm>
                                              <a:off x="0" y="0"/>
                                              <a:ext cx="1457325" cy="561975"/>
                                            </a:xfrm>
                                            <a:prstGeom prst="rect">
                                              <a:avLst/>
                                            </a:prstGeom>
                                            <a:noFill/>
                                            <a:ln w="9525">
                                              <a:noFill/>
                                              <a:miter lim="800000"/>
                                              <a:headEnd/>
                                              <a:tailEnd/>
                                            </a:ln>
                                          </pic:spPr>
                                        </pic:pic>
                                      </a:graphicData>
                                    </a:graphic>
                                  </wp:inline>
                                </w:drawing>
                              </w:r>
                            </w:p>
                          </w:tc>
                        </w:tr>
                      </w:tbl>
                      <w:p w:rsidR="001A7D7F" w:rsidRDefault="001A7D7F">
                        <w:pPr>
                          <w:rPr>
                            <w:vanish/>
                          </w:rPr>
                        </w:pPr>
                      </w:p>
                      <w:tbl>
                        <w:tblPr>
                          <w:tblW w:w="5000" w:type="pct"/>
                          <w:tblCellSpacing w:w="0" w:type="dxa"/>
                          <w:shd w:val="clear" w:color="auto" w:fill="FFFFFF"/>
                          <w:tblCellMar>
                            <w:left w:w="0" w:type="dxa"/>
                            <w:right w:w="0" w:type="dxa"/>
                          </w:tblCellMar>
                          <w:tblLook w:val="04A0"/>
                        </w:tblPr>
                        <w:tblGrid>
                          <w:gridCol w:w="2430"/>
                        </w:tblGrid>
                        <w:tr w:rsidR="001A7D7F">
                          <w:trPr>
                            <w:tblCellSpacing w:w="0" w:type="dxa"/>
                          </w:trPr>
                          <w:tc>
                            <w:tcPr>
                              <w:tcW w:w="5000" w:type="pct"/>
                              <w:shd w:val="clear" w:color="auto" w:fill="FFFFFF"/>
                              <w:tcMar>
                                <w:top w:w="30" w:type="dxa"/>
                                <w:left w:w="30" w:type="dxa"/>
                                <w:bottom w:w="30" w:type="dxa"/>
                                <w:right w:w="30" w:type="dxa"/>
                              </w:tcMar>
                              <w:vAlign w:val="center"/>
                              <w:hideMark/>
                            </w:tcPr>
                            <w:p w:rsidR="001A7D7F" w:rsidRDefault="001A7D7F">
                              <w:pPr>
                                <w:spacing w:after="150"/>
                                <w:jc w:val="center"/>
                                <w:rPr>
                                  <w:rFonts w:ascii="Arial" w:hAnsi="Arial" w:cs="Arial"/>
                                  <w:b/>
                                  <w:bCs/>
                                  <w:color w:val="000000"/>
                                  <w:sz w:val="20"/>
                                  <w:szCs w:val="20"/>
                                </w:rPr>
                              </w:pPr>
                              <w:r>
                                <w:rPr>
                                  <w:rFonts w:ascii="Arial" w:hAnsi="Arial" w:cs="Arial"/>
                                  <w:b/>
                                  <w:bCs/>
                                  <w:color w:val="000000"/>
                                  <w:sz w:val="20"/>
                                  <w:szCs w:val="20"/>
                                </w:rPr>
                                <w:t>Industry Forum  </w:t>
                              </w:r>
                            </w:p>
                          </w:tc>
                        </w:tr>
                        <w:tr w:rsidR="001A7D7F">
                          <w:trPr>
                            <w:tblCellSpacing w:w="0" w:type="dxa"/>
                          </w:trPr>
                          <w:tc>
                            <w:tcPr>
                              <w:tcW w:w="5000" w:type="pct"/>
                              <w:shd w:val="clear" w:color="auto" w:fill="FFFFFF"/>
                              <w:tcMar>
                                <w:top w:w="150" w:type="dxa"/>
                                <w:left w:w="45" w:type="dxa"/>
                                <w:bottom w:w="30" w:type="dxa"/>
                                <w:right w:w="45" w:type="dxa"/>
                              </w:tcMar>
                              <w:vAlign w:val="center"/>
                              <w:hideMark/>
                            </w:tcPr>
                            <w:p w:rsidR="001A7D7F" w:rsidRDefault="001A7D7F">
                              <w:pPr>
                                <w:spacing w:after="150"/>
                                <w:jc w:val="center"/>
                                <w:rPr>
                                  <w:rFonts w:ascii="Verdana" w:hAnsi="Verdana"/>
                                  <w:color w:val="285685"/>
                                  <w:sz w:val="16"/>
                                  <w:szCs w:val="16"/>
                                </w:rPr>
                              </w:pPr>
                              <w:r>
                                <w:rPr>
                                  <w:rFonts w:ascii="Verdana" w:hAnsi="Verdana"/>
                                  <w:noProof/>
                                  <w:color w:val="0000FF"/>
                                  <w:sz w:val="16"/>
                                  <w:szCs w:val="16"/>
                                </w:rPr>
                                <w:drawing>
                                  <wp:inline distT="0" distB="0" distL="0" distR="0">
                                    <wp:extent cx="828675" cy="1152525"/>
                                    <wp:effectExtent l="19050" t="0" r="9525" b="0"/>
                                    <wp:docPr id="6" name="Picture 6" descr="https://origin.ih.constantcontact.com/fs041/1103225665917/img/72.jpg">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origin.ih.constantcontact.com/fs041/1103225665917/img/72.jpg"/>
                                            <pic:cNvPicPr>
                                              <a:picLocks noChangeAspect="1" noChangeArrowheads="1"/>
                                            </pic:cNvPicPr>
                                          </pic:nvPicPr>
                                          <pic:blipFill>
                                            <a:blip r:embed="rId24" cstate="print"/>
                                            <a:srcRect/>
                                            <a:stretch>
                                              <a:fillRect/>
                                            </a:stretch>
                                          </pic:blipFill>
                                          <pic:spPr bwMode="auto">
                                            <a:xfrm>
                                              <a:off x="0" y="0"/>
                                              <a:ext cx="828675" cy="1152525"/>
                                            </a:xfrm>
                                            <a:prstGeom prst="rect">
                                              <a:avLst/>
                                            </a:prstGeom>
                                            <a:noFill/>
                                            <a:ln w="9525">
                                              <a:noFill/>
                                              <a:miter lim="800000"/>
                                              <a:headEnd/>
                                              <a:tailEnd/>
                                            </a:ln>
                                          </pic:spPr>
                                        </pic:pic>
                                      </a:graphicData>
                                    </a:graphic>
                                  </wp:inline>
                                </w:drawing>
                              </w:r>
                            </w:p>
                          </w:tc>
                        </w:tr>
                      </w:tbl>
                      <w:p w:rsidR="001A7D7F" w:rsidRDefault="001A7D7F">
                        <w:pPr>
                          <w:rPr>
                            <w:rFonts w:eastAsia="Times New Roman"/>
                          </w:rPr>
                        </w:pPr>
                      </w:p>
                    </w:tc>
                  </w:tr>
                </w:tbl>
                <w:p w:rsidR="001A7D7F" w:rsidRDefault="001A7D7F">
                  <w:pPr>
                    <w:rPr>
                      <w:rFonts w:asciiTheme="minorHAnsi" w:eastAsiaTheme="minorEastAsia" w:hAnsiTheme="minorHAnsi" w:cstheme="minorBidi"/>
                      <w:sz w:val="22"/>
                      <w:szCs w:val="22"/>
                    </w:rPr>
                  </w:pPr>
                </w:p>
              </w:tc>
            </w:tr>
          </w:tbl>
          <w:p w:rsidR="001A7D7F" w:rsidRDefault="001A7D7F">
            <w:pPr>
              <w:rPr>
                <w:rFonts w:asciiTheme="minorHAnsi" w:eastAsiaTheme="minorEastAsia" w:hAnsiTheme="minorHAnsi" w:cstheme="minorBidi"/>
                <w:sz w:val="22"/>
                <w:szCs w:val="22"/>
              </w:rPr>
            </w:pPr>
          </w:p>
        </w:tc>
        <w:tc>
          <w:tcPr>
            <w:tcW w:w="0" w:type="auto"/>
            <w:tcMar>
              <w:top w:w="15" w:type="dxa"/>
              <w:left w:w="15" w:type="dxa"/>
              <w:bottom w:w="15" w:type="dxa"/>
              <w:right w:w="15" w:type="dxa"/>
            </w:tcMar>
            <w:vAlign w:val="center"/>
            <w:hideMark/>
          </w:tcPr>
          <w:p w:rsidR="001A7D7F" w:rsidRDefault="001A7D7F">
            <w:pPr>
              <w:rPr>
                <w:rFonts w:asciiTheme="minorHAnsi" w:eastAsiaTheme="minorEastAsia" w:hAnsiTheme="minorHAnsi" w:cstheme="minorBidi"/>
                <w:sz w:val="22"/>
                <w:szCs w:val="22"/>
              </w:rPr>
            </w:pPr>
          </w:p>
        </w:tc>
      </w:tr>
      <w:tr w:rsidR="001A7D7F" w:rsidTr="001A7D7F">
        <w:trPr>
          <w:trHeight w:val="150"/>
          <w:tblCellSpacing w:w="0" w:type="dxa"/>
          <w:jc w:val="center"/>
        </w:trPr>
        <w:tc>
          <w:tcPr>
            <w:tcW w:w="5000" w:type="pct"/>
            <w:tcMar>
              <w:top w:w="15" w:type="dxa"/>
              <w:left w:w="15" w:type="dxa"/>
              <w:bottom w:w="15" w:type="dxa"/>
              <w:right w:w="15" w:type="dxa"/>
            </w:tcMar>
            <w:vAlign w:val="center"/>
            <w:hideMark/>
          </w:tcPr>
          <w:tbl>
            <w:tblPr>
              <w:tblW w:w="5000" w:type="pct"/>
              <w:tblCellSpacing w:w="0" w:type="dxa"/>
              <w:tblCellMar>
                <w:left w:w="0" w:type="dxa"/>
                <w:right w:w="0" w:type="dxa"/>
              </w:tblCellMar>
              <w:tblLook w:val="04A0"/>
            </w:tblPr>
            <w:tblGrid>
              <w:gridCol w:w="9060"/>
            </w:tblGrid>
            <w:tr w:rsidR="001A7D7F">
              <w:trPr>
                <w:tblCellSpacing w:w="0" w:type="dxa"/>
              </w:trPr>
              <w:tc>
                <w:tcPr>
                  <w:tcW w:w="0" w:type="auto"/>
                  <w:vAlign w:val="bottom"/>
                  <w:hideMark/>
                </w:tcPr>
                <w:p w:rsidR="001A7D7F" w:rsidRDefault="001A7D7F">
                  <w:pPr>
                    <w:pStyle w:val="NormalWeb"/>
                    <w:spacing w:before="0" w:beforeAutospacing="0" w:after="0" w:afterAutospacing="0"/>
                  </w:pPr>
                  <w:r>
                    <w:rPr>
                      <w:rStyle w:val="Strong"/>
                      <w:rFonts w:ascii="Arial" w:hAnsi="Arial" w:cs="Arial"/>
                      <w:sz w:val="20"/>
                      <w:szCs w:val="20"/>
                    </w:rPr>
                    <w:lastRenderedPageBreak/>
                    <w:t>Diary dates:</w:t>
                  </w:r>
                </w:p>
                <w:p w:rsidR="001A7D7F" w:rsidRDefault="001A7D7F">
                  <w:pPr>
                    <w:pStyle w:val="NormalWeb"/>
                    <w:spacing w:before="0" w:beforeAutospacing="0" w:after="0" w:afterAutospacing="0"/>
                    <w:rPr>
                      <w:rFonts w:ascii="Arial" w:hAnsi="Arial" w:cs="Arial"/>
                      <w:sz w:val="20"/>
                      <w:szCs w:val="20"/>
                    </w:rPr>
                  </w:pPr>
                  <w:r>
                    <w:rPr>
                      <w:rFonts w:ascii="Arial" w:hAnsi="Arial" w:cs="Arial"/>
                      <w:sz w:val="20"/>
                      <w:szCs w:val="20"/>
                    </w:rPr>
                    <w:t xml:space="preserve">SMMT International Automotive Summit, Westminster, 28 June 2011 - </w:t>
                  </w:r>
                  <w:hyperlink r:id="rId25" w:tgtFrame="_blank" w:history="1">
                    <w:r>
                      <w:rPr>
                        <w:rStyle w:val="Hyperlink"/>
                        <w:rFonts w:ascii="Arial" w:hAnsi="Arial" w:cs="Arial"/>
                        <w:sz w:val="20"/>
                        <w:szCs w:val="20"/>
                      </w:rPr>
                      <w:t>www.smmtsummit.co.uk</w:t>
                    </w:r>
                  </w:hyperlink>
                  <w:r>
                    <w:rPr>
                      <w:rFonts w:ascii="Arial" w:hAnsi="Arial" w:cs="Arial"/>
                      <w:sz w:val="20"/>
                      <w:szCs w:val="20"/>
                    </w:rPr>
                    <w:t>.</w:t>
                  </w:r>
                </w:p>
                <w:p w:rsidR="001A7D7F" w:rsidRDefault="001A7D7F">
                  <w:pPr>
                    <w:pStyle w:val="NormalWeb"/>
                    <w:spacing w:before="0" w:beforeAutospacing="0" w:after="0" w:afterAutospacing="0"/>
                    <w:rPr>
                      <w:rFonts w:ascii="Arial" w:hAnsi="Arial" w:cs="Arial"/>
                      <w:sz w:val="20"/>
                      <w:szCs w:val="20"/>
                    </w:rPr>
                  </w:pPr>
                  <w:r>
                    <w:rPr>
                      <w:rFonts w:ascii="Arial" w:hAnsi="Arial" w:cs="Arial"/>
                      <w:sz w:val="20"/>
                      <w:szCs w:val="20"/>
                    </w:rPr>
                    <w:t xml:space="preserve">SMMT Annual Dinner, London Hilton Park Lane, 22 November 2011 - </w:t>
                  </w:r>
                  <w:hyperlink r:id="rId26" w:tgtFrame="_blank" w:history="1">
                    <w:r>
                      <w:rPr>
                        <w:rStyle w:val="Hyperlink"/>
                        <w:rFonts w:ascii="Arial" w:hAnsi="Arial" w:cs="Arial"/>
                        <w:sz w:val="20"/>
                        <w:szCs w:val="20"/>
                      </w:rPr>
                      <w:t>annualdinner@smmt.co.uk</w:t>
                    </w:r>
                  </w:hyperlink>
                  <w:r>
                    <w:rPr>
                      <w:rFonts w:ascii="Arial" w:hAnsi="Arial" w:cs="Arial"/>
                      <w:sz w:val="20"/>
                      <w:szCs w:val="20"/>
                    </w:rPr>
                    <w:t xml:space="preserve">. </w:t>
                  </w:r>
                </w:p>
                <w:p w:rsidR="001A7D7F" w:rsidRDefault="001A7D7F">
                  <w:pPr>
                    <w:pStyle w:val="NormalWeb"/>
                    <w:spacing w:before="0" w:beforeAutospacing="0" w:after="0" w:afterAutospacing="0"/>
                    <w:rPr>
                      <w:rFonts w:ascii="Arial" w:hAnsi="Arial" w:cs="Arial"/>
                      <w:sz w:val="20"/>
                      <w:szCs w:val="20"/>
                    </w:rPr>
                  </w:pPr>
                  <w:r>
                    <w:rPr>
                      <w:rFonts w:ascii="Arial" w:hAnsi="Arial" w:cs="Arial"/>
                      <w:sz w:val="20"/>
                      <w:szCs w:val="20"/>
                    </w:rPr>
                    <w:t> </w:t>
                  </w:r>
                </w:p>
                <w:p w:rsidR="001A7D7F" w:rsidRDefault="001A7D7F">
                  <w:pPr>
                    <w:pStyle w:val="NormalWeb"/>
                    <w:spacing w:before="0" w:beforeAutospacing="0" w:after="0" w:afterAutospacing="0"/>
                    <w:rPr>
                      <w:rFonts w:ascii="Arial" w:hAnsi="Arial" w:cs="Arial"/>
                      <w:sz w:val="20"/>
                      <w:szCs w:val="20"/>
                    </w:rPr>
                  </w:pPr>
                  <w:r>
                    <w:rPr>
                      <w:rStyle w:val="Strong"/>
                      <w:rFonts w:ascii="Arial" w:hAnsi="Arial" w:cs="Arial"/>
                      <w:sz w:val="20"/>
                      <w:szCs w:val="20"/>
                    </w:rPr>
                    <w:t>Automotive information: </w:t>
                  </w:r>
                </w:p>
                <w:p w:rsidR="001A7D7F" w:rsidRDefault="001A7D7F">
                  <w:pPr>
                    <w:pStyle w:val="NormalWeb"/>
                    <w:spacing w:before="0" w:beforeAutospacing="0" w:after="0" w:afterAutospacing="0"/>
                    <w:rPr>
                      <w:rFonts w:ascii="Arial" w:hAnsi="Arial" w:cs="Arial"/>
                      <w:sz w:val="20"/>
                      <w:szCs w:val="20"/>
                    </w:rPr>
                  </w:pPr>
                  <w:r>
                    <w:rPr>
                      <w:rFonts w:ascii="Arial" w:hAnsi="Arial" w:cs="Arial"/>
                      <w:sz w:val="20"/>
                      <w:szCs w:val="20"/>
                    </w:rPr>
                    <w:t xml:space="preserve">To download </w:t>
                  </w:r>
                  <w:proofErr w:type="spellStart"/>
                  <w:r>
                    <w:rPr>
                      <w:rFonts w:ascii="Arial" w:hAnsi="Arial" w:cs="Arial"/>
                      <w:sz w:val="20"/>
                      <w:szCs w:val="20"/>
                    </w:rPr>
                    <w:t>SMMT's</w:t>
                  </w:r>
                  <w:proofErr w:type="spellEnd"/>
                  <w:r>
                    <w:rPr>
                      <w:rFonts w:ascii="Arial" w:hAnsi="Arial" w:cs="Arial"/>
                      <w:sz w:val="20"/>
                      <w:szCs w:val="20"/>
                    </w:rPr>
                    <w:t xml:space="preserve"> 2011 new vehicle and UK automotive manufacturing release dates click </w:t>
                  </w:r>
                  <w:hyperlink r:id="rId27" w:tgtFrame="_blank" w:history="1">
                    <w:r>
                      <w:rPr>
                        <w:rStyle w:val="Hyperlink"/>
                        <w:rFonts w:ascii="Arial" w:hAnsi="Arial" w:cs="Arial"/>
                        <w:sz w:val="20"/>
                        <w:szCs w:val="20"/>
                      </w:rPr>
                      <w:t>here.</w:t>
                    </w:r>
                  </w:hyperlink>
                  <w:r>
                    <w:rPr>
                      <w:rFonts w:ascii="Arial" w:hAnsi="Arial" w:cs="Arial"/>
                      <w:sz w:val="20"/>
                      <w:szCs w:val="20"/>
                    </w:rPr>
                    <w:t xml:space="preserve"> </w:t>
                  </w:r>
                </w:p>
                <w:p w:rsidR="001A7D7F" w:rsidRDefault="001A7D7F">
                  <w:pPr>
                    <w:pStyle w:val="NormalWeb"/>
                    <w:spacing w:before="0" w:beforeAutospacing="0" w:after="0" w:afterAutospacing="0"/>
                    <w:rPr>
                      <w:rFonts w:ascii="Arial" w:hAnsi="Arial" w:cs="Arial"/>
                      <w:sz w:val="20"/>
                      <w:szCs w:val="20"/>
                    </w:rPr>
                  </w:pPr>
                  <w:r>
                    <w:rPr>
                      <w:rFonts w:ascii="Arial" w:hAnsi="Arial" w:cs="Arial"/>
                      <w:sz w:val="20"/>
                      <w:szCs w:val="20"/>
                    </w:rPr>
                    <w:t xml:space="preserve">To download Industry Forum's latest information on sustainable business improvement click </w:t>
                  </w:r>
                  <w:hyperlink r:id="rId28" w:tgtFrame="_blank" w:history="1">
                    <w:r>
                      <w:rPr>
                        <w:rStyle w:val="Hyperlink"/>
                        <w:rFonts w:ascii="Arial" w:hAnsi="Arial" w:cs="Arial"/>
                        <w:sz w:val="20"/>
                        <w:szCs w:val="20"/>
                      </w:rPr>
                      <w:t>here</w:t>
                    </w:r>
                  </w:hyperlink>
                  <w:r>
                    <w:rPr>
                      <w:rFonts w:ascii="Arial" w:hAnsi="Arial" w:cs="Arial"/>
                      <w:sz w:val="20"/>
                      <w:szCs w:val="20"/>
                    </w:rPr>
                    <w:t>. </w:t>
                  </w:r>
                </w:p>
                <w:p w:rsidR="001A7D7F" w:rsidRDefault="001A7D7F">
                  <w:pPr>
                    <w:pStyle w:val="NormalWeb"/>
                    <w:spacing w:before="0" w:beforeAutospacing="0" w:after="0" w:afterAutospacing="0"/>
                    <w:rPr>
                      <w:rFonts w:ascii="Arial" w:hAnsi="Arial" w:cs="Arial"/>
                      <w:sz w:val="20"/>
                      <w:szCs w:val="20"/>
                    </w:rPr>
                  </w:pPr>
                  <w:r>
                    <w:rPr>
                      <w:rFonts w:ascii="Arial" w:hAnsi="Arial" w:cs="Arial"/>
                      <w:noProof/>
                      <w:sz w:val="20"/>
                      <w:szCs w:val="20"/>
                    </w:rPr>
                    <w:drawing>
                      <wp:inline distT="0" distB="0" distL="0" distR="0">
                        <wp:extent cx="5724525" cy="142875"/>
                        <wp:effectExtent l="19050" t="0" r="9525" b="0"/>
                        <wp:docPr id="7" name="Picture 7" descr="Bottom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ottom banner"/>
                                <pic:cNvPicPr>
                                  <a:picLocks noChangeAspect="1" noChangeArrowheads="1"/>
                                </pic:cNvPicPr>
                              </pic:nvPicPr>
                              <pic:blipFill>
                                <a:blip r:embed="rId29" cstate="print"/>
                                <a:srcRect/>
                                <a:stretch>
                                  <a:fillRect/>
                                </a:stretch>
                              </pic:blipFill>
                              <pic:spPr bwMode="auto">
                                <a:xfrm>
                                  <a:off x="0" y="0"/>
                                  <a:ext cx="5724525" cy="142875"/>
                                </a:xfrm>
                                <a:prstGeom prst="rect">
                                  <a:avLst/>
                                </a:prstGeom>
                                <a:noFill/>
                                <a:ln w="9525">
                                  <a:noFill/>
                                  <a:miter lim="800000"/>
                                  <a:headEnd/>
                                  <a:tailEnd/>
                                </a:ln>
                              </pic:spPr>
                            </pic:pic>
                          </a:graphicData>
                        </a:graphic>
                      </wp:inline>
                    </w:drawing>
                  </w:r>
                </w:p>
                <w:p w:rsidR="001A7D7F" w:rsidRDefault="001A7D7F">
                  <w:pPr>
                    <w:jc w:val="center"/>
                  </w:pPr>
                  <w:r>
                    <w:rPr>
                      <w:rFonts w:ascii="Arial" w:hAnsi="Arial" w:cs="Arial"/>
                      <w:sz w:val="20"/>
                      <w:szCs w:val="20"/>
                    </w:rPr>
                    <w:t> </w:t>
                  </w:r>
                </w:p>
              </w:tc>
            </w:tr>
          </w:tbl>
          <w:p w:rsidR="001A7D7F" w:rsidRDefault="001A7D7F">
            <w:pPr>
              <w:rPr>
                <w:rFonts w:asciiTheme="minorHAnsi" w:eastAsiaTheme="minorEastAsia" w:hAnsiTheme="minorHAnsi" w:cstheme="minorBidi"/>
                <w:sz w:val="22"/>
                <w:szCs w:val="22"/>
              </w:rPr>
            </w:pPr>
          </w:p>
        </w:tc>
        <w:tc>
          <w:tcPr>
            <w:tcW w:w="0" w:type="auto"/>
            <w:tcMar>
              <w:top w:w="15" w:type="dxa"/>
              <w:left w:w="15" w:type="dxa"/>
              <w:bottom w:w="15" w:type="dxa"/>
              <w:right w:w="15" w:type="dxa"/>
            </w:tcMar>
            <w:vAlign w:val="center"/>
            <w:hideMark/>
          </w:tcPr>
          <w:p w:rsidR="001A7D7F" w:rsidRDefault="001A7D7F">
            <w:pPr>
              <w:rPr>
                <w:rFonts w:asciiTheme="minorHAnsi" w:eastAsiaTheme="minorEastAsia" w:hAnsiTheme="minorHAnsi" w:cstheme="minorBidi"/>
                <w:sz w:val="22"/>
                <w:szCs w:val="22"/>
              </w:rPr>
            </w:pPr>
          </w:p>
        </w:tc>
      </w:tr>
    </w:tbl>
    <w:p w:rsidR="00E56C54" w:rsidRPr="00473D48" w:rsidRDefault="00E56C54">
      <w:pPr>
        <w:rPr>
          <w:rFonts w:ascii="Arial" w:hAnsi="Arial" w:cs="Arial"/>
        </w:rPr>
      </w:pPr>
    </w:p>
    <w:sectPr w:rsidR="00E56C54" w:rsidRPr="00473D48" w:rsidSect="00AB264E">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1A7D7F"/>
    <w:rsid w:val="00161EDC"/>
    <w:rsid w:val="001A7D7F"/>
    <w:rsid w:val="00236CD3"/>
    <w:rsid w:val="00366DC7"/>
    <w:rsid w:val="00416E0E"/>
    <w:rsid w:val="00473D48"/>
    <w:rsid w:val="005C28E0"/>
    <w:rsid w:val="009246A1"/>
    <w:rsid w:val="00AB264E"/>
    <w:rsid w:val="00BA3E4E"/>
    <w:rsid w:val="00E56562"/>
    <w:rsid w:val="00E56C5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F"/>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7D7F"/>
    <w:rPr>
      <w:color w:val="0000FF"/>
      <w:u w:val="single"/>
    </w:rPr>
  </w:style>
  <w:style w:type="paragraph" w:styleId="NormalWeb">
    <w:name w:val="Normal (Web)"/>
    <w:basedOn w:val="Normal"/>
    <w:uiPriority w:val="99"/>
    <w:unhideWhenUsed/>
    <w:rsid w:val="001A7D7F"/>
    <w:pPr>
      <w:spacing w:before="100" w:beforeAutospacing="1" w:after="100" w:afterAutospacing="1"/>
    </w:pPr>
  </w:style>
  <w:style w:type="character" w:styleId="Strong">
    <w:name w:val="Strong"/>
    <w:basedOn w:val="DefaultParagraphFont"/>
    <w:uiPriority w:val="22"/>
    <w:qFormat/>
    <w:rsid w:val="001A7D7F"/>
    <w:rPr>
      <w:b/>
      <w:bCs/>
    </w:rPr>
  </w:style>
  <w:style w:type="character" w:styleId="Emphasis">
    <w:name w:val="Emphasis"/>
    <w:basedOn w:val="DefaultParagraphFont"/>
    <w:uiPriority w:val="20"/>
    <w:qFormat/>
    <w:rsid w:val="001A7D7F"/>
    <w:rPr>
      <w:i/>
      <w:iCs/>
    </w:rPr>
  </w:style>
  <w:style w:type="paragraph" w:styleId="BalloonText">
    <w:name w:val="Balloon Text"/>
    <w:basedOn w:val="Normal"/>
    <w:link w:val="BalloonTextChar"/>
    <w:rsid w:val="001A7D7F"/>
    <w:rPr>
      <w:rFonts w:ascii="Tahoma" w:hAnsi="Tahoma" w:cs="Tahoma"/>
      <w:sz w:val="16"/>
      <w:szCs w:val="16"/>
    </w:rPr>
  </w:style>
  <w:style w:type="character" w:customStyle="1" w:styleId="BalloonTextChar">
    <w:name w:val="Balloon Text Char"/>
    <w:basedOn w:val="DefaultParagraphFont"/>
    <w:link w:val="BalloonText"/>
    <w:rsid w:val="001A7D7F"/>
    <w:rPr>
      <w:rFonts w:ascii="Tahoma" w:eastAsiaTheme="minorHAns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317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llr=6lo4vodab&amp;et=1105229663888&amp;s=0&amp;e=0014UxJfG29frJeHErWswvBZmHAI0g4FjvfIRrVAx77kGLvIvmhxmduxC7vl7o2i9kxYuTHfaEA3HqGnRC5-gmzSZPa8h68B8Qs_fDQ4zy2yLUV4El9HYv-OYXhbhKJ4ejAao9arwAuHZM=" TargetMode="External"/><Relationship Id="rId13" Type="http://schemas.openxmlformats.org/officeDocument/2006/relationships/hyperlink" Target="http://r20.rs6.net/tn.jsp?llr=6lo4vodab&amp;et=1105229663888&amp;s=0&amp;e=0014UxJfG29frJeHErWswvBZmHAI0g4FjvfIRrVAx77kGLvIvmhxmduxO6oHYAFYwRzU-PTRH0UBgpKLg8wYhB0BYQ9NKZtAYdjI21CvanknqbVdY_0bTdfRg==" TargetMode="External"/><Relationship Id="rId18" Type="http://schemas.openxmlformats.org/officeDocument/2006/relationships/image" Target="media/image3.jpeg"/><Relationship Id="rId26" Type="http://schemas.openxmlformats.org/officeDocument/2006/relationships/hyperlink" Target="mailto:annualdinner@smmt.co.uk" TargetMode="External"/><Relationship Id="rId3" Type="http://schemas.openxmlformats.org/officeDocument/2006/relationships/webSettings" Target="webSettings.xml"/><Relationship Id="rId21" Type="http://schemas.openxmlformats.org/officeDocument/2006/relationships/hyperlink" Target="http://r20.rs6.net/tn.jsp?llr=6lo4vodab&amp;et=1105229663888&amp;s=0&amp;e=0014UxJfG29frJeHErWswvBZmHAI0g4FjvfIRrVAx77kGLvIvmhxmduxO6oHYAFYwRzy0Mp_2RZb3yBcaJWOJafiitM6goQsjxBrODQvaORCh3FZC5zx8yaMw==" TargetMode="External"/><Relationship Id="rId7" Type="http://schemas.openxmlformats.org/officeDocument/2006/relationships/hyperlink" Target="mailto:memberservices@smmt.co.uk" TargetMode="External"/><Relationship Id="rId12" Type="http://schemas.openxmlformats.org/officeDocument/2006/relationships/hyperlink" Target="http://r20.rs6.net/tn.jsp?llr=6lo4vodab&amp;et=1105229663888&amp;s=0&amp;e=0014UxJfG29frJeHErWswvBZmHAI0g4FjvfIRrVAx77kGLvIvmhxmduxO6oHYAFYwRzy0Mp_2RZb3zyCSbgUsbAKHUa_bgLZ3QpGUlUKghLJtizzpPbOCMX104wUVcbg3UU_sJhu39Hv6gA1DSXhkwYEtrJBps6LUyYMtsxCrudJOfmqw47s9gY0_Wj_k8hhpRsYjzxdy1iAjFXBF8TCJZmSQ==" TargetMode="External"/><Relationship Id="rId17" Type="http://schemas.openxmlformats.org/officeDocument/2006/relationships/hyperlink" Target="http://r20.rs6.net/tn.jsp?llr=6lo4vodab&amp;et=1105229663888&amp;s=0&amp;e=0014UxJfG29frJeHErWswvBZmHAI0g4FjvfIRrVAx77kGLvIvmhxmduxO6oHYAFYwRzy0Mp_2RZb3yux3pKb1AUpCY1XFvJFCwOi2xp9acCzeWgcLD2xIxRBFOFi2OyZnxz-UR6YXoSzJo=" TargetMode="External"/><Relationship Id="rId25" Type="http://schemas.openxmlformats.org/officeDocument/2006/relationships/hyperlink" Target="http://r20.rs6.net/tn.jsp?llr=6lo4vodab&amp;et=1105090549166&amp;s=0&amp;e=001eMALXY3GhAC45PzxUHPJPR7HDw7xmhO8R515Yle2WEa6LjnawM4DXi9cEOk7jROhfVcsEQ20WmiNpbp6bDIgLJW_IIrt8lUdly5AxzR7r8-1b5dpW5v0bA==&amp;id=preview" TargetMode="External"/><Relationship Id="rId2" Type="http://schemas.openxmlformats.org/officeDocument/2006/relationships/settings" Target="settings.xml"/><Relationship Id="rId16" Type="http://schemas.openxmlformats.org/officeDocument/2006/relationships/image" Target="https://origin.ih.constantcontact.com/fs041/1103225665917/img/86.jpg" TargetMode="External"/><Relationship Id="rId20" Type="http://schemas.openxmlformats.org/officeDocument/2006/relationships/image" Target="media/image4.jpeg"/><Relationship Id="rId29" Type="http://schemas.openxmlformats.org/officeDocument/2006/relationships/image" Target="media/image7.jpeg"/><Relationship Id="rId1" Type="http://schemas.openxmlformats.org/officeDocument/2006/relationships/styles" Target="styles.xml"/><Relationship Id="rId6" Type="http://schemas.openxmlformats.org/officeDocument/2006/relationships/hyperlink" Target="http://r20.rs6.net/tn.jsp?llr=6lo4vodab&amp;et=1105229663888&amp;s=0&amp;e=0014UxJfG29frJeHErWswvBZmHAI0g4FjvfIRrVAx77kGLvIvmhxmduxO6oHYAFYwRzy0Mp_2RZb3zyCSbgUsbAKHUa_bgLZ3QpGUlUKghLJtiKZp6obhhAOlwCPnzsIQixzdDNs1hKz_zgPVwh9AsPEznr1kRue-O2" TargetMode="External"/><Relationship Id="rId11" Type="http://schemas.openxmlformats.org/officeDocument/2006/relationships/hyperlink" Target="http://r20.rs6.net/tn.jsp?llr=6lo4vodab&amp;et=1105229663888&amp;s=0&amp;e=0014UxJfG29frJeHErWswvBZmHAI0g4FjvfIRrVAx77kGLvIvmhxmduxO6oHYAFYwRzy0Mp_2RZb3zyCSbgUsbAKHUa_bgLZ3QpGUlUKghLJtizzpPbOCMX1zm1EMf9uokBqafos_RX3de6TX9EYOeOY6ixhTajgayW1eShM0o46OBVCVAFGMYWSWxGSR1-OKptq-PoCanKldnpzxd-y7jboQ==" TargetMode="External"/><Relationship Id="rId24" Type="http://schemas.openxmlformats.org/officeDocument/2006/relationships/image" Target="media/image6.jpeg"/><Relationship Id="rId5" Type="http://schemas.openxmlformats.org/officeDocument/2006/relationships/image" Target="https://origin.ih.constantcontact.com/fs041/1103225665917/img/54.jpg" TargetMode="External"/><Relationship Id="rId15" Type="http://schemas.openxmlformats.org/officeDocument/2006/relationships/hyperlink" Target="http://r20.rs6.net/tn.jsp?llr=6lo4vodab&amp;et=1105229663888&amp;s=0&amp;e=0014UxJfG29frJeHErWswvBZmHAI0g4FjvfIRrVAx77kGLvIvmhxmduxO6oHYAFYwRzy0Mp_2RZb3wQWvcJshtv7EBMLZiVCez8aKVwhQIybhExh3wXgOL1Gg==" TargetMode="External"/><Relationship Id="rId23" Type="http://schemas.openxmlformats.org/officeDocument/2006/relationships/hyperlink" Target="http://r20.rs6.net/tn.jsp?llr=6lo4vodab&amp;et=1105229663888&amp;s=0&amp;e=0014UxJfG29frJeHErWswvBZmHAI0g4FjvfIRrVAx77kGLvIvmhxmduxO6oHYAFYwRzy0Mp_2RZb3zNzvj7CMNBjUwF-WkziEkKHf57TFZ2LoMa_R7yRWN8qg==" TargetMode="External"/><Relationship Id="rId28" Type="http://schemas.openxmlformats.org/officeDocument/2006/relationships/hyperlink" Target="http://r20.rs6.net/tn.jsp?llr=6lo4vodab&amp;t=qutenkfab.0.0.6lo4vodab.0&amp;id=preview&amp;p=http%3A%2F%2Flibrary.constantcontact.com%2Fdoc203%2F1103225665917%2Fdoc%2Fpy9mtbWqPguBYhh8.pdf" TargetMode="External"/><Relationship Id="rId10" Type="http://schemas.openxmlformats.org/officeDocument/2006/relationships/hyperlink" Target="http://r20.rs6.net/tn.jsp?llr=6lo4vodab&amp;et=1105229663888&amp;s=0&amp;e=0014UxJfG29frJeHErWswvBZmHAI0g4FjvfIRrVAx77kGLvIvmhxmduxO6oHYAFYwRzy0Mp_2RZb3zdz9uFFmg_eeeVnlJa4c6DR8Uil895nKcqSTMW80-glF8A3vE5IDqWKoUqngEXZ8ydaBDASBe2WDKK3WaVI-sySwBpwLEb2QJ_mnPqPYyvfE71xAUgNSgIzVsB47OmaooCwmh1SNAIg3BA2XuhNfzShne_HUtgmTY=" TargetMode="External"/><Relationship Id="rId19" Type="http://schemas.openxmlformats.org/officeDocument/2006/relationships/hyperlink" Target="http://r20.rs6.net/tn.jsp?llr=6lo4vodab&amp;et=1105229663888&amp;s=0&amp;e=0014UxJfG29frJeHErWswvBZmHAI0g4FjvfIRrVAx77kGLvIvmhxmduxO6oHYAFYwRzy0Mp_2RZb3xTms-cBtGQPT1uQgUPW0p9LucS8b88ufE=" TargetMode="External"/><Relationship Id="rId31"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mailto:s.rodriguez@eSafetyAware.eu" TargetMode="External"/><Relationship Id="rId14" Type="http://schemas.openxmlformats.org/officeDocument/2006/relationships/image" Target="media/image2.gif"/><Relationship Id="rId22" Type="http://schemas.openxmlformats.org/officeDocument/2006/relationships/image" Target="media/image5.jpeg"/><Relationship Id="rId27" Type="http://schemas.openxmlformats.org/officeDocument/2006/relationships/hyperlink" Target="http://r20.rs6.net/tn.jsp?llr=6lo4vodab&amp;t=qutenkfab.0.0.6lo4vodab.0&amp;id=preview&amp;p=http%3A%2F%2Flib.smmt.co.uk%2Farticles%2Fnews%2FNews%2F2011%2520News%2520release%2520dates.doc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1031</Words>
  <Characters>5879</Characters>
  <Application>Microsoft Office Word</Application>
  <DocSecurity>0</DocSecurity>
  <Lines>48</Lines>
  <Paragraphs>13</Paragraphs>
  <ScaleCrop>false</ScaleCrop>
  <Company>Microsoft</Company>
  <LinksUpToDate>false</LinksUpToDate>
  <CharactersWithSpaces>6897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calloe</dc:creator>
  <cp:lastModifiedBy>calloe</cp:lastModifiedBy>
  <cp:revision>1</cp:revision>
  <dcterms:created xsi:type="dcterms:W3CDTF">2011-05-04T13:40:00Z</dcterms:created>
  <dcterms:modified xsi:type="dcterms:W3CDTF">2011-05-04T13:41:00Z</dcterms:modified>
</cp:coreProperties>
</file>