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6F" w:rsidRDefault="00DE596F" w:rsidP="007430A2">
      <w:pPr>
        <w:pStyle w:val="Heading1"/>
        <w:ind w:left="0" w:right="142" w:firstLine="0"/>
        <w:rPr>
          <w:rFonts w:ascii="Arial" w:eastAsiaTheme="minorEastAsia" w:hAnsi="Arial" w:cs="Arial"/>
          <w:bCs/>
          <w:color w:val="1074CB"/>
          <w:sz w:val="40"/>
          <w:szCs w:val="40"/>
        </w:rPr>
      </w:pPr>
    </w:p>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810B10" w:rsidP="006B3606">
      <w:pPr>
        <w:pStyle w:val="Heading1"/>
        <w:ind w:right="142"/>
      </w:pPr>
      <w:r>
        <w:rPr>
          <w:rFonts w:ascii="Arial" w:eastAsiaTheme="minorEastAsia" w:hAnsi="Arial" w:cs="Arial"/>
          <w:b w:val="0"/>
          <w:bCs/>
          <w:color w:val="1074CB"/>
          <w:sz w:val="44"/>
          <w:szCs w:val="44"/>
        </w:rPr>
        <w:t>2</w:t>
      </w:r>
      <w:r w:rsidR="00A719ED">
        <w:rPr>
          <w:rFonts w:ascii="Arial" w:eastAsiaTheme="minorEastAsia" w:hAnsi="Arial" w:cs="Arial"/>
          <w:b w:val="0"/>
          <w:bCs/>
          <w:color w:val="1074CB"/>
          <w:sz w:val="44"/>
          <w:szCs w:val="44"/>
        </w:rPr>
        <w:t>1</w:t>
      </w:r>
      <w:r w:rsidR="006B0F16">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 xml:space="preserve">January </w:t>
      </w:r>
      <w:r w:rsidR="006B3606" w:rsidRPr="00440369">
        <w:rPr>
          <w:rFonts w:ascii="Arial" w:eastAsiaTheme="minorEastAsia" w:hAnsi="Arial" w:cs="Arial"/>
          <w:b w:val="0"/>
          <w:bCs/>
          <w:color w:val="1074CB"/>
          <w:sz w:val="44"/>
          <w:szCs w:val="44"/>
        </w:rPr>
        <w:t>201</w:t>
      </w:r>
      <w:r>
        <w:rPr>
          <w:rFonts w:ascii="Arial" w:eastAsiaTheme="minorEastAsia" w:hAnsi="Arial" w:cs="Arial"/>
          <w:b w:val="0"/>
          <w:bCs/>
          <w:color w:val="1074CB"/>
          <w:sz w:val="44"/>
          <w:szCs w:val="44"/>
        </w:rPr>
        <w:t>6</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December</w:t>
      </w:r>
      <w:r w:rsidR="00A557F1">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B8664C" w:rsidP="00C80E70">
      <w:r w:rsidRPr="00B8664C">
        <w:rPr>
          <w:rFonts w:ascii="Arial" w:eastAsiaTheme="minorEastAsia" w:hAnsi="Arial" w:cs="Arial"/>
          <w:b/>
          <w:bCs/>
          <w:noProof/>
          <w:color w:val="1074CB"/>
          <w:sz w:val="20"/>
          <w:lang w:val="en-US" w:eastAsia="en-US"/>
        </w:rPr>
        <w:pict>
          <v:line id="Line 2" o:spid="_x0000_s1026" style="position:absolute;z-index:251666432;visibility:visible;mso-wrap-distance-top:-1e-4mm;mso-wrap-distance-bottom:-1e-4mm"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A758E4" w:rsidRPr="00960A66" w:rsidRDefault="005A21AE" w:rsidP="00960A66">
      <w:pPr>
        <w:spacing w:before="100"/>
      </w:pPr>
      <w:r>
        <w:rPr>
          <w:rFonts w:ascii="Arial" w:hAnsi="Arial" w:cs="Arial"/>
          <w:b/>
          <w:bCs/>
          <w:color w:val="1074CB"/>
          <w:sz w:val="34"/>
          <w:szCs w:val="34"/>
        </w:rPr>
        <w:t>C</w:t>
      </w:r>
      <w:r w:rsidR="00584320">
        <w:rPr>
          <w:rFonts w:ascii="Arial" w:hAnsi="Arial" w:cs="Arial"/>
          <w:b/>
          <w:bCs/>
          <w:color w:val="1074CB"/>
          <w:sz w:val="34"/>
          <w:szCs w:val="34"/>
        </w:rPr>
        <w:t>ommercial vehicle</w:t>
      </w:r>
      <w:r>
        <w:rPr>
          <w:rFonts w:ascii="Arial" w:hAnsi="Arial" w:cs="Arial"/>
          <w:b/>
          <w:bCs/>
          <w:color w:val="1074CB"/>
          <w:sz w:val="34"/>
          <w:szCs w:val="34"/>
        </w:rPr>
        <w:t xml:space="preserve"> </w:t>
      </w:r>
      <w:r w:rsidR="00584320">
        <w:rPr>
          <w:rFonts w:ascii="Arial" w:hAnsi="Arial" w:cs="Arial"/>
          <w:b/>
          <w:bCs/>
          <w:color w:val="1074CB"/>
          <w:sz w:val="34"/>
          <w:szCs w:val="34"/>
        </w:rPr>
        <w:t xml:space="preserve">production rises by a third in 2015 </w:t>
      </w:r>
    </w:p>
    <w:p w:rsidR="007E1523" w:rsidRPr="007E1523" w:rsidRDefault="007E1523" w:rsidP="007E1523">
      <w:pPr>
        <w:spacing w:line="276" w:lineRule="auto"/>
        <w:rPr>
          <w:rFonts w:ascii="Arial" w:hAnsi="Arial" w:cs="Arial"/>
          <w:sz w:val="20"/>
        </w:rPr>
      </w:pPr>
    </w:p>
    <w:p w:rsidR="007E1523" w:rsidRPr="007E1523" w:rsidRDefault="007E1523" w:rsidP="007E1523">
      <w:pPr>
        <w:pStyle w:val="ListParagraph"/>
        <w:numPr>
          <w:ilvl w:val="0"/>
          <w:numId w:val="16"/>
        </w:numPr>
        <w:spacing w:line="276" w:lineRule="auto"/>
        <w:ind w:left="709"/>
        <w:rPr>
          <w:rFonts w:ascii="Arial" w:hAnsi="Arial" w:cs="Arial"/>
          <w:sz w:val="20"/>
        </w:rPr>
      </w:pPr>
      <w:r w:rsidRPr="007E1523">
        <w:rPr>
          <w:rFonts w:ascii="Arial" w:hAnsi="Arial" w:cs="Arial"/>
          <w:sz w:val="20"/>
        </w:rPr>
        <w:t xml:space="preserve">British commercial vehicle output grows 33.3% in 2015, with 94,479 vehicles produced. </w:t>
      </w:r>
    </w:p>
    <w:p w:rsidR="007E1523" w:rsidRPr="007E1523" w:rsidRDefault="007E1523" w:rsidP="007E1523">
      <w:pPr>
        <w:pStyle w:val="ListParagraph"/>
        <w:numPr>
          <w:ilvl w:val="0"/>
          <w:numId w:val="16"/>
        </w:numPr>
        <w:spacing w:line="276" w:lineRule="auto"/>
        <w:ind w:left="709"/>
        <w:rPr>
          <w:sz w:val="20"/>
        </w:rPr>
      </w:pPr>
      <w:r w:rsidRPr="007E1523">
        <w:rPr>
          <w:rFonts w:ascii="Arial" w:hAnsi="Arial" w:cs="Arial"/>
          <w:sz w:val="20"/>
        </w:rPr>
        <w:t>Overseas demand continues to perform strongly, accounting for half of volumes in 2015.</w:t>
      </w:r>
    </w:p>
    <w:p w:rsidR="007E1523" w:rsidRPr="007E1523" w:rsidRDefault="007E1523" w:rsidP="007E1523">
      <w:pPr>
        <w:pStyle w:val="ListParagraph"/>
        <w:numPr>
          <w:ilvl w:val="0"/>
          <w:numId w:val="16"/>
        </w:numPr>
        <w:spacing w:line="276" w:lineRule="auto"/>
        <w:ind w:left="709"/>
        <w:rPr>
          <w:sz w:val="20"/>
        </w:rPr>
      </w:pPr>
      <w:r w:rsidRPr="007E1523">
        <w:rPr>
          <w:rFonts w:ascii="Arial" w:hAnsi="Arial" w:cs="Arial"/>
          <w:sz w:val="20"/>
        </w:rPr>
        <w:t>Europe recovery drives growth with demand up by 36.4% to take 88% of all UK CV exports.</w:t>
      </w:r>
    </w:p>
    <w:p w:rsidR="007E1523" w:rsidRDefault="007E1523" w:rsidP="007E1523">
      <w:pPr>
        <w:spacing w:before="100" w:beforeAutospacing="1" w:after="100" w:afterAutospacing="1" w:line="276" w:lineRule="auto"/>
      </w:pPr>
      <w:r w:rsidRPr="007E1523">
        <w:rPr>
          <w:rFonts w:ascii="Arial" w:hAnsi="Arial" w:cs="Arial"/>
          <w:b/>
          <w:bCs/>
          <w:sz w:val="20"/>
        </w:rPr>
        <w:t>21 January 2015 </w:t>
      </w:r>
      <w:r w:rsidRPr="007E1523">
        <w:rPr>
          <w:rFonts w:ascii="Arial" w:hAnsi="Arial" w:cs="Arial"/>
          <w:sz w:val="20"/>
        </w:rPr>
        <w:t>British commercial vehicle manufacturing rose by a third in 2015 when almost 95,000 CVs rolled off production lines, according to figures released today by the Society of Motor Manufacturers and Traders (SMMT). Demand surged by a third in both domestic and overseas markets, with Europe taking the lion’s share of exports (88%)</w:t>
      </w:r>
      <w:r w:rsidR="00A4116B">
        <w:rPr>
          <w:rFonts w:ascii="Arial" w:hAnsi="Arial" w:cs="Arial"/>
          <w:sz w:val="20"/>
        </w:rPr>
        <w:t>,</w:t>
      </w:r>
      <w:r w:rsidRPr="007E1523">
        <w:rPr>
          <w:rFonts w:ascii="Arial" w:hAnsi="Arial" w:cs="Arial"/>
          <w:sz w:val="20"/>
        </w:rPr>
        <w:t xml:space="preserve"> followed by Asia (6.3%). Meanwhile, manufacturers closed 2015 on a high note, with output for December up 7.7% compared with 2014, driven equally by British and overseas markets. </w:t>
      </w:r>
    </w:p>
    <w:p w:rsidR="007E1523" w:rsidRDefault="007E1523" w:rsidP="007E1523">
      <w:pPr>
        <w:spacing w:before="100" w:beforeAutospacing="1" w:after="100" w:afterAutospacing="1" w:line="276" w:lineRule="auto"/>
      </w:pPr>
      <w:r>
        <w:rPr>
          <w:rFonts w:ascii="Arial" w:hAnsi="Arial" w:cs="Arial"/>
          <w:b/>
          <w:bCs/>
          <w:sz w:val="20"/>
        </w:rPr>
        <w:t>Mike Hawes, SMMT Chief Executive</w:t>
      </w:r>
      <w:r>
        <w:rPr>
          <w:rFonts w:ascii="Arial" w:hAnsi="Arial" w:cs="Arial"/>
          <w:sz w:val="20"/>
        </w:rPr>
        <w:t xml:space="preserve"> said, “Commercial vehicle production ended 2015 on a very positive note, with another month of growth in December resulting in a substantial boost to volumes for the year. Exports continued to make up half of UK CV demand, with more than 47,000 vehicles destined for overseas markets, fuelled by the continued recovery of our biggest trading partner, Europe.” </w:t>
      </w:r>
    </w:p>
    <w:tbl>
      <w:tblPr>
        <w:tblW w:w="9464" w:type="dxa"/>
        <w:tblCellMar>
          <w:left w:w="0" w:type="dxa"/>
          <w:right w:w="0" w:type="dxa"/>
        </w:tblCellMar>
        <w:tblLook w:val="04A0"/>
      </w:tblPr>
      <w:tblGrid>
        <w:gridCol w:w="2093"/>
        <w:gridCol w:w="1276"/>
        <w:gridCol w:w="1134"/>
        <w:gridCol w:w="1275"/>
        <w:gridCol w:w="1276"/>
        <w:gridCol w:w="1134"/>
        <w:gridCol w:w="1276"/>
      </w:tblGrid>
      <w:tr w:rsidR="00D02559" w:rsidRPr="00A758E4" w:rsidTr="00A758E4">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810B10" w:rsidP="00DD6B4A">
            <w:pPr>
              <w:jc w:val="center"/>
              <w:rPr>
                <w:rFonts w:ascii="Arial" w:hAnsi="Arial" w:cs="Arial"/>
                <w:b/>
                <w:bCs/>
                <w:color w:val="002060"/>
                <w:sz w:val="20"/>
              </w:rPr>
            </w:pPr>
            <w:r>
              <w:rPr>
                <w:rFonts w:ascii="Arial" w:hAnsi="Arial" w:cs="Arial"/>
                <w:b/>
                <w:bCs/>
                <w:color w:val="002060"/>
                <w:sz w:val="20"/>
              </w:rPr>
              <w:t>Dec</w:t>
            </w:r>
            <w:r w:rsidR="00D02559" w:rsidRPr="00D02559">
              <w:rPr>
                <w:rFonts w:ascii="Arial" w:hAnsi="Arial" w:cs="Arial"/>
                <w:b/>
                <w:bCs/>
                <w:color w:val="002060"/>
                <w:sz w:val="20"/>
              </w:rPr>
              <w:t>-14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810B10" w:rsidP="00DD6B4A">
            <w:pPr>
              <w:jc w:val="center"/>
              <w:rPr>
                <w:rFonts w:ascii="Arial" w:hAnsi="Arial" w:cs="Arial"/>
                <w:b/>
                <w:bCs/>
                <w:color w:val="002060"/>
                <w:sz w:val="20"/>
              </w:rPr>
            </w:pPr>
            <w:r>
              <w:rPr>
                <w:rFonts w:ascii="Arial" w:hAnsi="Arial" w:cs="Arial"/>
                <w:b/>
                <w:bCs/>
                <w:color w:val="002060"/>
                <w:sz w:val="20"/>
              </w:rPr>
              <w:t>De</w:t>
            </w:r>
            <w:r w:rsidR="00D02559" w:rsidRPr="00D02559">
              <w:rPr>
                <w:rFonts w:ascii="Arial" w:hAnsi="Arial" w:cs="Arial"/>
                <w:b/>
                <w:bCs/>
                <w:color w:val="002060"/>
                <w:sz w:val="20"/>
              </w:rPr>
              <w:t>-15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D02559" w:rsidRPr="00D02559" w:rsidRDefault="00D02559" w:rsidP="00DD6B4A">
            <w:pPr>
              <w:jc w:val="center"/>
              <w:rPr>
                <w:rFonts w:ascii="Arial" w:hAnsi="Arial" w:cs="Arial"/>
                <w:b/>
                <w:bCs/>
                <w:color w:val="002060"/>
                <w:sz w:val="20"/>
              </w:rPr>
            </w:pPr>
            <w:r w:rsidRPr="00D02559">
              <w:rPr>
                <w:rFonts w:ascii="Arial" w:hAnsi="Arial" w:cs="Arial"/>
                <w:b/>
                <w:bCs/>
                <w:color w:val="002060"/>
                <w:sz w:val="20"/>
              </w:rPr>
              <w:t>% Change</w:t>
            </w:r>
          </w:p>
        </w:tc>
      </w:tr>
      <w:tr w:rsidR="00897B71"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897B71" w:rsidRPr="000E578A" w:rsidRDefault="00897B71" w:rsidP="00DD6B4A">
            <w:pPr>
              <w:jc w:val="right"/>
              <w:rPr>
                <w:rFonts w:ascii="Arial" w:hAnsi="Arial" w:cs="Arial"/>
                <w:color w:val="0D2255"/>
                <w:sz w:val="20"/>
              </w:rPr>
            </w:pPr>
            <w:r w:rsidRPr="000E578A">
              <w:rPr>
                <w:rFonts w:ascii="Arial" w:hAnsi="Arial" w:cs="Arial"/>
                <w:color w:val="0D2255"/>
                <w:sz w:val="20"/>
              </w:rPr>
              <w:t>Total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5,815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6,265</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18"/>
                <w:szCs w:val="18"/>
              </w:rPr>
            </w:pPr>
            <w:r w:rsidRPr="00810B10">
              <w:rPr>
                <w:rFonts w:ascii="Arial" w:hAnsi="Arial" w:cs="Arial"/>
                <w:color w:val="0D2255"/>
                <w:sz w:val="18"/>
                <w:szCs w:val="18"/>
              </w:rPr>
              <w:t>7.7%</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70,869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94,479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18"/>
                <w:szCs w:val="18"/>
              </w:rPr>
            </w:pPr>
            <w:r w:rsidRPr="00810B10">
              <w:rPr>
                <w:rFonts w:ascii="Arial" w:hAnsi="Arial" w:cs="Arial"/>
                <w:color w:val="0D2255"/>
                <w:sz w:val="18"/>
                <w:szCs w:val="18"/>
              </w:rPr>
              <w:t>33.3%</w:t>
            </w:r>
          </w:p>
        </w:tc>
      </w:tr>
      <w:tr w:rsidR="00897B71"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897B71" w:rsidRPr="000E578A" w:rsidRDefault="00897B71" w:rsidP="00DD6B4A">
            <w:pPr>
              <w:jc w:val="right"/>
              <w:rPr>
                <w:rFonts w:ascii="Arial" w:hAnsi="Arial" w:cs="Arial"/>
                <w:color w:val="0D2255"/>
                <w:sz w:val="20"/>
              </w:rPr>
            </w:pPr>
            <w:r w:rsidRPr="000E578A">
              <w:rPr>
                <w:rFonts w:ascii="Arial" w:hAnsi="Arial" w:cs="Arial"/>
                <w:color w:val="0D2255"/>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2,891</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3,008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18"/>
                <w:szCs w:val="18"/>
              </w:rPr>
            </w:pPr>
            <w:r w:rsidRPr="00810B10">
              <w:rPr>
                <w:rFonts w:ascii="Arial" w:hAnsi="Arial" w:cs="Arial"/>
                <w:color w:val="0D2255"/>
                <w:sz w:val="18"/>
                <w:szCs w:val="18"/>
              </w:rPr>
              <w:t>4.0%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35,945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47,300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18"/>
                <w:szCs w:val="18"/>
              </w:rPr>
            </w:pPr>
            <w:r w:rsidRPr="00810B10">
              <w:rPr>
                <w:rFonts w:ascii="Arial" w:hAnsi="Arial" w:cs="Arial"/>
                <w:color w:val="0D2255"/>
                <w:sz w:val="18"/>
                <w:szCs w:val="18"/>
              </w:rPr>
              <w:t>31.6%</w:t>
            </w:r>
          </w:p>
        </w:tc>
      </w:tr>
      <w:tr w:rsidR="00897B71"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897B71" w:rsidRPr="000E578A" w:rsidRDefault="00897B71" w:rsidP="00DD6B4A">
            <w:pPr>
              <w:jc w:val="right"/>
              <w:rPr>
                <w:rFonts w:ascii="Arial" w:hAnsi="Arial" w:cs="Arial"/>
                <w:color w:val="0D2255"/>
                <w:sz w:val="20"/>
              </w:rPr>
            </w:pPr>
            <w:r w:rsidRPr="000E578A">
              <w:rPr>
                <w:rFonts w:ascii="Arial" w:hAnsi="Arial" w:cs="Arial"/>
                <w:color w:val="0D2255"/>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2,924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3,257</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18"/>
                <w:szCs w:val="18"/>
              </w:rPr>
            </w:pPr>
            <w:r w:rsidRPr="00810B10">
              <w:rPr>
                <w:rFonts w:ascii="Arial" w:hAnsi="Arial" w:cs="Arial"/>
                <w:color w:val="0D2255"/>
                <w:sz w:val="18"/>
                <w:szCs w:val="18"/>
              </w:rPr>
              <w:t>11.4%</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34,924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47,179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18"/>
                <w:szCs w:val="18"/>
              </w:rPr>
            </w:pPr>
            <w:r w:rsidRPr="00810B10">
              <w:rPr>
                <w:rFonts w:ascii="Arial" w:hAnsi="Arial" w:cs="Arial"/>
                <w:color w:val="0D2255"/>
                <w:sz w:val="18"/>
                <w:szCs w:val="18"/>
              </w:rPr>
              <w:t>35.1%</w:t>
            </w:r>
          </w:p>
        </w:tc>
      </w:tr>
      <w:tr w:rsidR="00897B71" w:rsidRPr="00A758E4" w:rsidTr="00DD6B4A">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897B71" w:rsidRPr="000E578A" w:rsidRDefault="00897B71" w:rsidP="00DD6B4A">
            <w:pPr>
              <w:jc w:val="right"/>
              <w:rPr>
                <w:rFonts w:ascii="Arial" w:hAnsi="Arial" w:cs="Arial"/>
                <w:color w:val="0D2255"/>
                <w:sz w:val="20"/>
              </w:rPr>
            </w:pPr>
            <w:r w:rsidRPr="000E578A">
              <w:rPr>
                <w:rFonts w:ascii="Arial" w:hAnsi="Arial" w:cs="Arial"/>
                <w:color w:val="0D2255"/>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50.3%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52.0%</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49.3%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49.9%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897B71" w:rsidRPr="00810B10" w:rsidRDefault="00897B71">
            <w:pPr>
              <w:jc w:val="right"/>
              <w:rPr>
                <w:rFonts w:ascii="Arial" w:hAnsi="Arial" w:cs="Arial"/>
                <w:color w:val="0D2255"/>
                <w:sz w:val="20"/>
              </w:rPr>
            </w:pPr>
            <w:r w:rsidRPr="00810B10">
              <w:rPr>
                <w:rFonts w:ascii="Arial" w:hAnsi="Arial" w:cs="Arial"/>
                <w:color w:val="0D2255"/>
                <w:sz w:val="20"/>
              </w:rPr>
              <w:t> </w:t>
            </w:r>
          </w:p>
        </w:tc>
      </w:tr>
    </w:tbl>
    <w:p w:rsidR="005048CD" w:rsidRPr="009E08F6" w:rsidRDefault="00EA2771" w:rsidP="005048CD">
      <w:pPr>
        <w:rPr>
          <w:rFonts w:ascii="Calibri" w:eastAsiaTheme="minorHAnsi" w:hAnsi="Calibri"/>
          <w:sz w:val="22"/>
          <w:szCs w:val="22"/>
        </w:rPr>
      </w:pPr>
      <w:r>
        <w:rPr>
          <w:rFonts w:ascii="Arial" w:hAnsi="Arial" w:cs="Arial"/>
          <w:sz w:val="20"/>
        </w:rPr>
        <w:t> </w:t>
      </w:r>
      <w:r w:rsidR="005048CD">
        <w:rPr>
          <w:rFonts w:ascii="Arial" w:hAnsi="Arial" w:cs="Arial"/>
          <w:sz w:val="20"/>
        </w:rPr>
        <w:t> </w:t>
      </w:r>
    </w:p>
    <w:p w:rsidR="00073163" w:rsidRDefault="00073163" w:rsidP="006620F7">
      <w:pPr>
        <w:rPr>
          <w:rFonts w:ascii="Arial" w:hAnsi="Arial" w:cs="Arial"/>
          <w:b/>
          <w:noProof/>
          <w:color w:val="0D2255"/>
          <w:sz w:val="20"/>
        </w:rPr>
      </w:pPr>
      <w:r w:rsidRPr="00325254">
        <w:rPr>
          <w:rFonts w:ascii="Arial" w:hAnsi="Arial" w:cs="Arial"/>
          <w:b/>
          <w:color w:val="0D2255"/>
          <w:sz w:val="20"/>
        </w:rPr>
        <w:t xml:space="preserve">CV output </w:t>
      </w:r>
      <w:r>
        <w:rPr>
          <w:rFonts w:ascii="Arial" w:hAnsi="Arial" w:cs="Arial"/>
          <w:b/>
          <w:color w:val="0D2255"/>
          <w:sz w:val="20"/>
        </w:rPr>
        <w:t xml:space="preserve">– </w:t>
      </w:r>
      <w:r w:rsidRPr="00325254">
        <w:rPr>
          <w:rFonts w:ascii="Arial" w:hAnsi="Arial" w:cs="Arial"/>
          <w:b/>
          <w:color w:val="0D2255"/>
          <w:sz w:val="20"/>
        </w:rPr>
        <w:t>rolling year to</w:t>
      </w:r>
      <w:r>
        <w:rPr>
          <w:rFonts w:ascii="Arial" w:hAnsi="Arial" w:cs="Arial"/>
          <w:b/>
          <w:color w:val="0D2255"/>
          <w:sz w:val="20"/>
        </w:rPr>
        <w:t>tal</w:t>
      </w:r>
      <w:r w:rsidR="008E75CB">
        <w:rPr>
          <w:rFonts w:ascii="Arial" w:hAnsi="Arial" w:cs="Arial"/>
          <w:b/>
          <w:color w:val="0D2255"/>
          <w:sz w:val="20"/>
        </w:rPr>
        <w:t xml:space="preserve">s </w:t>
      </w:r>
      <w:r w:rsidR="008E75CB" w:rsidRPr="008E75CB">
        <w:rPr>
          <w:rFonts w:ascii="Arial" w:hAnsi="Arial" w:cs="Arial"/>
          <w:b/>
          <w:color w:val="0D2255"/>
          <w:sz w:val="20"/>
        </w:rPr>
        <w:t>2008-2015</w:t>
      </w:r>
    </w:p>
    <w:p w:rsidR="00AC68AB" w:rsidRDefault="00AC68AB" w:rsidP="006620F7">
      <w:pPr>
        <w:rPr>
          <w:rFonts w:ascii="Arial" w:hAnsi="Arial" w:cs="Arial"/>
          <w:b/>
          <w:color w:val="0D2255"/>
          <w:sz w:val="20"/>
        </w:rPr>
      </w:pPr>
    </w:p>
    <w:p w:rsidR="009E08F6" w:rsidRDefault="00C40646" w:rsidP="006620F7">
      <w:pPr>
        <w:rPr>
          <w:rFonts w:ascii="Arial" w:eastAsia="Times New Roman" w:hAnsi="Arial" w:cs="Arial"/>
          <w:b/>
          <w:color w:val="1074CB"/>
          <w:sz w:val="16"/>
          <w:szCs w:val="16"/>
          <w:u w:val="single"/>
        </w:rPr>
      </w:pPr>
      <w:r w:rsidRPr="00C40646">
        <w:rPr>
          <w:rFonts w:ascii="Arial" w:eastAsia="Times New Roman" w:hAnsi="Arial" w:cs="Arial"/>
          <w:b/>
          <w:noProof/>
          <w:color w:val="1074CB"/>
          <w:sz w:val="16"/>
          <w:szCs w:val="16"/>
          <w:u w:val="single"/>
        </w:rPr>
        <w:drawing>
          <wp:inline distT="0" distB="0" distL="0" distR="0">
            <wp:extent cx="6296025" cy="31432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596F" w:rsidRDefault="00DE596F" w:rsidP="006620F7">
      <w:pPr>
        <w:rPr>
          <w:rFonts w:ascii="Arial" w:eastAsia="Times New Roman" w:hAnsi="Arial" w:cs="Arial"/>
          <w:b/>
          <w:color w:val="1074CB"/>
          <w:sz w:val="16"/>
          <w:szCs w:val="16"/>
          <w:u w:val="single"/>
        </w:rPr>
      </w:pPr>
    </w:p>
    <w:p w:rsidR="00FC2BFE" w:rsidRPr="00774429" w:rsidRDefault="00FC2BFE" w:rsidP="006620F7">
      <w:pPr>
        <w:rPr>
          <w:rFonts w:ascii="Arial" w:eastAsia="Times New Roman" w:hAnsi="Arial" w:cs="Arial"/>
          <w:b/>
          <w:color w:val="1074CB"/>
          <w:sz w:val="16"/>
          <w:szCs w:val="16"/>
          <w:u w:val="single"/>
        </w:rPr>
      </w:pPr>
      <w:r w:rsidRPr="00774429">
        <w:rPr>
          <w:rFonts w:ascii="Arial" w:eastAsia="Times New Roman" w:hAnsi="Arial" w:cs="Arial"/>
          <w:b/>
          <w:color w:val="1074CB"/>
          <w:sz w:val="16"/>
          <w:szCs w:val="16"/>
          <w:u w:val="single"/>
        </w:rPr>
        <w:t>Notes to editors</w:t>
      </w:r>
    </w:p>
    <w:p w:rsidR="00FC2BFE" w:rsidRDefault="00FC2BFE" w:rsidP="006620F7">
      <w:pPr>
        <w:rPr>
          <w:rFonts w:ascii="Arial" w:eastAsia="Times New Roman" w:hAnsi="Arial" w:cs="Arial"/>
          <w:b/>
          <w:color w:val="1074CB"/>
          <w:sz w:val="16"/>
          <w:szCs w:val="16"/>
        </w:rPr>
      </w:pPr>
    </w:p>
    <w:p w:rsidR="006620F7"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73163" w:rsidRPr="00073163" w:rsidRDefault="00073163" w:rsidP="006620F7">
      <w:pPr>
        <w:rPr>
          <w:rFonts w:ascii="Arial" w:hAnsi="Arial" w:cs="Arial"/>
          <w:b/>
          <w:color w:val="0D2255"/>
          <w:sz w:val="20"/>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AA0D85" w:rsidRDefault="00AA0D85" w:rsidP="00AA0D85">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0E578A" w:rsidRDefault="000E578A" w:rsidP="00AA0D85">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sidRPr="00A875B0">
          <w:rPr>
            <w:rStyle w:val="Hyperlink"/>
            <w:rFonts w:ascii="Arial" w:hAnsi="Arial"/>
            <w:sz w:val="16"/>
          </w:rPr>
          <w:t>bfoulds@smmt.co.uk</w:t>
        </w:r>
      </w:hyperlink>
      <w:r>
        <w:rPr>
          <w:rFonts w:ascii="Arial" w:hAnsi="Arial"/>
          <w:color w:val="1074CB"/>
          <w:sz w:val="16"/>
        </w:rPr>
        <w:t xml:space="preserve"> </w:t>
      </w:r>
    </w:p>
    <w:p w:rsidR="00AA0D85" w:rsidRDefault="00AA0D85" w:rsidP="00AA0D85">
      <w:pPr>
        <w:rPr>
          <w:rFonts w:ascii="Arial" w:hAnsi="Arial"/>
          <w:sz w:val="16"/>
        </w:rPr>
      </w:pPr>
      <w:r>
        <w:rPr>
          <w:rFonts w:ascii="Arial" w:hAnsi="Arial"/>
          <w:color w:val="1074CB"/>
          <w:sz w:val="16"/>
        </w:rPr>
        <w:t>Francesca Fleming</w:t>
      </w:r>
      <w:r>
        <w:rPr>
          <w:rFonts w:ascii="Arial" w:hAnsi="Arial"/>
          <w:color w:val="1074CB"/>
          <w:sz w:val="16"/>
        </w:rPr>
        <w:tab/>
      </w:r>
      <w:r>
        <w:rPr>
          <w:rFonts w:ascii="Arial" w:hAnsi="Arial"/>
          <w:color w:val="1074CB"/>
          <w:sz w:val="16"/>
        </w:rPr>
        <w:tab/>
      </w:r>
      <w:r>
        <w:rPr>
          <w:rFonts w:ascii="Arial" w:hAnsi="Arial"/>
          <w:color w:val="1074CB"/>
          <w:sz w:val="16"/>
        </w:rPr>
        <w:tab/>
        <w:t>020 7344 9206</w:t>
      </w:r>
      <w:r>
        <w:rPr>
          <w:rFonts w:ascii="Arial" w:hAnsi="Arial"/>
          <w:color w:val="1074CB"/>
          <w:sz w:val="16"/>
        </w:rPr>
        <w:tab/>
      </w:r>
      <w:r>
        <w:rPr>
          <w:rFonts w:ascii="Arial" w:hAnsi="Arial"/>
          <w:color w:val="1074CB"/>
          <w:sz w:val="16"/>
        </w:rPr>
        <w:tab/>
      </w:r>
      <w:hyperlink r:id="rId11" w:history="1">
        <w:r w:rsidRPr="00C75E78">
          <w:rPr>
            <w:rStyle w:val="Hyperlink"/>
            <w:rFonts w:ascii="Arial" w:hAnsi="Arial"/>
            <w:sz w:val="16"/>
          </w:rPr>
          <w:t>ffleming@smmt.co.uk</w:t>
        </w:r>
      </w:hyperlink>
    </w:p>
    <w:p w:rsidR="00A719ED" w:rsidRDefault="00A719ED" w:rsidP="00AA0D85">
      <w:pPr>
        <w:rPr>
          <w:rFonts w:ascii="Arial" w:hAnsi="Arial"/>
          <w:color w:val="1074CB"/>
          <w:sz w:val="16"/>
        </w:rPr>
      </w:pPr>
      <w:r>
        <w:rPr>
          <w:rFonts w:ascii="Arial" w:hAnsi="Arial"/>
          <w:color w:val="1074CB"/>
          <w:sz w:val="16"/>
        </w:rPr>
        <w:t>Lucy Bielby</w:t>
      </w:r>
      <w:r>
        <w:rPr>
          <w:rFonts w:ascii="Arial" w:hAnsi="Arial"/>
          <w:color w:val="1074CB"/>
          <w:sz w:val="16"/>
        </w:rPr>
        <w:tab/>
      </w:r>
      <w:r>
        <w:rPr>
          <w:rFonts w:ascii="Arial" w:hAnsi="Arial"/>
          <w:color w:val="1074CB"/>
          <w:sz w:val="16"/>
        </w:rPr>
        <w:tab/>
      </w:r>
      <w:r>
        <w:rPr>
          <w:rFonts w:ascii="Arial" w:hAnsi="Arial"/>
          <w:color w:val="1074CB"/>
          <w:sz w:val="16"/>
        </w:rPr>
        <w:tab/>
        <w:t>020 7344 1610</w:t>
      </w:r>
      <w:r>
        <w:rPr>
          <w:rFonts w:ascii="Arial" w:hAnsi="Arial"/>
          <w:color w:val="1074CB"/>
          <w:sz w:val="16"/>
        </w:rPr>
        <w:tab/>
      </w:r>
      <w:r>
        <w:rPr>
          <w:rFonts w:ascii="Arial" w:hAnsi="Arial"/>
          <w:color w:val="1074CB"/>
          <w:sz w:val="16"/>
        </w:rPr>
        <w:tab/>
      </w:r>
      <w:hyperlink r:id="rId12" w:history="1">
        <w:r w:rsidRPr="00B30A7C">
          <w:rPr>
            <w:rStyle w:val="Hyperlink"/>
            <w:rFonts w:ascii="Arial" w:hAnsi="Arial"/>
            <w:sz w:val="16"/>
          </w:rPr>
          <w:t>lbielby@smmt.co.uk</w:t>
        </w:r>
      </w:hyperlink>
      <w:r>
        <w:rPr>
          <w:rFonts w:ascii="Arial" w:hAnsi="Arial"/>
          <w:color w:val="1074CB"/>
          <w:sz w:val="16"/>
        </w:rPr>
        <w:t xml:space="preserve"> </w:t>
      </w:r>
    </w:p>
    <w:p w:rsidR="00AA0D85" w:rsidRDefault="00AA0D85" w:rsidP="00AA0D85">
      <w:pPr>
        <w:tabs>
          <w:tab w:val="right" w:pos="9332"/>
        </w:tabs>
        <w:rPr>
          <w:rFonts w:ascii="Arial" w:hAnsi="Arial"/>
          <w:sz w:val="16"/>
        </w:rPr>
      </w:pPr>
    </w:p>
    <w:p w:rsidR="00B25479" w:rsidRPr="00B25479" w:rsidRDefault="00B25479" w:rsidP="00AA0D85">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A57" w:rsidRDefault="00E70A57" w:rsidP="00C80E70">
      <w:r>
        <w:separator/>
      </w:r>
    </w:p>
  </w:endnote>
  <w:endnote w:type="continuationSeparator" w:id="0">
    <w:p w:rsidR="00E70A57" w:rsidRDefault="00E70A57"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7" w:rsidRPr="006620F7" w:rsidRDefault="00E70A57"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A57" w:rsidRDefault="00E70A57" w:rsidP="00C80E70">
      <w:r>
        <w:separator/>
      </w:r>
    </w:p>
  </w:footnote>
  <w:footnote w:type="continuationSeparator" w:id="0">
    <w:p w:rsidR="00E70A57" w:rsidRDefault="00E70A57"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57" w:rsidRDefault="00E70A57">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4404995</wp:posOffset>
          </wp:positionH>
          <wp:positionV relativeFrom="paragraph">
            <wp:posOffset>-259715</wp:posOffset>
          </wp:positionV>
          <wp:extent cx="1952625" cy="742950"/>
          <wp:effectExtent l="19050" t="0" r="9525"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87303"/>
    <w:multiLevelType w:val="hybridMultilevel"/>
    <w:tmpl w:val="FC0C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AB2316"/>
    <w:multiLevelType w:val="hybridMultilevel"/>
    <w:tmpl w:val="52DAE3B4"/>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456FC"/>
    <w:multiLevelType w:val="hybridMultilevel"/>
    <w:tmpl w:val="9D02E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0EF6D95"/>
    <w:multiLevelType w:val="hybridMultilevel"/>
    <w:tmpl w:val="724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D3ECB"/>
    <w:multiLevelType w:val="hybridMultilevel"/>
    <w:tmpl w:val="7C540E9A"/>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60B3F"/>
    <w:multiLevelType w:val="hybridMultilevel"/>
    <w:tmpl w:val="1BF040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6E9E7326"/>
    <w:multiLevelType w:val="hybridMultilevel"/>
    <w:tmpl w:val="81ECB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91459E6"/>
    <w:multiLevelType w:val="hybridMultilevel"/>
    <w:tmpl w:val="452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7"/>
  </w:num>
  <w:num w:numId="10">
    <w:abstractNumId w:val="6"/>
  </w:num>
  <w:num w:numId="11">
    <w:abstractNumId w:val="3"/>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C80E70"/>
    <w:rsid w:val="00006BE9"/>
    <w:rsid w:val="0001774D"/>
    <w:rsid w:val="00017BE7"/>
    <w:rsid w:val="0003611F"/>
    <w:rsid w:val="000376DA"/>
    <w:rsid w:val="00037DBD"/>
    <w:rsid w:val="00040399"/>
    <w:rsid w:val="00054E31"/>
    <w:rsid w:val="00055008"/>
    <w:rsid w:val="00066F55"/>
    <w:rsid w:val="00071B75"/>
    <w:rsid w:val="00073163"/>
    <w:rsid w:val="0008241D"/>
    <w:rsid w:val="000850E7"/>
    <w:rsid w:val="00085613"/>
    <w:rsid w:val="00096A24"/>
    <w:rsid w:val="000A5A5E"/>
    <w:rsid w:val="000B3A51"/>
    <w:rsid w:val="000B47D6"/>
    <w:rsid w:val="000B5D51"/>
    <w:rsid w:val="000C3FDE"/>
    <w:rsid w:val="000E5317"/>
    <w:rsid w:val="000E578A"/>
    <w:rsid w:val="000E71FB"/>
    <w:rsid w:val="000F1290"/>
    <w:rsid w:val="001013CE"/>
    <w:rsid w:val="001021AF"/>
    <w:rsid w:val="00107A4E"/>
    <w:rsid w:val="00110120"/>
    <w:rsid w:val="00116666"/>
    <w:rsid w:val="0011695D"/>
    <w:rsid w:val="0011738E"/>
    <w:rsid w:val="00121C86"/>
    <w:rsid w:val="0012569D"/>
    <w:rsid w:val="00125D19"/>
    <w:rsid w:val="00133B87"/>
    <w:rsid w:val="0013617E"/>
    <w:rsid w:val="00142AE3"/>
    <w:rsid w:val="0014558C"/>
    <w:rsid w:val="00157A4E"/>
    <w:rsid w:val="001630D2"/>
    <w:rsid w:val="00171CEB"/>
    <w:rsid w:val="001737CD"/>
    <w:rsid w:val="0017616F"/>
    <w:rsid w:val="00187E2B"/>
    <w:rsid w:val="00192CE4"/>
    <w:rsid w:val="00197C2C"/>
    <w:rsid w:val="001A0DDA"/>
    <w:rsid w:val="001A1B4A"/>
    <w:rsid w:val="001A43AE"/>
    <w:rsid w:val="001A67B5"/>
    <w:rsid w:val="001A7945"/>
    <w:rsid w:val="001B2FFA"/>
    <w:rsid w:val="001C389E"/>
    <w:rsid w:val="001C4B17"/>
    <w:rsid w:val="001D438A"/>
    <w:rsid w:val="001D6CB9"/>
    <w:rsid w:val="001E2638"/>
    <w:rsid w:val="001E33CE"/>
    <w:rsid w:val="001E428D"/>
    <w:rsid w:val="001E4FD3"/>
    <w:rsid w:val="001F079E"/>
    <w:rsid w:val="001F21A2"/>
    <w:rsid w:val="001F479F"/>
    <w:rsid w:val="001F7274"/>
    <w:rsid w:val="00200A18"/>
    <w:rsid w:val="00200F65"/>
    <w:rsid w:val="00201A40"/>
    <w:rsid w:val="00203C91"/>
    <w:rsid w:val="0020649D"/>
    <w:rsid w:val="00207B1F"/>
    <w:rsid w:val="00213604"/>
    <w:rsid w:val="00215AA6"/>
    <w:rsid w:val="0021675E"/>
    <w:rsid w:val="00217F6D"/>
    <w:rsid w:val="00221063"/>
    <w:rsid w:val="0022500E"/>
    <w:rsid w:val="00235019"/>
    <w:rsid w:val="002453CC"/>
    <w:rsid w:val="00245B57"/>
    <w:rsid w:val="00247A08"/>
    <w:rsid w:val="00252DCB"/>
    <w:rsid w:val="00263E82"/>
    <w:rsid w:val="00265F40"/>
    <w:rsid w:val="00266A9A"/>
    <w:rsid w:val="00273FB1"/>
    <w:rsid w:val="002777B2"/>
    <w:rsid w:val="00284207"/>
    <w:rsid w:val="002A5934"/>
    <w:rsid w:val="002B4F7D"/>
    <w:rsid w:val="002C400E"/>
    <w:rsid w:val="002C4D13"/>
    <w:rsid w:val="002D17AA"/>
    <w:rsid w:val="002D1EFC"/>
    <w:rsid w:val="002D42EB"/>
    <w:rsid w:val="002D6C6E"/>
    <w:rsid w:val="002F3A10"/>
    <w:rsid w:val="002F3F25"/>
    <w:rsid w:val="002F5B91"/>
    <w:rsid w:val="002F6028"/>
    <w:rsid w:val="002F69D3"/>
    <w:rsid w:val="002F73AF"/>
    <w:rsid w:val="00302F4D"/>
    <w:rsid w:val="003043B2"/>
    <w:rsid w:val="003103FB"/>
    <w:rsid w:val="0032331E"/>
    <w:rsid w:val="00325254"/>
    <w:rsid w:val="00331CA5"/>
    <w:rsid w:val="003372F6"/>
    <w:rsid w:val="00340C33"/>
    <w:rsid w:val="00361AC4"/>
    <w:rsid w:val="00363376"/>
    <w:rsid w:val="00363F6D"/>
    <w:rsid w:val="003641FD"/>
    <w:rsid w:val="00371D09"/>
    <w:rsid w:val="00375DF8"/>
    <w:rsid w:val="00390416"/>
    <w:rsid w:val="003A0F07"/>
    <w:rsid w:val="003A3777"/>
    <w:rsid w:val="003A6D95"/>
    <w:rsid w:val="003A78E1"/>
    <w:rsid w:val="003B1C39"/>
    <w:rsid w:val="003C1CEB"/>
    <w:rsid w:val="003C76B4"/>
    <w:rsid w:val="003D5459"/>
    <w:rsid w:val="003E3A75"/>
    <w:rsid w:val="003E4D46"/>
    <w:rsid w:val="003E69D3"/>
    <w:rsid w:val="003F69E6"/>
    <w:rsid w:val="00410539"/>
    <w:rsid w:val="00417A32"/>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0619"/>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E3B90"/>
    <w:rsid w:val="004F53F5"/>
    <w:rsid w:val="005048CD"/>
    <w:rsid w:val="00505C8C"/>
    <w:rsid w:val="00505D72"/>
    <w:rsid w:val="005068D3"/>
    <w:rsid w:val="005135AA"/>
    <w:rsid w:val="005218AC"/>
    <w:rsid w:val="005230CA"/>
    <w:rsid w:val="00525F4A"/>
    <w:rsid w:val="00526588"/>
    <w:rsid w:val="0053217D"/>
    <w:rsid w:val="005375F2"/>
    <w:rsid w:val="005407A6"/>
    <w:rsid w:val="00542422"/>
    <w:rsid w:val="00544FB3"/>
    <w:rsid w:val="00545182"/>
    <w:rsid w:val="00545EE2"/>
    <w:rsid w:val="0054752A"/>
    <w:rsid w:val="005534B2"/>
    <w:rsid w:val="0055683E"/>
    <w:rsid w:val="00556EAE"/>
    <w:rsid w:val="005621BD"/>
    <w:rsid w:val="00562496"/>
    <w:rsid w:val="00567F13"/>
    <w:rsid w:val="00570949"/>
    <w:rsid w:val="00577A32"/>
    <w:rsid w:val="005800BB"/>
    <w:rsid w:val="00584320"/>
    <w:rsid w:val="005926DF"/>
    <w:rsid w:val="005A21AE"/>
    <w:rsid w:val="005A3DED"/>
    <w:rsid w:val="005B33EF"/>
    <w:rsid w:val="005B536B"/>
    <w:rsid w:val="005C08EA"/>
    <w:rsid w:val="005C1474"/>
    <w:rsid w:val="005C668F"/>
    <w:rsid w:val="005D2BA5"/>
    <w:rsid w:val="005D5231"/>
    <w:rsid w:val="005E2C9D"/>
    <w:rsid w:val="005F44DC"/>
    <w:rsid w:val="0060260B"/>
    <w:rsid w:val="006028D2"/>
    <w:rsid w:val="00603713"/>
    <w:rsid w:val="00603DD8"/>
    <w:rsid w:val="0060762E"/>
    <w:rsid w:val="006125C7"/>
    <w:rsid w:val="00614891"/>
    <w:rsid w:val="00626F3D"/>
    <w:rsid w:val="006315A6"/>
    <w:rsid w:val="0063394A"/>
    <w:rsid w:val="006364F0"/>
    <w:rsid w:val="00643697"/>
    <w:rsid w:val="0064555E"/>
    <w:rsid w:val="00652DC2"/>
    <w:rsid w:val="00653F42"/>
    <w:rsid w:val="006611D9"/>
    <w:rsid w:val="00661C3A"/>
    <w:rsid w:val="006620F7"/>
    <w:rsid w:val="0066216E"/>
    <w:rsid w:val="006623D6"/>
    <w:rsid w:val="006767F4"/>
    <w:rsid w:val="00682614"/>
    <w:rsid w:val="00686576"/>
    <w:rsid w:val="00687C4A"/>
    <w:rsid w:val="00696C6A"/>
    <w:rsid w:val="006A12F0"/>
    <w:rsid w:val="006B0F16"/>
    <w:rsid w:val="006B3606"/>
    <w:rsid w:val="006B4C72"/>
    <w:rsid w:val="006B760E"/>
    <w:rsid w:val="006B7F8A"/>
    <w:rsid w:val="006C63D3"/>
    <w:rsid w:val="006D2454"/>
    <w:rsid w:val="006D538E"/>
    <w:rsid w:val="006E5BF9"/>
    <w:rsid w:val="006F7AF9"/>
    <w:rsid w:val="00703767"/>
    <w:rsid w:val="0070556A"/>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74429"/>
    <w:rsid w:val="00780593"/>
    <w:rsid w:val="00780F66"/>
    <w:rsid w:val="007820F6"/>
    <w:rsid w:val="007851A1"/>
    <w:rsid w:val="0078744E"/>
    <w:rsid w:val="00787B6E"/>
    <w:rsid w:val="00791C3D"/>
    <w:rsid w:val="007A1EAA"/>
    <w:rsid w:val="007B07B1"/>
    <w:rsid w:val="007B7669"/>
    <w:rsid w:val="007C15DC"/>
    <w:rsid w:val="007C3E7F"/>
    <w:rsid w:val="007C61F8"/>
    <w:rsid w:val="007D36B3"/>
    <w:rsid w:val="007E0099"/>
    <w:rsid w:val="007E1523"/>
    <w:rsid w:val="007E3E84"/>
    <w:rsid w:val="007F2653"/>
    <w:rsid w:val="007F5D68"/>
    <w:rsid w:val="00800A86"/>
    <w:rsid w:val="008030A3"/>
    <w:rsid w:val="00804C47"/>
    <w:rsid w:val="00806662"/>
    <w:rsid w:val="00810B10"/>
    <w:rsid w:val="00814473"/>
    <w:rsid w:val="00815724"/>
    <w:rsid w:val="00824985"/>
    <w:rsid w:val="008301BF"/>
    <w:rsid w:val="00834B54"/>
    <w:rsid w:val="0084179B"/>
    <w:rsid w:val="00846D5B"/>
    <w:rsid w:val="00853258"/>
    <w:rsid w:val="00865D45"/>
    <w:rsid w:val="00867D0B"/>
    <w:rsid w:val="00880351"/>
    <w:rsid w:val="008902B9"/>
    <w:rsid w:val="00891F21"/>
    <w:rsid w:val="0089508C"/>
    <w:rsid w:val="00897B71"/>
    <w:rsid w:val="008B50CB"/>
    <w:rsid w:val="008C6378"/>
    <w:rsid w:val="008D1E45"/>
    <w:rsid w:val="008D66DA"/>
    <w:rsid w:val="008E351F"/>
    <w:rsid w:val="008E4462"/>
    <w:rsid w:val="008E75CB"/>
    <w:rsid w:val="008F0806"/>
    <w:rsid w:val="008F0A62"/>
    <w:rsid w:val="008F51F9"/>
    <w:rsid w:val="008F55A4"/>
    <w:rsid w:val="009177C1"/>
    <w:rsid w:val="00922536"/>
    <w:rsid w:val="00924274"/>
    <w:rsid w:val="00925557"/>
    <w:rsid w:val="00931C26"/>
    <w:rsid w:val="00932034"/>
    <w:rsid w:val="009511F2"/>
    <w:rsid w:val="00951B31"/>
    <w:rsid w:val="009548FB"/>
    <w:rsid w:val="00960A66"/>
    <w:rsid w:val="009637BC"/>
    <w:rsid w:val="00964455"/>
    <w:rsid w:val="0097483C"/>
    <w:rsid w:val="0098057F"/>
    <w:rsid w:val="00990D33"/>
    <w:rsid w:val="009914CA"/>
    <w:rsid w:val="009A14DB"/>
    <w:rsid w:val="009A5488"/>
    <w:rsid w:val="009B6D5D"/>
    <w:rsid w:val="009D1941"/>
    <w:rsid w:val="009D44F7"/>
    <w:rsid w:val="009E08F6"/>
    <w:rsid w:val="009E1545"/>
    <w:rsid w:val="009E29C2"/>
    <w:rsid w:val="009F17EB"/>
    <w:rsid w:val="009F5D30"/>
    <w:rsid w:val="00A056DE"/>
    <w:rsid w:val="00A1512E"/>
    <w:rsid w:val="00A2011F"/>
    <w:rsid w:val="00A2060E"/>
    <w:rsid w:val="00A24874"/>
    <w:rsid w:val="00A403B8"/>
    <w:rsid w:val="00A4116B"/>
    <w:rsid w:val="00A4405B"/>
    <w:rsid w:val="00A453EF"/>
    <w:rsid w:val="00A50F40"/>
    <w:rsid w:val="00A51715"/>
    <w:rsid w:val="00A557F1"/>
    <w:rsid w:val="00A67F90"/>
    <w:rsid w:val="00A719ED"/>
    <w:rsid w:val="00A72CAD"/>
    <w:rsid w:val="00A73903"/>
    <w:rsid w:val="00A758E4"/>
    <w:rsid w:val="00A773DB"/>
    <w:rsid w:val="00A84754"/>
    <w:rsid w:val="00A86C6F"/>
    <w:rsid w:val="00A93760"/>
    <w:rsid w:val="00A93DE9"/>
    <w:rsid w:val="00A94474"/>
    <w:rsid w:val="00A96D25"/>
    <w:rsid w:val="00AA0D85"/>
    <w:rsid w:val="00AA0E12"/>
    <w:rsid w:val="00AA2084"/>
    <w:rsid w:val="00AA21C3"/>
    <w:rsid w:val="00AA3259"/>
    <w:rsid w:val="00AA7BF4"/>
    <w:rsid w:val="00AB33BB"/>
    <w:rsid w:val="00AB385F"/>
    <w:rsid w:val="00AB41DD"/>
    <w:rsid w:val="00AC57E0"/>
    <w:rsid w:val="00AC68AB"/>
    <w:rsid w:val="00AD65CE"/>
    <w:rsid w:val="00B01D92"/>
    <w:rsid w:val="00B12E13"/>
    <w:rsid w:val="00B142C0"/>
    <w:rsid w:val="00B22811"/>
    <w:rsid w:val="00B25479"/>
    <w:rsid w:val="00B2588D"/>
    <w:rsid w:val="00B277BF"/>
    <w:rsid w:val="00B36DF8"/>
    <w:rsid w:val="00B4035F"/>
    <w:rsid w:val="00B40CCD"/>
    <w:rsid w:val="00B4715D"/>
    <w:rsid w:val="00B857A6"/>
    <w:rsid w:val="00B8664C"/>
    <w:rsid w:val="00B93687"/>
    <w:rsid w:val="00B94DB1"/>
    <w:rsid w:val="00B95B22"/>
    <w:rsid w:val="00BA4B2A"/>
    <w:rsid w:val="00BB3EB9"/>
    <w:rsid w:val="00BB49E2"/>
    <w:rsid w:val="00BB5F83"/>
    <w:rsid w:val="00BC0865"/>
    <w:rsid w:val="00BC3163"/>
    <w:rsid w:val="00BC5727"/>
    <w:rsid w:val="00BC7B6B"/>
    <w:rsid w:val="00BD30B4"/>
    <w:rsid w:val="00BD31A5"/>
    <w:rsid w:val="00BE1A62"/>
    <w:rsid w:val="00BE2CB3"/>
    <w:rsid w:val="00BF086E"/>
    <w:rsid w:val="00BF0928"/>
    <w:rsid w:val="00BF4C94"/>
    <w:rsid w:val="00BF57AB"/>
    <w:rsid w:val="00C02170"/>
    <w:rsid w:val="00C04E69"/>
    <w:rsid w:val="00C065D0"/>
    <w:rsid w:val="00C07099"/>
    <w:rsid w:val="00C100C5"/>
    <w:rsid w:val="00C108FE"/>
    <w:rsid w:val="00C120C5"/>
    <w:rsid w:val="00C15390"/>
    <w:rsid w:val="00C30AE8"/>
    <w:rsid w:val="00C40646"/>
    <w:rsid w:val="00C4074C"/>
    <w:rsid w:val="00C53C0C"/>
    <w:rsid w:val="00C6063A"/>
    <w:rsid w:val="00C625B1"/>
    <w:rsid w:val="00C657AB"/>
    <w:rsid w:val="00C67372"/>
    <w:rsid w:val="00C73F08"/>
    <w:rsid w:val="00C7696D"/>
    <w:rsid w:val="00C80E70"/>
    <w:rsid w:val="00C83606"/>
    <w:rsid w:val="00C94E96"/>
    <w:rsid w:val="00CA3174"/>
    <w:rsid w:val="00CA41BC"/>
    <w:rsid w:val="00CB221D"/>
    <w:rsid w:val="00CB4D91"/>
    <w:rsid w:val="00CB6220"/>
    <w:rsid w:val="00CC1F7E"/>
    <w:rsid w:val="00CC3D52"/>
    <w:rsid w:val="00CC6098"/>
    <w:rsid w:val="00CD0659"/>
    <w:rsid w:val="00CE070B"/>
    <w:rsid w:val="00CE0EE1"/>
    <w:rsid w:val="00CE3518"/>
    <w:rsid w:val="00CF7752"/>
    <w:rsid w:val="00D02559"/>
    <w:rsid w:val="00D02D3F"/>
    <w:rsid w:val="00D03DDD"/>
    <w:rsid w:val="00D05263"/>
    <w:rsid w:val="00D12474"/>
    <w:rsid w:val="00D14148"/>
    <w:rsid w:val="00D312A5"/>
    <w:rsid w:val="00D3229D"/>
    <w:rsid w:val="00D3306C"/>
    <w:rsid w:val="00D335A5"/>
    <w:rsid w:val="00D33AB3"/>
    <w:rsid w:val="00D4013F"/>
    <w:rsid w:val="00D41CAD"/>
    <w:rsid w:val="00D427A5"/>
    <w:rsid w:val="00D446D8"/>
    <w:rsid w:val="00D448CA"/>
    <w:rsid w:val="00D561FB"/>
    <w:rsid w:val="00D6067E"/>
    <w:rsid w:val="00D60A7A"/>
    <w:rsid w:val="00D61C08"/>
    <w:rsid w:val="00D61FF0"/>
    <w:rsid w:val="00D6336B"/>
    <w:rsid w:val="00D65CB1"/>
    <w:rsid w:val="00D70424"/>
    <w:rsid w:val="00D75029"/>
    <w:rsid w:val="00D80261"/>
    <w:rsid w:val="00D82ABB"/>
    <w:rsid w:val="00D82F6C"/>
    <w:rsid w:val="00D86627"/>
    <w:rsid w:val="00D911A4"/>
    <w:rsid w:val="00D92B21"/>
    <w:rsid w:val="00D94654"/>
    <w:rsid w:val="00D95284"/>
    <w:rsid w:val="00D96424"/>
    <w:rsid w:val="00DA78D8"/>
    <w:rsid w:val="00DB285E"/>
    <w:rsid w:val="00DB3140"/>
    <w:rsid w:val="00DB3768"/>
    <w:rsid w:val="00DC0BA5"/>
    <w:rsid w:val="00DC1667"/>
    <w:rsid w:val="00DC2D95"/>
    <w:rsid w:val="00DD6B4A"/>
    <w:rsid w:val="00DE0B9A"/>
    <w:rsid w:val="00DE596F"/>
    <w:rsid w:val="00DE5D6C"/>
    <w:rsid w:val="00DF1601"/>
    <w:rsid w:val="00DF19D9"/>
    <w:rsid w:val="00E14BEF"/>
    <w:rsid w:val="00E15193"/>
    <w:rsid w:val="00E25447"/>
    <w:rsid w:val="00E343D2"/>
    <w:rsid w:val="00E439C3"/>
    <w:rsid w:val="00E610C8"/>
    <w:rsid w:val="00E634A1"/>
    <w:rsid w:val="00E70A57"/>
    <w:rsid w:val="00E714BD"/>
    <w:rsid w:val="00E84E41"/>
    <w:rsid w:val="00E8542A"/>
    <w:rsid w:val="00EA2771"/>
    <w:rsid w:val="00EB1B2D"/>
    <w:rsid w:val="00EB2FB8"/>
    <w:rsid w:val="00EB4E51"/>
    <w:rsid w:val="00EB5EA2"/>
    <w:rsid w:val="00EC2476"/>
    <w:rsid w:val="00EC65AF"/>
    <w:rsid w:val="00EF35D8"/>
    <w:rsid w:val="00EF586C"/>
    <w:rsid w:val="00F0063D"/>
    <w:rsid w:val="00F15C2F"/>
    <w:rsid w:val="00F16A23"/>
    <w:rsid w:val="00F205F0"/>
    <w:rsid w:val="00F25C4C"/>
    <w:rsid w:val="00F30916"/>
    <w:rsid w:val="00F31257"/>
    <w:rsid w:val="00F339C4"/>
    <w:rsid w:val="00F40145"/>
    <w:rsid w:val="00F43472"/>
    <w:rsid w:val="00F43FD3"/>
    <w:rsid w:val="00F445A6"/>
    <w:rsid w:val="00F50E90"/>
    <w:rsid w:val="00F5185E"/>
    <w:rsid w:val="00F566D9"/>
    <w:rsid w:val="00F67060"/>
    <w:rsid w:val="00F707CE"/>
    <w:rsid w:val="00F805DF"/>
    <w:rsid w:val="00F80B04"/>
    <w:rsid w:val="00F84F7B"/>
    <w:rsid w:val="00F867E9"/>
    <w:rsid w:val="00F869E5"/>
    <w:rsid w:val="00F943C0"/>
    <w:rsid w:val="00F96DAA"/>
    <w:rsid w:val="00FA38A4"/>
    <w:rsid w:val="00FA3C0B"/>
    <w:rsid w:val="00FB5F3E"/>
    <w:rsid w:val="00FC2BFE"/>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105661601">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73578564">
      <w:bodyDiv w:val="1"/>
      <w:marLeft w:val="0"/>
      <w:marRight w:val="0"/>
      <w:marTop w:val="0"/>
      <w:marBottom w:val="0"/>
      <w:divBdr>
        <w:top w:val="none" w:sz="0" w:space="0" w:color="auto"/>
        <w:left w:val="none" w:sz="0" w:space="0" w:color="auto"/>
        <w:bottom w:val="none" w:sz="0" w:space="0" w:color="auto"/>
        <w:right w:val="none" w:sz="0" w:space="0" w:color="auto"/>
      </w:divBdr>
    </w:div>
    <w:div w:id="469858739">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380844">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176843207">
      <w:bodyDiv w:val="1"/>
      <w:marLeft w:val="0"/>
      <w:marRight w:val="0"/>
      <w:marTop w:val="0"/>
      <w:marBottom w:val="0"/>
      <w:divBdr>
        <w:top w:val="none" w:sz="0" w:space="0" w:color="auto"/>
        <w:left w:val="none" w:sz="0" w:space="0" w:color="auto"/>
        <w:bottom w:val="none" w:sz="0" w:space="0" w:color="auto"/>
        <w:right w:val="none" w:sz="0" w:space="0" w:color="auto"/>
      </w:divBdr>
    </w:div>
    <w:div w:id="1203403644">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00093184">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872568411">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52807221">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23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ielby@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ouldb\AppData\Local\Microsoft\Windows\Temporary%20Internet%20Files\Content.Outlook\B1SPV85H\CV-Extract-Jan-Dec-08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9.4341906202723147E-2"/>
          <c:y val="4.4444444444444488E-2"/>
          <c:w val="0.86585520229033464"/>
          <c:h val="0.87263978366340633"/>
        </c:manualLayout>
      </c:layout>
      <c:lineChart>
        <c:grouping val="standard"/>
        <c:ser>
          <c:idx val="0"/>
          <c:order val="0"/>
          <c:tx>
            <c:strRef>
              <c:f>Sheet1!$C$4</c:f>
              <c:strCache>
                <c:ptCount val="1"/>
                <c:pt idx="0">
                  <c:v>Total CV</c:v>
                </c:pt>
              </c:strCache>
            </c:strRef>
          </c:tx>
          <c:spPr>
            <a:ln>
              <a:solidFill>
                <a:srgbClr val="1074CB"/>
              </a:solidFill>
            </a:ln>
          </c:spPr>
          <c:marker>
            <c:symbol val="none"/>
          </c:marker>
          <c:cat>
            <c:numRef>
              <c:f>Sheet1!$D$3:$CT$3</c:f>
              <c:numCache>
                <c:formatCode>General</c:formatCode>
                <c:ptCount val="95"/>
                <c:pt idx="0">
                  <c:v>2008</c:v>
                </c:pt>
                <c:pt idx="12">
                  <c:v>2009</c:v>
                </c:pt>
                <c:pt idx="24">
                  <c:v>2010</c:v>
                </c:pt>
                <c:pt idx="36">
                  <c:v>2011</c:v>
                </c:pt>
                <c:pt idx="48">
                  <c:v>2012</c:v>
                </c:pt>
                <c:pt idx="60">
                  <c:v>2013</c:v>
                </c:pt>
                <c:pt idx="72">
                  <c:v>2014</c:v>
                </c:pt>
                <c:pt idx="84">
                  <c:v>2015</c:v>
                </c:pt>
              </c:numCache>
            </c:numRef>
          </c:cat>
          <c:val>
            <c:numRef>
              <c:f>Sheet1!$D$4:$CT$4</c:f>
              <c:numCache>
                <c:formatCode>General</c:formatCode>
                <c:ptCount val="95"/>
                <c:pt idx="0">
                  <c:v>216932</c:v>
                </c:pt>
                <c:pt idx="1">
                  <c:v>220090</c:v>
                </c:pt>
                <c:pt idx="2">
                  <c:v>218605</c:v>
                </c:pt>
                <c:pt idx="3">
                  <c:v>224066</c:v>
                </c:pt>
                <c:pt idx="4">
                  <c:v>224813</c:v>
                </c:pt>
                <c:pt idx="5">
                  <c:v>227243</c:v>
                </c:pt>
                <c:pt idx="6">
                  <c:v>234255</c:v>
                </c:pt>
                <c:pt idx="7">
                  <c:v>230579</c:v>
                </c:pt>
                <c:pt idx="8">
                  <c:v>231301</c:v>
                </c:pt>
                <c:pt idx="9">
                  <c:v>222191</c:v>
                </c:pt>
                <c:pt idx="10">
                  <c:v>211128</c:v>
                </c:pt>
                <c:pt idx="11">
                  <c:v>202896</c:v>
                </c:pt>
                <c:pt idx="12">
                  <c:v>190407</c:v>
                </c:pt>
                <c:pt idx="13">
                  <c:v>175628</c:v>
                </c:pt>
                <c:pt idx="14">
                  <c:v>164897</c:v>
                </c:pt>
                <c:pt idx="15">
                  <c:v>150568</c:v>
                </c:pt>
                <c:pt idx="16">
                  <c:v>137558</c:v>
                </c:pt>
                <c:pt idx="17">
                  <c:v>124563</c:v>
                </c:pt>
                <c:pt idx="18">
                  <c:v>112142</c:v>
                </c:pt>
                <c:pt idx="19">
                  <c:v>107607</c:v>
                </c:pt>
                <c:pt idx="20">
                  <c:v>96648</c:v>
                </c:pt>
                <c:pt idx="21">
                  <c:v>91477</c:v>
                </c:pt>
                <c:pt idx="22">
                  <c:v>89698</c:v>
                </c:pt>
                <c:pt idx="23">
                  <c:v>90679</c:v>
                </c:pt>
                <c:pt idx="24">
                  <c:v>91484</c:v>
                </c:pt>
                <c:pt idx="25">
                  <c:v>95840</c:v>
                </c:pt>
                <c:pt idx="26">
                  <c:v>100812</c:v>
                </c:pt>
                <c:pt idx="27">
                  <c:v>103934</c:v>
                </c:pt>
                <c:pt idx="28">
                  <c:v>109987</c:v>
                </c:pt>
                <c:pt idx="29">
                  <c:v>112111</c:v>
                </c:pt>
                <c:pt idx="30">
                  <c:v>113232</c:v>
                </c:pt>
                <c:pt idx="31">
                  <c:v>114296</c:v>
                </c:pt>
                <c:pt idx="32">
                  <c:v>115919</c:v>
                </c:pt>
                <c:pt idx="33">
                  <c:v>119658</c:v>
                </c:pt>
                <c:pt idx="34">
                  <c:v>121608</c:v>
                </c:pt>
                <c:pt idx="35">
                  <c:v>123019</c:v>
                </c:pt>
                <c:pt idx="36">
                  <c:v>123830</c:v>
                </c:pt>
                <c:pt idx="37">
                  <c:v>123527</c:v>
                </c:pt>
                <c:pt idx="38">
                  <c:v>122748</c:v>
                </c:pt>
                <c:pt idx="39">
                  <c:v>120604</c:v>
                </c:pt>
                <c:pt idx="40">
                  <c:v>120064</c:v>
                </c:pt>
                <c:pt idx="41">
                  <c:v>119833</c:v>
                </c:pt>
                <c:pt idx="42">
                  <c:v>119263</c:v>
                </c:pt>
                <c:pt idx="43">
                  <c:v>119811</c:v>
                </c:pt>
                <c:pt idx="44">
                  <c:v>120518</c:v>
                </c:pt>
                <c:pt idx="45">
                  <c:v>120181</c:v>
                </c:pt>
                <c:pt idx="46">
                  <c:v>120425</c:v>
                </c:pt>
                <c:pt idx="47">
                  <c:v>120189</c:v>
                </c:pt>
                <c:pt idx="48">
                  <c:v>120066</c:v>
                </c:pt>
                <c:pt idx="49">
                  <c:v>119798</c:v>
                </c:pt>
                <c:pt idx="50">
                  <c:v>117403</c:v>
                </c:pt>
                <c:pt idx="51">
                  <c:v>117683</c:v>
                </c:pt>
                <c:pt idx="52">
                  <c:v>116923</c:v>
                </c:pt>
                <c:pt idx="53">
                  <c:v>114865</c:v>
                </c:pt>
                <c:pt idx="54">
                  <c:v>114742</c:v>
                </c:pt>
                <c:pt idx="55">
                  <c:v>115917</c:v>
                </c:pt>
                <c:pt idx="56">
                  <c:v>113478</c:v>
                </c:pt>
                <c:pt idx="57">
                  <c:v>114040</c:v>
                </c:pt>
                <c:pt idx="58">
                  <c:v>113634</c:v>
                </c:pt>
                <c:pt idx="59">
                  <c:v>112039</c:v>
                </c:pt>
                <c:pt idx="60">
                  <c:v>110017</c:v>
                </c:pt>
                <c:pt idx="61">
                  <c:v>108367</c:v>
                </c:pt>
                <c:pt idx="62">
                  <c:v>106522</c:v>
                </c:pt>
                <c:pt idx="63">
                  <c:v>106232</c:v>
                </c:pt>
                <c:pt idx="64">
                  <c:v>104347</c:v>
                </c:pt>
                <c:pt idx="65">
                  <c:v>104460</c:v>
                </c:pt>
                <c:pt idx="66">
                  <c:v>103891</c:v>
                </c:pt>
                <c:pt idx="67">
                  <c:v>99977</c:v>
                </c:pt>
                <c:pt idx="68">
                  <c:v>97333</c:v>
                </c:pt>
                <c:pt idx="69">
                  <c:v>93309</c:v>
                </c:pt>
                <c:pt idx="70">
                  <c:v>89386</c:v>
                </c:pt>
                <c:pt idx="71">
                  <c:v>87671</c:v>
                </c:pt>
                <c:pt idx="72">
                  <c:v>86556</c:v>
                </c:pt>
                <c:pt idx="73">
                  <c:v>84790</c:v>
                </c:pt>
                <c:pt idx="74">
                  <c:v>83495</c:v>
                </c:pt>
                <c:pt idx="75">
                  <c:v>81179</c:v>
                </c:pt>
                <c:pt idx="76">
                  <c:v>78746</c:v>
                </c:pt>
                <c:pt idx="77">
                  <c:v>76614</c:v>
                </c:pt>
                <c:pt idx="78">
                  <c:v>74517</c:v>
                </c:pt>
                <c:pt idx="79">
                  <c:v>72953</c:v>
                </c:pt>
                <c:pt idx="80">
                  <c:v>70670</c:v>
                </c:pt>
                <c:pt idx="81">
                  <c:v>70030</c:v>
                </c:pt>
                <c:pt idx="82">
                  <c:v>70052</c:v>
                </c:pt>
                <c:pt idx="83">
                  <c:v>70731</c:v>
                </c:pt>
                <c:pt idx="84">
                  <c:v>69467</c:v>
                </c:pt>
                <c:pt idx="85">
                  <c:v>71572</c:v>
                </c:pt>
                <c:pt idx="86">
                  <c:v>74488</c:v>
                </c:pt>
                <c:pt idx="87">
                  <c:v>76810</c:v>
                </c:pt>
                <c:pt idx="88">
                  <c:v>78491</c:v>
                </c:pt>
                <c:pt idx="89">
                  <c:v>81964</c:v>
                </c:pt>
                <c:pt idx="90">
                  <c:v>84900</c:v>
                </c:pt>
                <c:pt idx="91">
                  <c:v>86398</c:v>
                </c:pt>
                <c:pt idx="92">
                  <c:v>91529</c:v>
                </c:pt>
                <c:pt idx="93">
                  <c:v>92289</c:v>
                </c:pt>
                <c:pt idx="94">
                  <c:v>94029</c:v>
                </c:pt>
              </c:numCache>
            </c:numRef>
          </c:val>
        </c:ser>
        <c:ser>
          <c:idx val="1"/>
          <c:order val="1"/>
          <c:tx>
            <c:strRef>
              <c:f>Sheet1!$C$5</c:f>
              <c:strCache>
                <c:ptCount val="1"/>
                <c:pt idx="0">
                  <c:v>Exports</c:v>
                </c:pt>
              </c:strCache>
            </c:strRef>
          </c:tx>
          <c:spPr>
            <a:ln>
              <a:solidFill>
                <a:srgbClr val="0D2255"/>
              </a:solidFill>
            </a:ln>
          </c:spPr>
          <c:marker>
            <c:symbol val="none"/>
          </c:marker>
          <c:cat>
            <c:numRef>
              <c:f>Sheet1!$D$3:$CT$3</c:f>
              <c:numCache>
                <c:formatCode>General</c:formatCode>
                <c:ptCount val="95"/>
                <c:pt idx="0">
                  <c:v>2008</c:v>
                </c:pt>
                <c:pt idx="12">
                  <c:v>2009</c:v>
                </c:pt>
                <c:pt idx="24">
                  <c:v>2010</c:v>
                </c:pt>
                <c:pt idx="36">
                  <c:v>2011</c:v>
                </c:pt>
                <c:pt idx="48">
                  <c:v>2012</c:v>
                </c:pt>
                <c:pt idx="60">
                  <c:v>2013</c:v>
                </c:pt>
                <c:pt idx="72">
                  <c:v>2014</c:v>
                </c:pt>
                <c:pt idx="84">
                  <c:v>2015</c:v>
                </c:pt>
              </c:numCache>
            </c:numRef>
          </c:cat>
          <c:val>
            <c:numRef>
              <c:f>Sheet1!$D$5:$CT$5</c:f>
              <c:numCache>
                <c:formatCode>General</c:formatCode>
                <c:ptCount val="95"/>
                <c:pt idx="0">
                  <c:v>132439</c:v>
                </c:pt>
                <c:pt idx="1">
                  <c:v>134098</c:v>
                </c:pt>
                <c:pt idx="2">
                  <c:v>133687</c:v>
                </c:pt>
                <c:pt idx="3">
                  <c:v>137157</c:v>
                </c:pt>
                <c:pt idx="4">
                  <c:v>138565</c:v>
                </c:pt>
                <c:pt idx="5">
                  <c:v>140454</c:v>
                </c:pt>
                <c:pt idx="6">
                  <c:v>143671</c:v>
                </c:pt>
                <c:pt idx="7">
                  <c:v>141946</c:v>
                </c:pt>
                <c:pt idx="8">
                  <c:v>142729</c:v>
                </c:pt>
                <c:pt idx="9">
                  <c:v>136851</c:v>
                </c:pt>
                <c:pt idx="10">
                  <c:v>130526</c:v>
                </c:pt>
                <c:pt idx="11">
                  <c:v>125611</c:v>
                </c:pt>
                <c:pt idx="12">
                  <c:v>119719</c:v>
                </c:pt>
                <c:pt idx="13">
                  <c:v>112473</c:v>
                </c:pt>
                <c:pt idx="14">
                  <c:v>106937</c:v>
                </c:pt>
                <c:pt idx="15">
                  <c:v>98334</c:v>
                </c:pt>
                <c:pt idx="16">
                  <c:v>90128</c:v>
                </c:pt>
                <c:pt idx="17">
                  <c:v>82699</c:v>
                </c:pt>
                <c:pt idx="18">
                  <c:v>76718</c:v>
                </c:pt>
                <c:pt idx="19">
                  <c:v>73987</c:v>
                </c:pt>
                <c:pt idx="20">
                  <c:v>68597</c:v>
                </c:pt>
                <c:pt idx="21">
                  <c:v>67105</c:v>
                </c:pt>
                <c:pt idx="22">
                  <c:v>65796</c:v>
                </c:pt>
                <c:pt idx="23">
                  <c:v>66454</c:v>
                </c:pt>
                <c:pt idx="24">
                  <c:v>67142</c:v>
                </c:pt>
                <c:pt idx="25">
                  <c:v>70182</c:v>
                </c:pt>
                <c:pt idx="26">
                  <c:v>72654</c:v>
                </c:pt>
                <c:pt idx="27">
                  <c:v>73805</c:v>
                </c:pt>
                <c:pt idx="28">
                  <c:v>77438</c:v>
                </c:pt>
                <c:pt idx="29">
                  <c:v>78873</c:v>
                </c:pt>
                <c:pt idx="30">
                  <c:v>79635</c:v>
                </c:pt>
                <c:pt idx="31">
                  <c:v>80062</c:v>
                </c:pt>
                <c:pt idx="32">
                  <c:v>81005</c:v>
                </c:pt>
                <c:pt idx="33">
                  <c:v>82898</c:v>
                </c:pt>
                <c:pt idx="34">
                  <c:v>83736</c:v>
                </c:pt>
                <c:pt idx="35">
                  <c:v>85547</c:v>
                </c:pt>
                <c:pt idx="36">
                  <c:v>84195</c:v>
                </c:pt>
                <c:pt idx="37">
                  <c:v>83001</c:v>
                </c:pt>
                <c:pt idx="38">
                  <c:v>82184</c:v>
                </c:pt>
                <c:pt idx="39">
                  <c:v>80668</c:v>
                </c:pt>
                <c:pt idx="40">
                  <c:v>79091</c:v>
                </c:pt>
                <c:pt idx="41">
                  <c:v>76481</c:v>
                </c:pt>
                <c:pt idx="42">
                  <c:v>75248</c:v>
                </c:pt>
                <c:pt idx="43">
                  <c:v>75232</c:v>
                </c:pt>
                <c:pt idx="44">
                  <c:v>74679</c:v>
                </c:pt>
                <c:pt idx="45">
                  <c:v>72907</c:v>
                </c:pt>
                <c:pt idx="46">
                  <c:v>71469</c:v>
                </c:pt>
                <c:pt idx="47">
                  <c:v>69376</c:v>
                </c:pt>
                <c:pt idx="48">
                  <c:v>69414</c:v>
                </c:pt>
                <c:pt idx="49">
                  <c:v>68713</c:v>
                </c:pt>
                <c:pt idx="50">
                  <c:v>66611</c:v>
                </c:pt>
                <c:pt idx="51">
                  <c:v>67027</c:v>
                </c:pt>
                <c:pt idx="52">
                  <c:v>67059</c:v>
                </c:pt>
                <c:pt idx="53">
                  <c:v>67630</c:v>
                </c:pt>
                <c:pt idx="54">
                  <c:v>66906</c:v>
                </c:pt>
                <c:pt idx="55">
                  <c:v>67298</c:v>
                </c:pt>
                <c:pt idx="56">
                  <c:v>65502</c:v>
                </c:pt>
                <c:pt idx="57">
                  <c:v>65566</c:v>
                </c:pt>
                <c:pt idx="58">
                  <c:v>65024</c:v>
                </c:pt>
                <c:pt idx="59">
                  <c:v>63733</c:v>
                </c:pt>
                <c:pt idx="60">
                  <c:v>61581</c:v>
                </c:pt>
                <c:pt idx="61">
                  <c:v>59826</c:v>
                </c:pt>
                <c:pt idx="62">
                  <c:v>57596</c:v>
                </c:pt>
                <c:pt idx="63">
                  <c:v>56538</c:v>
                </c:pt>
                <c:pt idx="64">
                  <c:v>54606</c:v>
                </c:pt>
                <c:pt idx="65">
                  <c:v>54188</c:v>
                </c:pt>
                <c:pt idx="66">
                  <c:v>55654</c:v>
                </c:pt>
                <c:pt idx="67">
                  <c:v>54050</c:v>
                </c:pt>
                <c:pt idx="68">
                  <c:v>52124</c:v>
                </c:pt>
                <c:pt idx="69">
                  <c:v>49591</c:v>
                </c:pt>
                <c:pt idx="70">
                  <c:v>47338</c:v>
                </c:pt>
                <c:pt idx="71">
                  <c:v>47910</c:v>
                </c:pt>
                <c:pt idx="72">
                  <c:v>47520</c:v>
                </c:pt>
                <c:pt idx="73">
                  <c:v>46952</c:v>
                </c:pt>
                <c:pt idx="74">
                  <c:v>46725</c:v>
                </c:pt>
                <c:pt idx="75">
                  <c:v>45376</c:v>
                </c:pt>
                <c:pt idx="76">
                  <c:v>43668</c:v>
                </c:pt>
                <c:pt idx="77">
                  <c:v>42129</c:v>
                </c:pt>
                <c:pt idx="78">
                  <c:v>40234</c:v>
                </c:pt>
                <c:pt idx="79">
                  <c:v>38779</c:v>
                </c:pt>
                <c:pt idx="80">
                  <c:v>37793</c:v>
                </c:pt>
                <c:pt idx="81">
                  <c:v>36533</c:v>
                </c:pt>
                <c:pt idx="82">
                  <c:v>36020</c:v>
                </c:pt>
                <c:pt idx="83">
                  <c:v>34822</c:v>
                </c:pt>
                <c:pt idx="84">
                  <c:v>33688</c:v>
                </c:pt>
                <c:pt idx="85">
                  <c:v>34128</c:v>
                </c:pt>
                <c:pt idx="86">
                  <c:v>35213</c:v>
                </c:pt>
                <c:pt idx="87">
                  <c:v>36904</c:v>
                </c:pt>
                <c:pt idx="88">
                  <c:v>38424</c:v>
                </c:pt>
                <c:pt idx="89">
                  <c:v>40182</c:v>
                </c:pt>
                <c:pt idx="90">
                  <c:v>40195</c:v>
                </c:pt>
                <c:pt idx="91">
                  <c:v>40961</c:v>
                </c:pt>
                <c:pt idx="92">
                  <c:v>43678</c:v>
                </c:pt>
                <c:pt idx="93">
                  <c:v>44596</c:v>
                </c:pt>
                <c:pt idx="94">
                  <c:v>47183</c:v>
                </c:pt>
              </c:numCache>
            </c:numRef>
          </c:val>
        </c:ser>
        <c:marker val="1"/>
        <c:axId val="80779520"/>
        <c:axId val="80801792"/>
      </c:lineChart>
      <c:catAx>
        <c:axId val="80779520"/>
        <c:scaling>
          <c:orientation val="minMax"/>
        </c:scaling>
        <c:axPos val="b"/>
        <c:numFmt formatCode="General" sourceLinked="1"/>
        <c:tickLblPos val="nextTo"/>
        <c:txPr>
          <a:bodyPr/>
          <a:lstStyle/>
          <a:p>
            <a:pPr>
              <a:defRPr sz="800"/>
            </a:pPr>
            <a:endParaRPr lang="en-US"/>
          </a:p>
        </c:txPr>
        <c:crossAx val="80801792"/>
        <c:crosses val="autoZero"/>
        <c:auto val="1"/>
        <c:lblAlgn val="ctr"/>
        <c:lblOffset val="100"/>
      </c:catAx>
      <c:valAx>
        <c:axId val="80801792"/>
        <c:scaling>
          <c:orientation val="minMax"/>
        </c:scaling>
        <c:axPos val="l"/>
        <c:numFmt formatCode="#,##0" sourceLinked="0"/>
        <c:tickLblPos val="nextTo"/>
        <c:crossAx val="80779520"/>
        <c:crosses val="autoZero"/>
        <c:crossBetween val="between"/>
      </c:valAx>
    </c:plotArea>
    <c:legend>
      <c:legendPos val="r"/>
      <c:layout>
        <c:manualLayout>
          <c:xMode val="edge"/>
          <c:yMode val="edge"/>
          <c:x val="0.77606648639419351"/>
          <c:y val="0.24161807046846429"/>
          <c:w val="0.131144809621944"/>
          <c:h val="0.12888507118428377"/>
        </c:manualLayout>
      </c:layout>
    </c:legend>
    <c:plotVisOnly val="1"/>
  </c:chart>
  <c:spPr>
    <a:ln>
      <a:noFill/>
    </a:ln>
  </c:spPr>
  <c:txPr>
    <a:bodyPr/>
    <a:lstStyle/>
    <a:p>
      <a:pPr>
        <a:defRPr sz="900">
          <a:solidFill>
            <a:srgbClr val="0D2255"/>
          </a:solidFill>
          <a:latin typeface="Arial" pitchFamily="34" charset="0"/>
          <a:cs typeface="Arial" pitchFamily="34" charset="0"/>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590477" cy="399047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C770-A169-4E99-84F8-8D035F13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4</cp:revision>
  <cp:lastPrinted>2015-12-15T14:52:00Z</cp:lastPrinted>
  <dcterms:created xsi:type="dcterms:W3CDTF">2016-01-20T18:31:00Z</dcterms:created>
  <dcterms:modified xsi:type="dcterms:W3CDTF">2016-01-21T08:35:00Z</dcterms:modified>
</cp:coreProperties>
</file>