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E70" w:rsidRPr="00440369" w:rsidRDefault="00C80E70" w:rsidP="007430A2">
      <w:pPr>
        <w:pStyle w:val="Heading1"/>
        <w:ind w:left="0" w:right="142" w:firstLine="0"/>
        <w:rPr>
          <w:rFonts w:ascii="Arial" w:eastAsiaTheme="minorEastAsia" w:hAnsi="Arial" w:cs="Arial"/>
          <w:bCs/>
          <w:color w:val="1074CB"/>
          <w:sz w:val="40"/>
          <w:szCs w:val="40"/>
        </w:rPr>
      </w:pPr>
      <w:r w:rsidRPr="00440369">
        <w:rPr>
          <w:rFonts w:ascii="Arial" w:eastAsiaTheme="minorEastAsia" w:hAnsi="Arial" w:cs="Arial"/>
          <w:bCs/>
          <w:color w:val="1074CB"/>
          <w:sz w:val="40"/>
          <w:szCs w:val="40"/>
        </w:rPr>
        <w:t>UK COMMERCIAL VEHICLE MANUFACTURING</w:t>
      </w:r>
      <w:r w:rsidR="00696C6A" w:rsidRPr="00440369">
        <w:rPr>
          <w:rFonts w:ascii="Arial" w:eastAsiaTheme="minorEastAsia" w:hAnsi="Arial" w:cs="Arial"/>
          <w:bCs/>
          <w:color w:val="1074CB"/>
          <w:sz w:val="40"/>
          <w:szCs w:val="40"/>
        </w:rPr>
        <w:t xml:space="preserve"> </w:t>
      </w:r>
    </w:p>
    <w:p w:rsidR="006B3606" w:rsidRPr="00FD59F4" w:rsidRDefault="00A84754" w:rsidP="006B3606">
      <w:pPr>
        <w:pStyle w:val="Heading1"/>
        <w:ind w:right="142"/>
      </w:pPr>
      <w:r>
        <w:rPr>
          <w:rFonts w:ascii="Arial" w:eastAsiaTheme="minorEastAsia" w:hAnsi="Arial" w:cs="Arial"/>
          <w:b w:val="0"/>
          <w:bCs/>
          <w:color w:val="1074CB"/>
          <w:sz w:val="44"/>
          <w:szCs w:val="44"/>
        </w:rPr>
        <w:t>2</w:t>
      </w:r>
      <w:r w:rsidR="00AA3259">
        <w:rPr>
          <w:rFonts w:ascii="Arial" w:eastAsiaTheme="minorEastAsia" w:hAnsi="Arial" w:cs="Arial"/>
          <w:b w:val="0"/>
          <w:bCs/>
          <w:color w:val="1074CB"/>
          <w:sz w:val="44"/>
          <w:szCs w:val="44"/>
        </w:rPr>
        <w:t>2</w:t>
      </w:r>
      <w:r w:rsidR="006B0F16">
        <w:rPr>
          <w:rFonts w:ascii="Arial" w:eastAsiaTheme="minorEastAsia" w:hAnsi="Arial" w:cs="Arial"/>
          <w:b w:val="0"/>
          <w:bCs/>
          <w:color w:val="1074CB"/>
          <w:sz w:val="44"/>
          <w:szCs w:val="44"/>
        </w:rPr>
        <w:t xml:space="preserve"> </w:t>
      </w:r>
      <w:r w:rsidR="00AA3259">
        <w:rPr>
          <w:rFonts w:ascii="Arial" w:eastAsiaTheme="minorEastAsia" w:hAnsi="Arial" w:cs="Arial"/>
          <w:b w:val="0"/>
          <w:bCs/>
          <w:color w:val="1074CB"/>
          <w:sz w:val="44"/>
          <w:szCs w:val="44"/>
        </w:rPr>
        <w:t>Octo</w:t>
      </w:r>
      <w:r>
        <w:rPr>
          <w:rFonts w:ascii="Arial" w:eastAsiaTheme="minorEastAsia" w:hAnsi="Arial" w:cs="Arial"/>
          <w:b w:val="0"/>
          <w:bCs/>
          <w:color w:val="1074CB"/>
          <w:sz w:val="44"/>
          <w:szCs w:val="44"/>
        </w:rPr>
        <w:t>ber</w:t>
      </w:r>
      <w:r w:rsidR="006B3606" w:rsidRPr="00440369">
        <w:rPr>
          <w:rFonts w:ascii="Arial" w:eastAsiaTheme="minorEastAsia" w:hAnsi="Arial" w:cs="Arial"/>
          <w:b w:val="0"/>
          <w:bCs/>
          <w:color w:val="1074CB"/>
          <w:sz w:val="44"/>
          <w:szCs w:val="44"/>
        </w:rPr>
        <w:t xml:space="preserve"> 201</w:t>
      </w:r>
      <w:r w:rsidR="00AA0E12">
        <w:rPr>
          <w:rFonts w:ascii="Arial" w:eastAsiaTheme="minorEastAsia" w:hAnsi="Arial" w:cs="Arial"/>
          <w:b w:val="0"/>
          <w:bCs/>
          <w:color w:val="1074CB"/>
          <w:sz w:val="44"/>
          <w:szCs w:val="44"/>
        </w:rPr>
        <w:t>5</w:t>
      </w:r>
      <w:r w:rsidR="006B3606">
        <w:rPr>
          <w:rFonts w:ascii="Arial" w:eastAsiaTheme="minorEastAsia" w:hAnsi="Arial" w:cs="Arial"/>
          <w:bCs/>
          <w:color w:val="FF0000"/>
          <w:sz w:val="44"/>
          <w:szCs w:val="44"/>
        </w:rPr>
        <w:t xml:space="preserve"> </w:t>
      </w:r>
      <w:r w:rsidR="006B3606" w:rsidRPr="00696C6A">
        <w:rPr>
          <w:rFonts w:ascii="Arial" w:eastAsiaTheme="minorEastAsia" w:hAnsi="Arial" w:cs="Arial"/>
          <w:b w:val="0"/>
          <w:bCs/>
          <w:color w:val="1074CB"/>
          <w:sz w:val="28"/>
          <w:szCs w:val="28"/>
        </w:rPr>
        <w:t xml:space="preserve">(data for </w:t>
      </w:r>
      <w:r w:rsidR="00AA3259">
        <w:rPr>
          <w:rFonts w:ascii="Arial" w:eastAsiaTheme="minorEastAsia" w:hAnsi="Arial" w:cs="Arial"/>
          <w:b w:val="0"/>
          <w:bCs/>
          <w:color w:val="1074CB"/>
          <w:sz w:val="28"/>
          <w:szCs w:val="28"/>
        </w:rPr>
        <w:t>September</w:t>
      </w:r>
      <w:r w:rsidR="00A557F1">
        <w:rPr>
          <w:rFonts w:ascii="Arial" w:eastAsiaTheme="minorEastAsia" w:hAnsi="Arial" w:cs="Arial"/>
          <w:b w:val="0"/>
          <w:bCs/>
          <w:color w:val="1074CB"/>
          <w:sz w:val="28"/>
          <w:szCs w:val="28"/>
        </w:rPr>
        <w:t xml:space="preserve"> </w:t>
      </w:r>
      <w:r w:rsidR="006B3606" w:rsidRPr="00696C6A">
        <w:rPr>
          <w:rFonts w:ascii="Arial" w:eastAsiaTheme="minorEastAsia" w:hAnsi="Arial" w:cs="Arial"/>
          <w:b w:val="0"/>
          <w:bCs/>
          <w:color w:val="1074CB"/>
          <w:sz w:val="28"/>
          <w:szCs w:val="28"/>
        </w:rPr>
        <w:t>201</w:t>
      </w:r>
      <w:r w:rsidR="00AA0E12">
        <w:rPr>
          <w:rFonts w:ascii="Arial" w:eastAsiaTheme="minorEastAsia" w:hAnsi="Arial" w:cs="Arial"/>
          <w:b w:val="0"/>
          <w:bCs/>
          <w:color w:val="1074CB"/>
          <w:sz w:val="28"/>
          <w:szCs w:val="28"/>
        </w:rPr>
        <w:t>5</w:t>
      </w:r>
      <w:r w:rsidR="006B3606" w:rsidRPr="00696C6A">
        <w:rPr>
          <w:rFonts w:ascii="Arial" w:eastAsiaTheme="minorEastAsia" w:hAnsi="Arial" w:cs="Arial"/>
          <w:b w:val="0"/>
          <w:bCs/>
          <w:color w:val="1074CB"/>
          <w:sz w:val="28"/>
          <w:szCs w:val="28"/>
        </w:rPr>
        <w:t>)</w:t>
      </w:r>
    </w:p>
    <w:p w:rsidR="00C80E70" w:rsidRPr="007B7D91" w:rsidRDefault="00556EAE" w:rsidP="00C80E70">
      <w:r w:rsidRPr="00556EAE">
        <w:rPr>
          <w:rFonts w:ascii="Arial" w:eastAsiaTheme="minorEastAsia" w:hAnsi="Arial" w:cs="Arial"/>
          <w:b/>
          <w:bCs/>
          <w:noProof/>
          <w:color w:val="1074CB"/>
          <w:sz w:val="20"/>
          <w:lang w:val="en-US" w:eastAsia="en-US"/>
        </w:rPr>
        <w:pict>
          <v:line id="Line 2" o:spid="_x0000_s1026" style="position:absolute;z-index:251666432;visibility:visible;mso-wrap-distance-top:-1e-4mm;mso-wrap-distance-bottom:-1e-4mm" from=".55pt,3.7pt" to="464.55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" strokecolor="#1074cb"/>
        </w:pict>
      </w:r>
    </w:p>
    <w:p w:rsidR="003E3A75" w:rsidRDefault="003E3A75" w:rsidP="003E3A75">
      <w:pPr>
        <w:spacing w:before="100"/>
      </w:pPr>
      <w:r>
        <w:rPr>
          <w:rFonts w:ascii="Arial" w:hAnsi="Arial" w:cs="Arial"/>
          <w:b/>
          <w:bCs/>
          <w:color w:val="1074CB"/>
          <w:sz w:val="34"/>
          <w:szCs w:val="34"/>
        </w:rPr>
        <w:t>British CV production doubles in September</w:t>
      </w:r>
    </w:p>
    <w:p w:rsidR="003E3A75" w:rsidRDefault="003E3A75" w:rsidP="003E3A75">
      <w:r>
        <w:rPr>
          <w:rFonts w:ascii="Arial" w:hAnsi="Arial" w:cs="Arial"/>
          <w:b/>
          <w:bCs/>
          <w:color w:val="1074CB"/>
        </w:rPr>
        <w:t> </w:t>
      </w:r>
    </w:p>
    <w:p w:rsidR="003E3A75" w:rsidRDefault="008F0806" w:rsidP="003E3A75">
      <w:pPr>
        <w:pStyle w:val="ListParagraph"/>
        <w:numPr>
          <w:ilvl w:val="0"/>
          <w:numId w:val="14"/>
        </w:numPr>
        <w:spacing w:line="276" w:lineRule="auto"/>
        <w:contextualSpacing w:val="0"/>
      </w:pPr>
      <w:r>
        <w:rPr>
          <w:rFonts w:ascii="Arial" w:hAnsi="Arial" w:cs="Arial"/>
          <w:color w:val="000000"/>
          <w:sz w:val="20"/>
        </w:rPr>
        <w:t>UK commercial vehicle manufacturing</w:t>
      </w:r>
      <w:r w:rsidR="003E3A75">
        <w:rPr>
          <w:rFonts w:ascii="Arial" w:hAnsi="Arial" w:cs="Arial"/>
          <w:color w:val="000000"/>
          <w:sz w:val="20"/>
        </w:rPr>
        <w:t xml:space="preserve"> doubles in September, with 9,811 units produced.</w:t>
      </w:r>
    </w:p>
    <w:p w:rsidR="003E3A75" w:rsidRDefault="003E3A75" w:rsidP="003E3A75">
      <w:pPr>
        <w:pStyle w:val="ListParagraph"/>
        <w:numPr>
          <w:ilvl w:val="0"/>
          <w:numId w:val="14"/>
        </w:numPr>
        <w:spacing w:line="276" w:lineRule="auto"/>
        <w:contextualSpacing w:val="0"/>
      </w:pPr>
      <w:r>
        <w:rPr>
          <w:rFonts w:ascii="Arial" w:hAnsi="Arial" w:cs="Arial"/>
          <w:color w:val="000000"/>
          <w:sz w:val="20"/>
        </w:rPr>
        <w:t>Year-to-date production now above 70,000, compared with 50,000 at the same point last year.</w:t>
      </w:r>
    </w:p>
    <w:p w:rsidR="003E3A75" w:rsidRDefault="003E3A75" w:rsidP="003E3A75">
      <w:pPr>
        <w:pStyle w:val="ListParagraph"/>
        <w:numPr>
          <w:ilvl w:val="0"/>
          <w:numId w:val="14"/>
        </w:numPr>
        <w:spacing w:line="276" w:lineRule="auto"/>
        <w:contextualSpacing w:val="0"/>
      </w:pPr>
      <w:r>
        <w:rPr>
          <w:rFonts w:ascii="Arial" w:hAnsi="Arial" w:cs="Arial"/>
          <w:color w:val="000000"/>
          <w:sz w:val="20"/>
        </w:rPr>
        <w:t>Exports particularly strong with 113.9% upturn after EU market records eighth consecutive month of growth.</w:t>
      </w:r>
    </w:p>
    <w:p w:rsidR="003E3A75" w:rsidRDefault="003E3A75" w:rsidP="003E3A75">
      <w:pPr>
        <w:spacing w:line="276" w:lineRule="auto"/>
      </w:pPr>
      <w:r>
        <w:rPr>
          <w:rFonts w:ascii="Arial" w:hAnsi="Arial" w:cs="Arial"/>
          <w:sz w:val="20"/>
        </w:rPr>
        <w:t> </w:t>
      </w:r>
    </w:p>
    <w:p w:rsidR="003E3A75" w:rsidRDefault="00774429" w:rsidP="003E3A75">
      <w:pPr>
        <w:spacing w:line="276" w:lineRule="auto"/>
      </w:pPr>
      <w:r>
        <w:rPr>
          <w:rFonts w:ascii="Arial" w:hAnsi="Arial" w:cs="Arial"/>
          <w:b/>
          <w:bCs/>
          <w:sz w:val="20"/>
        </w:rPr>
        <w:t>22</w:t>
      </w:r>
      <w:r w:rsidR="003E3A75">
        <w:rPr>
          <w:rFonts w:ascii="Arial" w:hAnsi="Arial" w:cs="Arial"/>
          <w:b/>
          <w:bCs/>
          <w:sz w:val="20"/>
        </w:rPr>
        <w:t xml:space="preserve"> </w:t>
      </w:r>
      <w:r>
        <w:rPr>
          <w:rFonts w:ascii="Arial" w:hAnsi="Arial" w:cs="Arial"/>
          <w:b/>
          <w:bCs/>
          <w:sz w:val="20"/>
        </w:rPr>
        <w:t>Octo</w:t>
      </w:r>
      <w:r w:rsidR="003E3A75">
        <w:rPr>
          <w:rFonts w:ascii="Arial" w:hAnsi="Arial" w:cs="Arial"/>
          <w:b/>
          <w:bCs/>
          <w:sz w:val="20"/>
        </w:rPr>
        <w:t>ber 2015 </w:t>
      </w:r>
      <w:r w:rsidR="003E3A75">
        <w:rPr>
          <w:rFonts w:ascii="Arial" w:hAnsi="Arial" w:cs="Arial"/>
          <w:sz w:val="20"/>
        </w:rPr>
        <w:t xml:space="preserve">The UK commercial vehicle industry more than doubled its output in September, latest figures from The Society of Motor Manufacturers and Traders (SMMT) show. With key new models now up to full production – and buoyed by the ongoing recovery in European market – output in the month increased 103.6% over </w:t>
      </w:r>
      <w:r w:rsidR="00544FB3">
        <w:rPr>
          <w:rFonts w:ascii="Arial" w:hAnsi="Arial" w:cs="Arial"/>
          <w:sz w:val="20"/>
        </w:rPr>
        <w:t>September last year with 9,811 commercial vehicle</w:t>
      </w:r>
      <w:r w:rsidR="003E3A75">
        <w:rPr>
          <w:rFonts w:ascii="Arial" w:hAnsi="Arial" w:cs="Arial"/>
          <w:sz w:val="20"/>
        </w:rPr>
        <w:t>s built. Manufacturing for both domestic and export markets made strong gains, with volumes up 94.3% and 113.9% respectively.</w:t>
      </w:r>
    </w:p>
    <w:p w:rsidR="003E3A75" w:rsidRDefault="003E3A75" w:rsidP="003E3A75">
      <w:pPr>
        <w:spacing w:line="276" w:lineRule="auto"/>
      </w:pPr>
      <w:r>
        <w:rPr>
          <w:rFonts w:ascii="Arial" w:hAnsi="Arial" w:cs="Arial"/>
          <w:sz w:val="20"/>
        </w:rPr>
        <w:t> </w:t>
      </w:r>
    </w:p>
    <w:p w:rsidR="003E3A75" w:rsidRDefault="003E3A75" w:rsidP="003E3A75">
      <w:pPr>
        <w:spacing w:line="276" w:lineRule="auto"/>
      </w:pPr>
      <w:r>
        <w:rPr>
          <w:rFonts w:ascii="Arial" w:hAnsi="Arial" w:cs="Arial"/>
          <w:b/>
          <w:bCs/>
          <w:sz w:val="20"/>
        </w:rPr>
        <w:t>Mike Hawes, SMMT Chief Executive</w:t>
      </w:r>
      <w:r>
        <w:rPr>
          <w:rFonts w:ascii="Arial" w:hAnsi="Arial" w:cs="Arial"/>
          <w:sz w:val="20"/>
        </w:rPr>
        <w:t xml:space="preserve"> </w:t>
      </w:r>
      <w:r>
        <w:rPr>
          <w:rFonts w:ascii="Arial" w:hAnsi="Arial" w:cs="Arial"/>
          <w:b/>
          <w:bCs/>
          <w:sz w:val="20"/>
        </w:rPr>
        <w:t>said,</w:t>
      </w:r>
      <w:r>
        <w:rPr>
          <w:rFonts w:ascii="Arial" w:hAnsi="Arial" w:cs="Arial"/>
          <w:sz w:val="20"/>
        </w:rPr>
        <w:t xml:space="preserve"> “The British </w:t>
      </w:r>
      <w:r w:rsidR="00544FB3">
        <w:rPr>
          <w:rFonts w:ascii="Arial" w:hAnsi="Arial" w:cs="Arial"/>
          <w:sz w:val="20"/>
        </w:rPr>
        <w:t>commercial vehicle</w:t>
      </w:r>
      <w:r>
        <w:rPr>
          <w:rFonts w:ascii="Arial" w:hAnsi="Arial" w:cs="Arial"/>
          <w:sz w:val="20"/>
        </w:rPr>
        <w:t xml:space="preserve"> industry’s continued recovery is great to see, with significant investments into new models reaping benefits and helping overcome structural changes. Manufacturers are capitalising on increasing demand for CVs across the rest of the EU – the sector’s principal export market – as well as in the UK, where registrations have grown consistently throughout this year.”</w:t>
      </w:r>
    </w:p>
    <w:p w:rsidR="00EA2771" w:rsidRDefault="00EA2771" w:rsidP="00EA2771">
      <w:r>
        <w:rPr>
          <w:rFonts w:ascii="Arial" w:hAnsi="Arial" w:cs="Arial"/>
          <w:color w:val="000000"/>
          <w:sz w:val="20"/>
        </w:rPr>
        <w:t> </w:t>
      </w:r>
    </w:p>
    <w:tbl>
      <w:tblPr>
        <w:tblW w:w="9464" w:type="dxa"/>
        <w:tblCellMar>
          <w:left w:w="0" w:type="dxa"/>
          <w:right w:w="0" w:type="dxa"/>
        </w:tblCellMar>
        <w:tblLook w:val="04A0"/>
      </w:tblPr>
      <w:tblGrid>
        <w:gridCol w:w="2093"/>
        <w:gridCol w:w="1276"/>
        <w:gridCol w:w="1134"/>
        <w:gridCol w:w="1275"/>
        <w:gridCol w:w="1276"/>
        <w:gridCol w:w="1134"/>
        <w:gridCol w:w="1276"/>
      </w:tblGrid>
      <w:tr w:rsidR="00EA2771" w:rsidTr="00EA2771">
        <w:trPr>
          <w:trHeight w:val="270"/>
        </w:trPr>
        <w:tc>
          <w:tcPr>
            <w:tcW w:w="2093" w:type="dxa"/>
            <w:tcBorders>
              <w:top w:val="single" w:sz="8" w:space="0" w:color="4F81BD"/>
              <w:left w:val="single" w:sz="8" w:space="0" w:color="4F81BD"/>
              <w:bottom w:val="single" w:sz="8" w:space="0" w:color="4F81BD"/>
              <w:right w:val="single" w:sz="8" w:space="0" w:color="4F81BD"/>
            </w:tcBorders>
            <w:noWrap/>
            <w:tcMar>
              <w:top w:w="0" w:type="dxa"/>
              <w:left w:w="108" w:type="dxa"/>
              <w:bottom w:w="0" w:type="dxa"/>
              <w:right w:w="108" w:type="dxa"/>
            </w:tcMar>
            <w:hideMark/>
          </w:tcPr>
          <w:p w:rsidR="00EA2771" w:rsidRDefault="00EA2771">
            <w:pPr>
              <w:spacing w:before="100" w:beforeAutospacing="1" w:after="100" w:afterAutospacing="1" w:line="276" w:lineRule="auto"/>
              <w:jc w:val="center"/>
              <w:rPr>
                <w:rFonts w:ascii="Calibri" w:eastAsiaTheme="minorHAnsi" w:hAnsi="Calibri"/>
                <w:sz w:val="22"/>
                <w:szCs w:val="22"/>
              </w:rPr>
            </w:pPr>
            <w:r>
              <w:rPr>
                <w:rFonts w:ascii="Arial" w:hAnsi="Arial" w:cs="Arial"/>
                <w:b/>
                <w:bCs/>
                <w:color w:val="002060"/>
                <w:sz w:val="20"/>
              </w:rPr>
              <w:t>CV manufacturing</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AA3259">
            <w:pPr>
              <w:spacing w:line="276" w:lineRule="auto"/>
              <w:jc w:val="center"/>
              <w:rPr>
                <w:rFonts w:ascii="Calibri" w:eastAsiaTheme="minorHAnsi" w:hAnsi="Calibri"/>
                <w:sz w:val="22"/>
                <w:szCs w:val="22"/>
              </w:rPr>
            </w:pPr>
            <w:r>
              <w:rPr>
                <w:rFonts w:ascii="Arial" w:hAnsi="Arial" w:cs="Arial"/>
                <w:b/>
                <w:bCs/>
                <w:color w:val="0D2255"/>
                <w:sz w:val="20"/>
              </w:rPr>
              <w:t>Sep</w:t>
            </w:r>
            <w:r w:rsidR="00EA2771">
              <w:rPr>
                <w:rFonts w:ascii="Arial" w:hAnsi="Arial" w:cs="Arial"/>
                <w:b/>
                <w:bCs/>
                <w:color w:val="0D2255"/>
                <w:sz w:val="20"/>
              </w:rPr>
              <w:t>-14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AA3259">
            <w:pPr>
              <w:spacing w:line="276" w:lineRule="auto"/>
              <w:jc w:val="center"/>
              <w:rPr>
                <w:rFonts w:ascii="Calibri" w:eastAsiaTheme="minorHAnsi" w:hAnsi="Calibri"/>
                <w:sz w:val="22"/>
                <w:szCs w:val="22"/>
              </w:rPr>
            </w:pPr>
            <w:r>
              <w:rPr>
                <w:rFonts w:ascii="Arial" w:hAnsi="Arial" w:cs="Arial"/>
                <w:b/>
                <w:bCs/>
                <w:color w:val="0D2255"/>
                <w:sz w:val="20"/>
              </w:rPr>
              <w:t>Sep</w:t>
            </w:r>
            <w:r w:rsidR="00EA2771">
              <w:rPr>
                <w:rFonts w:ascii="Arial" w:hAnsi="Arial" w:cs="Arial"/>
                <w:b/>
                <w:bCs/>
                <w:color w:val="0D2255"/>
                <w:sz w:val="20"/>
              </w:rPr>
              <w:t>-15</w:t>
            </w:r>
          </w:p>
        </w:tc>
        <w:tc>
          <w:tcPr>
            <w:tcW w:w="1275"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center"/>
              <w:rPr>
                <w:rFonts w:ascii="Calibri" w:eastAsiaTheme="minorHAnsi" w:hAnsi="Calibri"/>
                <w:sz w:val="22"/>
                <w:szCs w:val="22"/>
              </w:rPr>
            </w:pPr>
            <w:r>
              <w:rPr>
                <w:rFonts w:ascii="Arial" w:hAnsi="Arial" w:cs="Arial"/>
                <w:b/>
                <w:bCs/>
                <w:color w:val="0D2255"/>
                <w:sz w:val="20"/>
              </w:rPr>
              <w:t xml:space="preserve">% Change </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center"/>
              <w:rPr>
                <w:rFonts w:ascii="Calibri" w:eastAsiaTheme="minorHAnsi" w:hAnsi="Calibri"/>
                <w:sz w:val="22"/>
                <w:szCs w:val="22"/>
              </w:rPr>
            </w:pPr>
            <w:r>
              <w:rPr>
                <w:rFonts w:ascii="Arial" w:hAnsi="Arial" w:cs="Arial"/>
                <w:b/>
                <w:bCs/>
                <w:color w:val="0D2255"/>
                <w:sz w:val="20"/>
              </w:rPr>
              <w:t>YTD-14</w:t>
            </w:r>
          </w:p>
        </w:tc>
        <w:tc>
          <w:tcPr>
            <w:tcW w:w="1134"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center"/>
              <w:rPr>
                <w:rFonts w:ascii="Calibri" w:eastAsiaTheme="minorHAnsi" w:hAnsi="Calibri"/>
                <w:sz w:val="22"/>
                <w:szCs w:val="22"/>
              </w:rPr>
            </w:pPr>
            <w:r>
              <w:rPr>
                <w:rFonts w:ascii="Arial" w:hAnsi="Arial" w:cs="Arial"/>
                <w:b/>
                <w:bCs/>
                <w:color w:val="0D2255"/>
                <w:sz w:val="20"/>
              </w:rPr>
              <w:t>YTD-15</w:t>
            </w:r>
          </w:p>
        </w:tc>
        <w:tc>
          <w:tcPr>
            <w:tcW w:w="1276" w:type="dxa"/>
            <w:tcBorders>
              <w:top w:val="single" w:sz="8" w:space="0" w:color="4F81BD"/>
              <w:left w:val="nil"/>
              <w:bottom w:val="single" w:sz="8" w:space="0" w:color="4F81BD"/>
              <w:right w:val="single" w:sz="8" w:space="0" w:color="4F81BD"/>
            </w:tcBorders>
            <w:noWrap/>
            <w:tcMar>
              <w:top w:w="0" w:type="dxa"/>
              <w:left w:w="108" w:type="dxa"/>
              <w:bottom w:w="0" w:type="dxa"/>
              <w:right w:w="108" w:type="dxa"/>
            </w:tcMar>
            <w:vAlign w:val="bottom"/>
            <w:hideMark/>
          </w:tcPr>
          <w:p w:rsidR="00EA2771" w:rsidRDefault="00EA2771">
            <w:pPr>
              <w:spacing w:line="276" w:lineRule="auto"/>
              <w:jc w:val="center"/>
              <w:rPr>
                <w:rFonts w:ascii="Calibri" w:eastAsiaTheme="minorHAnsi" w:hAnsi="Calibri"/>
                <w:sz w:val="22"/>
                <w:szCs w:val="22"/>
              </w:rPr>
            </w:pPr>
            <w:r>
              <w:rPr>
                <w:rFonts w:ascii="Arial" w:hAnsi="Arial" w:cs="Arial"/>
                <w:b/>
                <w:bCs/>
                <w:color w:val="0D2255"/>
                <w:sz w:val="20"/>
              </w:rPr>
              <w:t>% Change</w:t>
            </w:r>
          </w:p>
        </w:tc>
      </w:tr>
      <w:tr w:rsidR="00AA3259" w:rsidTr="00EA2771">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AA3259" w:rsidRDefault="00AA3259">
            <w:pPr>
              <w:spacing w:before="100" w:beforeAutospacing="1" w:after="100" w:afterAutospacing="1" w:line="276" w:lineRule="auto"/>
              <w:jc w:val="right"/>
              <w:rPr>
                <w:rFonts w:ascii="Calibri" w:eastAsiaTheme="minorHAnsi" w:hAnsi="Calibri"/>
                <w:sz w:val="22"/>
                <w:szCs w:val="22"/>
              </w:rPr>
            </w:pPr>
            <w:r>
              <w:rPr>
                <w:rFonts w:ascii="Arial" w:hAnsi="Arial" w:cs="Arial"/>
                <w:color w:val="0D2255"/>
                <w:sz w:val="20"/>
              </w:rPr>
              <w:t>Tot</w:t>
            </w:r>
            <w:r>
              <w:rPr>
                <w:rFonts w:ascii="Arial" w:hAnsi="Arial" w:cs="Arial"/>
                <w:color w:val="002060"/>
                <w:sz w:val="20"/>
              </w:rPr>
              <w:t>al</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20"/>
              </w:rPr>
            </w:pPr>
            <w:r w:rsidRPr="00AA3259">
              <w:rPr>
                <w:rFonts w:ascii="Arial" w:hAnsi="Arial" w:cs="Arial"/>
                <w:color w:val="0D2255"/>
                <w:sz w:val="20"/>
              </w:rPr>
              <w:t>4,818</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20"/>
              </w:rPr>
            </w:pPr>
            <w:r w:rsidRPr="00AA3259">
              <w:rPr>
                <w:rFonts w:ascii="Arial" w:hAnsi="Arial" w:cs="Arial"/>
                <w:color w:val="0D2255"/>
                <w:sz w:val="20"/>
              </w:rPr>
              <w:t>9,811</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18"/>
                <w:szCs w:val="18"/>
              </w:rPr>
            </w:pPr>
            <w:r w:rsidRPr="00AA3259">
              <w:rPr>
                <w:rFonts w:ascii="Arial" w:hAnsi="Arial" w:cs="Arial"/>
                <w:color w:val="0D2255"/>
                <w:sz w:val="18"/>
                <w:szCs w:val="18"/>
              </w:rPr>
              <w:t>103.6%</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20"/>
              </w:rPr>
            </w:pPr>
            <w:r w:rsidRPr="00AA3259">
              <w:rPr>
                <w:rFonts w:ascii="Arial" w:hAnsi="Arial" w:cs="Arial"/>
                <w:color w:val="0D2255"/>
                <w:sz w:val="20"/>
              </w:rPr>
              <w:t>50,746</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20"/>
              </w:rPr>
            </w:pPr>
            <w:r w:rsidRPr="00AA3259">
              <w:rPr>
                <w:rFonts w:ascii="Arial" w:hAnsi="Arial" w:cs="Arial"/>
                <w:color w:val="0D2255"/>
                <w:sz w:val="20"/>
              </w:rPr>
              <w:t>71,406</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18"/>
                <w:szCs w:val="18"/>
              </w:rPr>
            </w:pPr>
            <w:r w:rsidRPr="00AA3259">
              <w:rPr>
                <w:rFonts w:ascii="Arial" w:hAnsi="Arial" w:cs="Arial"/>
                <w:color w:val="0D2255"/>
                <w:sz w:val="18"/>
                <w:szCs w:val="18"/>
              </w:rPr>
              <w:t>40.7%</w:t>
            </w:r>
          </w:p>
        </w:tc>
      </w:tr>
      <w:tr w:rsidR="00AA3259" w:rsidTr="00EA2771">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AA3259" w:rsidRDefault="00AA3259">
            <w:pPr>
              <w:spacing w:before="100" w:beforeAutospacing="1" w:after="100" w:afterAutospacing="1" w:line="276" w:lineRule="auto"/>
              <w:jc w:val="right"/>
              <w:rPr>
                <w:rFonts w:ascii="Calibri" w:eastAsiaTheme="minorHAnsi" w:hAnsi="Calibri"/>
                <w:sz w:val="22"/>
                <w:szCs w:val="22"/>
              </w:rPr>
            </w:pPr>
            <w:r>
              <w:rPr>
                <w:rFonts w:ascii="Arial" w:hAnsi="Arial" w:cs="Arial"/>
                <w:color w:val="002060"/>
                <w:sz w:val="20"/>
              </w:rPr>
              <w:t>Home</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20"/>
              </w:rPr>
            </w:pPr>
            <w:r w:rsidRPr="00AA3259">
              <w:rPr>
                <w:rFonts w:ascii="Arial" w:hAnsi="Arial" w:cs="Arial"/>
                <w:color w:val="0D2255"/>
                <w:sz w:val="20"/>
              </w:rPr>
              <w:t>2,522</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20"/>
              </w:rPr>
            </w:pPr>
            <w:r w:rsidRPr="00AA3259">
              <w:rPr>
                <w:rFonts w:ascii="Arial" w:hAnsi="Arial" w:cs="Arial"/>
                <w:color w:val="0D2255"/>
                <w:sz w:val="20"/>
              </w:rPr>
              <w:t>4,900</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18"/>
                <w:szCs w:val="18"/>
              </w:rPr>
            </w:pPr>
            <w:r w:rsidRPr="00AA3259">
              <w:rPr>
                <w:rFonts w:ascii="Arial" w:hAnsi="Arial" w:cs="Arial"/>
                <w:color w:val="0D2255"/>
                <w:sz w:val="18"/>
                <w:szCs w:val="18"/>
              </w:rPr>
              <w:t>94.3%</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20"/>
              </w:rPr>
            </w:pPr>
            <w:r w:rsidRPr="00AA3259">
              <w:rPr>
                <w:rFonts w:ascii="Arial" w:hAnsi="Arial" w:cs="Arial"/>
                <w:color w:val="0D2255"/>
                <w:sz w:val="20"/>
              </w:rPr>
              <w:t>24,474</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20"/>
              </w:rPr>
            </w:pPr>
            <w:r w:rsidRPr="00AA3259">
              <w:rPr>
                <w:rFonts w:ascii="Arial" w:hAnsi="Arial" w:cs="Arial"/>
                <w:color w:val="0D2255"/>
                <w:sz w:val="20"/>
              </w:rPr>
              <w:t>36,396</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18"/>
                <w:szCs w:val="18"/>
              </w:rPr>
            </w:pPr>
            <w:r w:rsidRPr="00AA3259">
              <w:rPr>
                <w:rFonts w:ascii="Arial" w:hAnsi="Arial" w:cs="Arial"/>
                <w:color w:val="0D2255"/>
                <w:sz w:val="18"/>
                <w:szCs w:val="18"/>
              </w:rPr>
              <w:t>48.7%</w:t>
            </w:r>
          </w:p>
        </w:tc>
      </w:tr>
      <w:tr w:rsidR="00AA3259" w:rsidTr="00EA2771">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AA3259" w:rsidRDefault="00AA3259">
            <w:pPr>
              <w:spacing w:before="100" w:beforeAutospacing="1" w:after="100" w:afterAutospacing="1" w:line="276" w:lineRule="auto"/>
              <w:jc w:val="right"/>
              <w:rPr>
                <w:rFonts w:ascii="Calibri" w:eastAsiaTheme="minorHAnsi" w:hAnsi="Calibri"/>
                <w:sz w:val="22"/>
                <w:szCs w:val="22"/>
              </w:rPr>
            </w:pPr>
            <w:r>
              <w:rPr>
                <w:rFonts w:ascii="Arial" w:hAnsi="Arial" w:cs="Arial"/>
                <w:color w:val="002060"/>
                <w:sz w:val="20"/>
              </w:rPr>
              <w:t>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20"/>
              </w:rPr>
            </w:pPr>
            <w:r w:rsidRPr="00AA3259">
              <w:rPr>
                <w:rFonts w:ascii="Arial" w:hAnsi="Arial" w:cs="Arial"/>
                <w:color w:val="0D2255"/>
                <w:sz w:val="20"/>
              </w:rPr>
              <w:t>2,296</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20"/>
              </w:rPr>
            </w:pPr>
            <w:r w:rsidRPr="00AA3259">
              <w:rPr>
                <w:rFonts w:ascii="Arial" w:hAnsi="Arial" w:cs="Arial"/>
                <w:color w:val="0D2255"/>
                <w:sz w:val="20"/>
              </w:rPr>
              <w:t>4,911</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18"/>
                <w:szCs w:val="18"/>
              </w:rPr>
            </w:pPr>
            <w:r w:rsidRPr="00AA3259">
              <w:rPr>
                <w:rFonts w:ascii="Arial" w:hAnsi="Arial" w:cs="Arial"/>
                <w:color w:val="0D2255"/>
                <w:sz w:val="18"/>
                <w:szCs w:val="18"/>
              </w:rPr>
              <w:t>113.9%</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20"/>
              </w:rPr>
            </w:pPr>
            <w:r w:rsidRPr="00AA3259">
              <w:rPr>
                <w:rFonts w:ascii="Arial" w:hAnsi="Arial" w:cs="Arial"/>
                <w:color w:val="0D2255"/>
                <w:sz w:val="20"/>
              </w:rPr>
              <w:t>26,272</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20"/>
              </w:rPr>
            </w:pPr>
            <w:r w:rsidRPr="00AA3259">
              <w:rPr>
                <w:rFonts w:ascii="Arial" w:hAnsi="Arial" w:cs="Arial"/>
                <w:color w:val="0D2255"/>
                <w:sz w:val="20"/>
              </w:rPr>
              <w:t>35,010</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18"/>
                <w:szCs w:val="18"/>
              </w:rPr>
            </w:pPr>
            <w:r w:rsidRPr="00AA3259">
              <w:rPr>
                <w:rFonts w:ascii="Arial" w:hAnsi="Arial" w:cs="Arial"/>
                <w:color w:val="0D2255"/>
                <w:sz w:val="18"/>
                <w:szCs w:val="18"/>
              </w:rPr>
              <w:t>33.3%</w:t>
            </w:r>
          </w:p>
        </w:tc>
      </w:tr>
      <w:tr w:rsidR="00AA3259" w:rsidTr="00EA2771">
        <w:trPr>
          <w:trHeight w:val="270"/>
        </w:trPr>
        <w:tc>
          <w:tcPr>
            <w:tcW w:w="2093"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vAlign w:val="bottom"/>
            <w:hideMark/>
          </w:tcPr>
          <w:p w:rsidR="00AA3259" w:rsidRDefault="00AA3259">
            <w:pPr>
              <w:spacing w:before="100" w:beforeAutospacing="1" w:after="100" w:afterAutospacing="1" w:line="276" w:lineRule="auto"/>
              <w:jc w:val="right"/>
              <w:rPr>
                <w:rFonts w:ascii="Calibri" w:eastAsiaTheme="minorHAnsi" w:hAnsi="Calibri"/>
                <w:sz w:val="22"/>
                <w:szCs w:val="22"/>
              </w:rPr>
            </w:pPr>
            <w:r>
              <w:rPr>
                <w:rFonts w:ascii="Arial" w:hAnsi="Arial" w:cs="Arial"/>
                <w:color w:val="002060"/>
                <w:sz w:val="20"/>
              </w:rPr>
              <w:t>% export</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20"/>
              </w:rPr>
            </w:pPr>
            <w:r w:rsidRPr="00AA3259">
              <w:rPr>
                <w:rFonts w:ascii="Arial" w:hAnsi="Arial" w:cs="Arial"/>
                <w:color w:val="0D2255"/>
                <w:sz w:val="20"/>
              </w:rPr>
              <w:t>47.7%</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20"/>
              </w:rPr>
            </w:pPr>
            <w:r w:rsidRPr="00AA3259">
              <w:rPr>
                <w:rFonts w:ascii="Arial" w:hAnsi="Arial" w:cs="Arial"/>
                <w:color w:val="0D2255"/>
                <w:sz w:val="20"/>
              </w:rPr>
              <w:t>50.1%</w:t>
            </w:r>
          </w:p>
        </w:tc>
        <w:tc>
          <w:tcPr>
            <w:tcW w:w="1275"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20"/>
              </w:rPr>
            </w:pPr>
            <w:r w:rsidRPr="00AA3259">
              <w:rPr>
                <w:rFonts w:ascii="Arial" w:hAnsi="Arial" w:cs="Arial"/>
                <w:color w:val="0D2255"/>
                <w:sz w:val="20"/>
              </w:rPr>
              <w:t> </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20"/>
              </w:rPr>
            </w:pPr>
            <w:r w:rsidRPr="00AA3259">
              <w:rPr>
                <w:rFonts w:ascii="Arial" w:hAnsi="Arial" w:cs="Arial"/>
                <w:color w:val="0D2255"/>
                <w:sz w:val="20"/>
              </w:rPr>
              <w:t>51.8%</w:t>
            </w:r>
          </w:p>
        </w:tc>
        <w:tc>
          <w:tcPr>
            <w:tcW w:w="1134"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20"/>
              </w:rPr>
            </w:pPr>
            <w:r w:rsidRPr="00AA3259">
              <w:rPr>
                <w:rFonts w:ascii="Arial" w:hAnsi="Arial" w:cs="Arial"/>
                <w:color w:val="0D2255"/>
                <w:sz w:val="20"/>
              </w:rPr>
              <w:t>49.0%</w:t>
            </w:r>
          </w:p>
        </w:tc>
        <w:tc>
          <w:tcPr>
            <w:tcW w:w="1276" w:type="dxa"/>
            <w:tcBorders>
              <w:top w:val="nil"/>
              <w:left w:val="nil"/>
              <w:bottom w:val="single" w:sz="8" w:space="0" w:color="4F81BD"/>
              <w:right w:val="single" w:sz="8" w:space="0" w:color="4F81BD"/>
            </w:tcBorders>
            <w:noWrap/>
            <w:tcMar>
              <w:top w:w="0" w:type="dxa"/>
              <w:left w:w="108" w:type="dxa"/>
              <w:bottom w:w="0" w:type="dxa"/>
              <w:right w:w="108" w:type="dxa"/>
            </w:tcMar>
            <w:vAlign w:val="bottom"/>
            <w:hideMark/>
          </w:tcPr>
          <w:p w:rsidR="00AA3259" w:rsidRPr="00AA3259" w:rsidRDefault="00AA3259">
            <w:pPr>
              <w:jc w:val="right"/>
              <w:rPr>
                <w:rFonts w:ascii="Arial" w:hAnsi="Arial" w:cs="Arial"/>
                <w:color w:val="0D2255"/>
                <w:sz w:val="20"/>
              </w:rPr>
            </w:pPr>
            <w:r w:rsidRPr="00AA3259">
              <w:rPr>
                <w:rFonts w:ascii="Arial" w:hAnsi="Arial" w:cs="Arial"/>
                <w:color w:val="0D2255"/>
                <w:sz w:val="20"/>
              </w:rPr>
              <w:t> </w:t>
            </w:r>
          </w:p>
        </w:tc>
      </w:tr>
    </w:tbl>
    <w:p w:rsidR="00EA2771" w:rsidRDefault="00EA2771" w:rsidP="00EA2771">
      <w:pPr>
        <w:rPr>
          <w:rFonts w:ascii="Calibri" w:eastAsiaTheme="minorHAnsi" w:hAnsi="Calibri"/>
          <w:sz w:val="22"/>
          <w:szCs w:val="22"/>
        </w:rPr>
      </w:pPr>
      <w:r>
        <w:rPr>
          <w:rFonts w:ascii="Arial" w:hAnsi="Arial" w:cs="Arial"/>
          <w:sz w:val="20"/>
        </w:rPr>
        <w:t> </w:t>
      </w:r>
    </w:p>
    <w:p w:rsidR="005048CD" w:rsidRDefault="005048CD" w:rsidP="005048CD">
      <w:pPr>
        <w:rPr>
          <w:rFonts w:ascii="Calibri" w:eastAsiaTheme="minorHAnsi" w:hAnsi="Calibri"/>
          <w:sz w:val="22"/>
          <w:szCs w:val="22"/>
        </w:rPr>
      </w:pPr>
      <w:r>
        <w:rPr>
          <w:rFonts w:ascii="Arial" w:hAnsi="Arial" w:cs="Arial"/>
          <w:sz w:val="20"/>
        </w:rPr>
        <w:t> </w:t>
      </w:r>
    </w:p>
    <w:p w:rsidR="005048CD" w:rsidRDefault="005048CD" w:rsidP="005048CD">
      <w:r>
        <w:rPr>
          <w:rFonts w:ascii="Arial" w:hAnsi="Arial" w:cs="Arial"/>
          <w:sz w:val="20"/>
        </w:rPr>
        <w:t> </w:t>
      </w:r>
    </w:p>
    <w:p w:rsidR="00073163" w:rsidRDefault="00073163" w:rsidP="006620F7">
      <w:pPr>
        <w:rPr>
          <w:rFonts w:ascii="Arial" w:hAnsi="Arial" w:cs="Arial"/>
          <w:b/>
          <w:noProof/>
          <w:color w:val="0D2255"/>
          <w:sz w:val="20"/>
        </w:rPr>
      </w:pPr>
      <w:r w:rsidRPr="00325254">
        <w:rPr>
          <w:rFonts w:ascii="Arial" w:hAnsi="Arial" w:cs="Arial"/>
          <w:b/>
          <w:color w:val="0D2255"/>
          <w:sz w:val="20"/>
        </w:rPr>
        <w:t xml:space="preserve">CV output </w:t>
      </w:r>
      <w:r>
        <w:rPr>
          <w:rFonts w:ascii="Arial" w:hAnsi="Arial" w:cs="Arial"/>
          <w:b/>
          <w:color w:val="0D2255"/>
          <w:sz w:val="20"/>
        </w:rPr>
        <w:t xml:space="preserve">– </w:t>
      </w:r>
      <w:r w:rsidRPr="00325254">
        <w:rPr>
          <w:rFonts w:ascii="Arial" w:hAnsi="Arial" w:cs="Arial"/>
          <w:b/>
          <w:color w:val="0D2255"/>
          <w:sz w:val="20"/>
        </w:rPr>
        <w:t>rolling year to</w:t>
      </w:r>
      <w:r>
        <w:rPr>
          <w:rFonts w:ascii="Arial" w:hAnsi="Arial" w:cs="Arial"/>
          <w:b/>
          <w:color w:val="0D2255"/>
          <w:sz w:val="20"/>
        </w:rPr>
        <w:t>tal</w:t>
      </w:r>
      <w:r w:rsidR="008E75CB">
        <w:rPr>
          <w:rFonts w:ascii="Arial" w:hAnsi="Arial" w:cs="Arial"/>
          <w:b/>
          <w:color w:val="0D2255"/>
          <w:sz w:val="20"/>
        </w:rPr>
        <w:t xml:space="preserve">s </w:t>
      </w:r>
      <w:r w:rsidR="008E75CB" w:rsidRPr="008E75CB">
        <w:rPr>
          <w:rFonts w:ascii="Arial" w:hAnsi="Arial" w:cs="Arial"/>
          <w:b/>
          <w:color w:val="0D2255"/>
          <w:sz w:val="20"/>
        </w:rPr>
        <w:t>2008-2015</w:t>
      </w:r>
    </w:p>
    <w:p w:rsidR="00AC68AB" w:rsidRDefault="008F0806" w:rsidP="006620F7">
      <w:pPr>
        <w:rPr>
          <w:rFonts w:ascii="Arial" w:hAnsi="Arial" w:cs="Arial"/>
          <w:b/>
          <w:color w:val="0D2255"/>
          <w:sz w:val="20"/>
        </w:rPr>
      </w:pPr>
      <w:r w:rsidRPr="00F805DF">
        <w:rPr>
          <w:rFonts w:ascii="Arial" w:hAnsi="Arial" w:cs="Arial"/>
          <w:b/>
          <w:color w:val="1074CB"/>
          <w:sz w:val="20"/>
        </w:rPr>
        <w:drawing>
          <wp:inline distT="0" distB="0" distL="0" distR="0">
            <wp:extent cx="6143625" cy="315277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2BFE" w:rsidRPr="00774429" w:rsidRDefault="00FC2BFE" w:rsidP="006620F7">
      <w:pPr>
        <w:rPr>
          <w:rFonts w:ascii="Arial" w:eastAsia="Times New Roman" w:hAnsi="Arial" w:cs="Arial"/>
          <w:b/>
          <w:color w:val="1074CB"/>
          <w:sz w:val="16"/>
          <w:szCs w:val="16"/>
          <w:u w:val="single"/>
        </w:rPr>
      </w:pPr>
      <w:r w:rsidRPr="00774429">
        <w:rPr>
          <w:rFonts w:ascii="Arial" w:eastAsia="Times New Roman" w:hAnsi="Arial" w:cs="Arial"/>
          <w:b/>
          <w:color w:val="1074CB"/>
          <w:sz w:val="16"/>
          <w:szCs w:val="16"/>
          <w:u w:val="single"/>
        </w:rPr>
        <w:lastRenderedPageBreak/>
        <w:t>Notes to editors</w:t>
      </w:r>
    </w:p>
    <w:p w:rsidR="00FC2BFE" w:rsidRDefault="00FC2BFE" w:rsidP="006620F7">
      <w:pPr>
        <w:rPr>
          <w:rFonts w:ascii="Arial" w:eastAsia="Times New Roman" w:hAnsi="Arial" w:cs="Arial"/>
          <w:b/>
          <w:color w:val="1074CB"/>
          <w:sz w:val="16"/>
          <w:szCs w:val="16"/>
        </w:rPr>
      </w:pPr>
    </w:p>
    <w:p w:rsidR="006620F7" w:rsidRDefault="006620F7" w:rsidP="006620F7">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073163" w:rsidRPr="00073163" w:rsidRDefault="00073163" w:rsidP="006620F7">
      <w:pPr>
        <w:rPr>
          <w:rFonts w:ascii="Arial" w:hAnsi="Arial" w:cs="Arial"/>
          <w:b/>
          <w:color w:val="0D2255"/>
          <w:sz w:val="20"/>
        </w:rPr>
      </w:pPr>
    </w:p>
    <w:p w:rsidR="006620F7" w:rsidRPr="00853E71" w:rsidRDefault="006620F7" w:rsidP="006620F7">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6620F7" w:rsidRPr="00853E71" w:rsidRDefault="006620F7" w:rsidP="006620F7">
      <w:pPr>
        <w:spacing w:afterAutospacing="1"/>
        <w:contextualSpacing/>
        <w:rPr>
          <w:rFonts w:ascii="Arial" w:eastAsia="Times New Roman" w:hAnsi="Arial" w:cs="Arial"/>
          <w:color w:val="1074CB"/>
          <w:sz w:val="16"/>
          <w:szCs w:val="16"/>
        </w:rPr>
      </w:pPr>
    </w:p>
    <w:p w:rsidR="00AA0D85" w:rsidRDefault="00AA0D85" w:rsidP="00AA0D85">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world's most </w:t>
      </w:r>
      <w:r>
        <w:rPr>
          <w:rFonts w:ascii="Arial" w:hAnsi="Arial"/>
          <w:b/>
          <w:bCs/>
          <w:color w:val="1074CB"/>
          <w:sz w:val="16"/>
        </w:rPr>
        <w:t>skilled engineers</w:t>
      </w:r>
      <w:r>
        <w:rPr>
          <w:rFonts w:ascii="Arial" w:hAnsi="Arial"/>
          <w:color w:val="1074CB"/>
          <w:sz w:val="16"/>
        </w:rPr>
        <w:t>.</w:t>
      </w:r>
    </w:p>
    <w:p w:rsidR="006620F7" w:rsidRPr="00853E71" w:rsidRDefault="006620F7" w:rsidP="006620F7">
      <w:pPr>
        <w:spacing w:afterAutospacing="1"/>
        <w:contextualSpacing/>
        <w:rPr>
          <w:rFonts w:ascii="Arial" w:eastAsia="Times New Roman" w:hAnsi="Arial" w:cs="Arial"/>
          <w:color w:val="1074CB"/>
          <w:sz w:val="16"/>
          <w:szCs w:val="16"/>
        </w:rPr>
      </w:pPr>
    </w:p>
    <w:p w:rsidR="006620F7" w:rsidRPr="00853E71" w:rsidRDefault="006620F7" w:rsidP="006620F7">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SMMT's Motor Industry Facts 201</w:t>
      </w:r>
      <w:r>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Pr>
          <w:rFonts w:ascii="Arial" w:eastAsia="Times New Roman" w:hAnsi="Arial" w:cs="Arial"/>
          <w:color w:val="1074CB"/>
          <w:sz w:val="16"/>
          <w:szCs w:val="16"/>
        </w:rPr>
        <w:t xml:space="preserve">at </w:t>
      </w:r>
      <w:hyperlink r:id="rId9" w:history="1">
        <w:r w:rsidRPr="00ED5EF2">
          <w:rPr>
            <w:rStyle w:val="Hyperlink"/>
            <w:rFonts w:ascii="Arial" w:eastAsia="Times New Roman" w:hAnsi="Arial" w:cs="Arial"/>
            <w:sz w:val="16"/>
            <w:szCs w:val="16"/>
          </w:rPr>
          <w:t>www.smmt.co.uk/facts15</w:t>
        </w:r>
      </w:hyperlink>
      <w:r w:rsidRPr="00853E71">
        <w:rPr>
          <w:rFonts w:ascii="Arial" w:eastAsia="Times New Roman" w:hAnsi="Arial" w:cs="Arial"/>
          <w:color w:val="1074CB"/>
          <w:sz w:val="16"/>
          <w:szCs w:val="16"/>
        </w:rPr>
        <w:t>.</w:t>
      </w:r>
    </w:p>
    <w:p w:rsidR="006620F7" w:rsidRPr="00853E71" w:rsidRDefault="006620F7" w:rsidP="006620F7">
      <w:pPr>
        <w:spacing w:afterAutospacing="1"/>
        <w:contextualSpacing/>
        <w:rPr>
          <w:rFonts w:ascii="Arial" w:eastAsia="Times New Roman" w:hAnsi="Arial" w:cs="Arial"/>
          <w:color w:val="1074CB"/>
          <w:sz w:val="16"/>
          <w:szCs w:val="16"/>
        </w:rPr>
      </w:pPr>
    </w:p>
    <w:p w:rsidR="006620F7" w:rsidRPr="00853E71" w:rsidRDefault="006620F7" w:rsidP="006620F7">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6620F7" w:rsidRDefault="006620F7" w:rsidP="006620F7">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AA0D85" w:rsidRDefault="00AA0D85" w:rsidP="00AA0D85">
      <w:pPr>
        <w:rPr>
          <w:rFonts w:ascii="Arial" w:hAnsi="Arial"/>
          <w:color w:val="1074CB"/>
          <w:sz w:val="16"/>
        </w:rPr>
      </w:pPr>
      <w:r>
        <w:rPr>
          <w:rFonts w:ascii="Arial" w:hAnsi="Arial"/>
          <w:color w:val="1074CB"/>
          <w:sz w:val="16"/>
        </w:rPr>
        <w:t>Ben Foulds</w:t>
      </w:r>
      <w:r>
        <w:rPr>
          <w:rFonts w:ascii="Arial" w:hAnsi="Arial"/>
          <w:color w:val="1074CB"/>
          <w:sz w:val="16"/>
        </w:rPr>
        <w:tab/>
      </w:r>
      <w:r>
        <w:rPr>
          <w:rFonts w:ascii="Arial" w:hAnsi="Arial"/>
          <w:color w:val="1074CB"/>
          <w:sz w:val="16"/>
        </w:rPr>
        <w:tab/>
      </w:r>
      <w:r>
        <w:rPr>
          <w:rFonts w:ascii="Arial" w:hAnsi="Arial"/>
          <w:color w:val="1074CB"/>
          <w:sz w:val="16"/>
        </w:rPr>
        <w:tab/>
        <w:t>020 7344 9222</w:t>
      </w:r>
      <w:r>
        <w:rPr>
          <w:rFonts w:ascii="Arial" w:hAnsi="Arial"/>
          <w:color w:val="1074CB"/>
          <w:sz w:val="16"/>
        </w:rPr>
        <w:tab/>
      </w:r>
      <w:r>
        <w:rPr>
          <w:rFonts w:ascii="Arial" w:hAnsi="Arial"/>
          <w:color w:val="1074CB"/>
          <w:sz w:val="16"/>
        </w:rPr>
        <w:tab/>
      </w:r>
      <w:hyperlink r:id="rId10" w:history="1">
        <w:r>
          <w:rPr>
            <w:rStyle w:val="Hyperlink"/>
            <w:rFonts w:ascii="Arial" w:hAnsi="Arial"/>
            <w:sz w:val="16"/>
          </w:rPr>
          <w:t>bfoulds@smmt.co.uk</w:t>
        </w:r>
      </w:hyperlink>
      <w:r>
        <w:rPr>
          <w:rFonts w:ascii="Arial" w:hAnsi="Arial"/>
          <w:color w:val="1074CB"/>
          <w:sz w:val="16"/>
        </w:rPr>
        <w:t xml:space="preserve"> </w:t>
      </w:r>
    </w:p>
    <w:p w:rsidR="00AA0D85" w:rsidRDefault="00AA0D85" w:rsidP="00AA0D85">
      <w:pPr>
        <w:rPr>
          <w:rFonts w:ascii="Arial" w:hAnsi="Arial"/>
          <w:sz w:val="16"/>
        </w:rPr>
      </w:pPr>
      <w:r>
        <w:rPr>
          <w:rFonts w:ascii="Arial" w:hAnsi="Arial"/>
          <w:color w:val="1074CB"/>
          <w:sz w:val="16"/>
        </w:rPr>
        <w:t>Francesca Fleming</w:t>
      </w:r>
      <w:r>
        <w:rPr>
          <w:rFonts w:ascii="Arial" w:hAnsi="Arial"/>
          <w:color w:val="1074CB"/>
          <w:sz w:val="16"/>
        </w:rPr>
        <w:tab/>
      </w:r>
      <w:r>
        <w:rPr>
          <w:rFonts w:ascii="Arial" w:hAnsi="Arial"/>
          <w:color w:val="1074CB"/>
          <w:sz w:val="16"/>
        </w:rPr>
        <w:tab/>
      </w:r>
      <w:r>
        <w:rPr>
          <w:rFonts w:ascii="Arial" w:hAnsi="Arial"/>
          <w:color w:val="1074CB"/>
          <w:sz w:val="16"/>
        </w:rPr>
        <w:tab/>
        <w:t>020 7344 9206</w:t>
      </w:r>
      <w:r>
        <w:rPr>
          <w:rFonts w:ascii="Arial" w:hAnsi="Arial"/>
          <w:color w:val="1074CB"/>
          <w:sz w:val="16"/>
        </w:rPr>
        <w:tab/>
      </w:r>
      <w:r>
        <w:rPr>
          <w:rFonts w:ascii="Arial" w:hAnsi="Arial"/>
          <w:color w:val="1074CB"/>
          <w:sz w:val="16"/>
        </w:rPr>
        <w:tab/>
      </w:r>
      <w:hyperlink r:id="rId11" w:history="1">
        <w:r w:rsidRPr="00C75E78">
          <w:rPr>
            <w:rStyle w:val="Hyperlink"/>
            <w:rFonts w:ascii="Arial" w:hAnsi="Arial"/>
            <w:sz w:val="16"/>
          </w:rPr>
          <w:t>ffleming@smmt.co.uk</w:t>
        </w:r>
      </w:hyperlink>
    </w:p>
    <w:p w:rsidR="00AA0D85" w:rsidRDefault="00AA0D85" w:rsidP="00AA0D85">
      <w:pPr>
        <w:rPr>
          <w:rFonts w:ascii="Arial" w:hAnsi="Arial"/>
          <w:color w:val="1074CB"/>
          <w:sz w:val="16"/>
        </w:rPr>
      </w:pPr>
      <w:r w:rsidRPr="00520778">
        <w:rPr>
          <w:rFonts w:ascii="Arial" w:hAnsi="Arial"/>
          <w:color w:val="1074CB"/>
          <w:sz w:val="16"/>
        </w:rPr>
        <w:t>Emma Butcher</w:t>
      </w:r>
      <w:r w:rsidRPr="00520778">
        <w:rPr>
          <w:rFonts w:ascii="Arial" w:hAnsi="Arial"/>
          <w:color w:val="1074CB"/>
          <w:sz w:val="16"/>
        </w:rPr>
        <w:tab/>
      </w:r>
      <w:r w:rsidRPr="00520778">
        <w:rPr>
          <w:rFonts w:ascii="Arial" w:hAnsi="Arial"/>
          <w:color w:val="1074CB"/>
          <w:sz w:val="16"/>
        </w:rPr>
        <w:tab/>
      </w:r>
      <w:r w:rsidRPr="00520778">
        <w:rPr>
          <w:rFonts w:ascii="Arial" w:hAnsi="Arial"/>
          <w:color w:val="1074CB"/>
          <w:sz w:val="16"/>
        </w:rPr>
        <w:tab/>
        <w:t>020 7344 9263</w:t>
      </w:r>
      <w:r>
        <w:rPr>
          <w:rFonts w:ascii="Arial" w:hAnsi="Arial"/>
          <w:sz w:val="16"/>
        </w:rPr>
        <w:tab/>
      </w:r>
      <w:r>
        <w:rPr>
          <w:rFonts w:ascii="Arial" w:hAnsi="Arial"/>
          <w:sz w:val="16"/>
        </w:rPr>
        <w:tab/>
      </w:r>
      <w:hyperlink r:id="rId12" w:history="1">
        <w:r w:rsidRPr="00C75E78">
          <w:rPr>
            <w:rStyle w:val="Hyperlink"/>
            <w:rFonts w:ascii="Arial" w:hAnsi="Arial"/>
            <w:sz w:val="16"/>
          </w:rPr>
          <w:t>ebutcher@smmt.co.uk</w:t>
        </w:r>
      </w:hyperlink>
      <w:r>
        <w:rPr>
          <w:rFonts w:ascii="Arial" w:hAnsi="Arial"/>
          <w:sz w:val="16"/>
        </w:rPr>
        <w:t xml:space="preserve"> </w:t>
      </w:r>
    </w:p>
    <w:p w:rsidR="00AA0D85" w:rsidRDefault="00AA0D85" w:rsidP="00AA0D85">
      <w:pPr>
        <w:tabs>
          <w:tab w:val="right" w:pos="9332"/>
        </w:tabs>
        <w:rPr>
          <w:rFonts w:ascii="Arial" w:hAnsi="Arial"/>
          <w:sz w:val="16"/>
        </w:rPr>
      </w:pPr>
    </w:p>
    <w:p w:rsidR="00B25479" w:rsidRPr="00B25479" w:rsidRDefault="00B25479" w:rsidP="00AA0D85">
      <w:pPr>
        <w:rPr>
          <w:rFonts w:ascii="Arial" w:hAnsi="Arial" w:cs="Arial"/>
          <w:color w:val="0D2255"/>
          <w:sz w:val="20"/>
        </w:rPr>
      </w:pPr>
    </w:p>
    <w:sectPr w:rsidR="00B25479" w:rsidRPr="00B25479" w:rsidSect="00A1512E">
      <w:footerReference w:type="default" r:id="rId13"/>
      <w:headerReference w:type="first" r:id="rId14"/>
      <w:pgSz w:w="11906" w:h="16838"/>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806" w:rsidRDefault="008F0806" w:rsidP="00C80E70">
      <w:r>
        <w:separator/>
      </w:r>
    </w:p>
  </w:endnote>
  <w:endnote w:type="continuationSeparator" w:id="0">
    <w:p w:rsidR="008F0806" w:rsidRDefault="008F0806"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06" w:rsidRPr="006620F7" w:rsidRDefault="008F0806" w:rsidP="006620F7">
    <w:pPr>
      <w:pStyle w:val="Footer"/>
    </w:pPr>
    <w:r w:rsidRPr="006620F7">
      <w:rPr>
        <w:rStyle w:val="Hyperlink"/>
        <w:color w:val="auto"/>
        <w:u w:val="non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806" w:rsidRDefault="008F0806" w:rsidP="00C80E70">
      <w:r>
        <w:separator/>
      </w:r>
    </w:p>
  </w:footnote>
  <w:footnote w:type="continuationSeparator" w:id="0">
    <w:p w:rsidR="008F0806" w:rsidRDefault="008F0806"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06" w:rsidRDefault="008F0806">
    <w:pPr>
      <w:pStyle w:val="Heade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4407835</wp:posOffset>
          </wp:positionH>
          <wp:positionV relativeFrom="paragraph">
            <wp:posOffset>-388793</wp:posOffset>
          </wp:positionV>
          <wp:extent cx="1952625" cy="747395"/>
          <wp:effectExtent l="0" t="0" r="0"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625" cy="7473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AB2316"/>
    <w:multiLevelType w:val="hybridMultilevel"/>
    <w:tmpl w:val="52DAE3B4"/>
    <w:lvl w:ilvl="0" w:tplc="855EF52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2456FC"/>
    <w:multiLevelType w:val="hybridMultilevel"/>
    <w:tmpl w:val="9D02E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EF6D95"/>
    <w:multiLevelType w:val="hybridMultilevel"/>
    <w:tmpl w:val="7240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8D3ECB"/>
    <w:multiLevelType w:val="hybridMultilevel"/>
    <w:tmpl w:val="7C540E9A"/>
    <w:lvl w:ilvl="0" w:tplc="855EF52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260B3F"/>
    <w:multiLevelType w:val="hybridMultilevel"/>
    <w:tmpl w:val="1BF040D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91459E6"/>
    <w:multiLevelType w:val="hybridMultilevel"/>
    <w:tmpl w:val="4528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6"/>
  </w:num>
  <w:num w:numId="10">
    <w:abstractNumId w:val="5"/>
  </w:num>
  <w:num w:numId="11">
    <w:abstractNumId w:val="2"/>
  </w:num>
  <w:num w:numId="12">
    <w:abstractNumId w:val="3"/>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rsids>
    <w:rsidRoot w:val="00C80E70"/>
    <w:rsid w:val="0001774D"/>
    <w:rsid w:val="00017BE7"/>
    <w:rsid w:val="0003611F"/>
    <w:rsid w:val="000376DA"/>
    <w:rsid w:val="00037DBD"/>
    <w:rsid w:val="00040399"/>
    <w:rsid w:val="00054E31"/>
    <w:rsid w:val="00055008"/>
    <w:rsid w:val="00066F55"/>
    <w:rsid w:val="00073163"/>
    <w:rsid w:val="0008241D"/>
    <w:rsid w:val="000850E7"/>
    <w:rsid w:val="00096A24"/>
    <w:rsid w:val="000A5A5E"/>
    <w:rsid w:val="000B3A51"/>
    <w:rsid w:val="000B47D6"/>
    <w:rsid w:val="000B5D51"/>
    <w:rsid w:val="000C3FDE"/>
    <w:rsid w:val="000E5317"/>
    <w:rsid w:val="000E71FB"/>
    <w:rsid w:val="000F1290"/>
    <w:rsid w:val="001013CE"/>
    <w:rsid w:val="001021AF"/>
    <w:rsid w:val="00107A4E"/>
    <w:rsid w:val="00110120"/>
    <w:rsid w:val="00116666"/>
    <w:rsid w:val="0011695D"/>
    <w:rsid w:val="0011738E"/>
    <w:rsid w:val="00121C86"/>
    <w:rsid w:val="0012569D"/>
    <w:rsid w:val="00125D19"/>
    <w:rsid w:val="00133B87"/>
    <w:rsid w:val="0013617E"/>
    <w:rsid w:val="00142AE3"/>
    <w:rsid w:val="0014558C"/>
    <w:rsid w:val="00157A4E"/>
    <w:rsid w:val="001630D2"/>
    <w:rsid w:val="001737CD"/>
    <w:rsid w:val="0017616F"/>
    <w:rsid w:val="00187E2B"/>
    <w:rsid w:val="00192CE4"/>
    <w:rsid w:val="00197C2C"/>
    <w:rsid w:val="001A0DDA"/>
    <w:rsid w:val="001A1B4A"/>
    <w:rsid w:val="001A43AE"/>
    <w:rsid w:val="001A67B5"/>
    <w:rsid w:val="001A7945"/>
    <w:rsid w:val="001B2FFA"/>
    <w:rsid w:val="001C389E"/>
    <w:rsid w:val="001C4B17"/>
    <w:rsid w:val="001D438A"/>
    <w:rsid w:val="001D6CB9"/>
    <w:rsid w:val="001E2638"/>
    <w:rsid w:val="001E33CE"/>
    <w:rsid w:val="001E428D"/>
    <w:rsid w:val="001F079E"/>
    <w:rsid w:val="001F21A2"/>
    <w:rsid w:val="001F7274"/>
    <w:rsid w:val="00200A18"/>
    <w:rsid w:val="00200F65"/>
    <w:rsid w:val="00201A40"/>
    <w:rsid w:val="00203C91"/>
    <w:rsid w:val="0020649D"/>
    <w:rsid w:val="00207B1F"/>
    <w:rsid w:val="00215AA6"/>
    <w:rsid w:val="00217F6D"/>
    <w:rsid w:val="0022500E"/>
    <w:rsid w:val="00235019"/>
    <w:rsid w:val="002453CC"/>
    <w:rsid w:val="00245B57"/>
    <w:rsid w:val="00247A08"/>
    <w:rsid w:val="00252DCB"/>
    <w:rsid w:val="00263E82"/>
    <w:rsid w:val="00265F40"/>
    <w:rsid w:val="00266A9A"/>
    <w:rsid w:val="00273FB1"/>
    <w:rsid w:val="002777B2"/>
    <w:rsid w:val="00284207"/>
    <w:rsid w:val="002A5934"/>
    <w:rsid w:val="002B4F7D"/>
    <w:rsid w:val="002C400E"/>
    <w:rsid w:val="002C4D13"/>
    <w:rsid w:val="002D17AA"/>
    <w:rsid w:val="002D1EFC"/>
    <w:rsid w:val="002D42EB"/>
    <w:rsid w:val="002D6C6E"/>
    <w:rsid w:val="002F3A10"/>
    <w:rsid w:val="002F3F25"/>
    <w:rsid w:val="002F6028"/>
    <w:rsid w:val="002F69D3"/>
    <w:rsid w:val="002F73AF"/>
    <w:rsid w:val="003043B2"/>
    <w:rsid w:val="003103FB"/>
    <w:rsid w:val="0032331E"/>
    <w:rsid w:val="00325254"/>
    <w:rsid w:val="00331CA5"/>
    <w:rsid w:val="003372F6"/>
    <w:rsid w:val="00340C33"/>
    <w:rsid w:val="00361AC4"/>
    <w:rsid w:val="00363376"/>
    <w:rsid w:val="00363F6D"/>
    <w:rsid w:val="003641FD"/>
    <w:rsid w:val="00371D09"/>
    <w:rsid w:val="00375DF8"/>
    <w:rsid w:val="00390416"/>
    <w:rsid w:val="003A0F07"/>
    <w:rsid w:val="003A3777"/>
    <w:rsid w:val="003A6D95"/>
    <w:rsid w:val="003B1C39"/>
    <w:rsid w:val="003C1CEB"/>
    <w:rsid w:val="003C76B4"/>
    <w:rsid w:val="003D5459"/>
    <w:rsid w:val="003E3A75"/>
    <w:rsid w:val="003E4D46"/>
    <w:rsid w:val="003E69D3"/>
    <w:rsid w:val="003F69E6"/>
    <w:rsid w:val="00410539"/>
    <w:rsid w:val="00427213"/>
    <w:rsid w:val="00430A11"/>
    <w:rsid w:val="00430DCC"/>
    <w:rsid w:val="00440369"/>
    <w:rsid w:val="00443FDD"/>
    <w:rsid w:val="00444A55"/>
    <w:rsid w:val="00447CDA"/>
    <w:rsid w:val="004512F2"/>
    <w:rsid w:val="00456EBB"/>
    <w:rsid w:val="00464583"/>
    <w:rsid w:val="0046552A"/>
    <w:rsid w:val="00467D20"/>
    <w:rsid w:val="00471965"/>
    <w:rsid w:val="00472D14"/>
    <w:rsid w:val="00482D22"/>
    <w:rsid w:val="00486897"/>
    <w:rsid w:val="00494E5E"/>
    <w:rsid w:val="004B63BC"/>
    <w:rsid w:val="004B7047"/>
    <w:rsid w:val="004B723F"/>
    <w:rsid w:val="004B727E"/>
    <w:rsid w:val="004B7D45"/>
    <w:rsid w:val="004C2FDA"/>
    <w:rsid w:val="004C6418"/>
    <w:rsid w:val="004C6507"/>
    <w:rsid w:val="004D2D65"/>
    <w:rsid w:val="004D592D"/>
    <w:rsid w:val="004E09BA"/>
    <w:rsid w:val="004F53F5"/>
    <w:rsid w:val="005048CD"/>
    <w:rsid w:val="00505C8C"/>
    <w:rsid w:val="00505D72"/>
    <w:rsid w:val="005068D3"/>
    <w:rsid w:val="005135AA"/>
    <w:rsid w:val="005218AC"/>
    <w:rsid w:val="005230CA"/>
    <w:rsid w:val="00525F4A"/>
    <w:rsid w:val="00526588"/>
    <w:rsid w:val="0053217D"/>
    <w:rsid w:val="005375F2"/>
    <w:rsid w:val="005407A6"/>
    <w:rsid w:val="00542422"/>
    <w:rsid w:val="00544FB3"/>
    <w:rsid w:val="00545182"/>
    <w:rsid w:val="00545EE2"/>
    <w:rsid w:val="0054752A"/>
    <w:rsid w:val="005534B2"/>
    <w:rsid w:val="0055683E"/>
    <w:rsid w:val="00556EAE"/>
    <w:rsid w:val="005621BD"/>
    <w:rsid w:val="00562496"/>
    <w:rsid w:val="00567F13"/>
    <w:rsid w:val="00577A32"/>
    <w:rsid w:val="005800BB"/>
    <w:rsid w:val="005926DF"/>
    <w:rsid w:val="005A3DED"/>
    <w:rsid w:val="005B33EF"/>
    <w:rsid w:val="005B536B"/>
    <w:rsid w:val="005C08EA"/>
    <w:rsid w:val="005C1474"/>
    <w:rsid w:val="005C668F"/>
    <w:rsid w:val="005D2BA5"/>
    <w:rsid w:val="005D5231"/>
    <w:rsid w:val="005E2C9D"/>
    <w:rsid w:val="005F44DC"/>
    <w:rsid w:val="006028D2"/>
    <w:rsid w:val="00603DD8"/>
    <w:rsid w:val="0060762E"/>
    <w:rsid w:val="006125C7"/>
    <w:rsid w:val="00614891"/>
    <w:rsid w:val="00626F3D"/>
    <w:rsid w:val="006315A6"/>
    <w:rsid w:val="0063394A"/>
    <w:rsid w:val="006364F0"/>
    <w:rsid w:val="00643697"/>
    <w:rsid w:val="00652DC2"/>
    <w:rsid w:val="00653F42"/>
    <w:rsid w:val="006611D9"/>
    <w:rsid w:val="00661C3A"/>
    <w:rsid w:val="006620F7"/>
    <w:rsid w:val="0066216E"/>
    <w:rsid w:val="006623D6"/>
    <w:rsid w:val="006767F4"/>
    <w:rsid w:val="00682614"/>
    <w:rsid w:val="00686576"/>
    <w:rsid w:val="00687C4A"/>
    <w:rsid w:val="00696C6A"/>
    <w:rsid w:val="006B0F16"/>
    <w:rsid w:val="006B3606"/>
    <w:rsid w:val="006B4C72"/>
    <w:rsid w:val="006B760E"/>
    <w:rsid w:val="006B7F8A"/>
    <w:rsid w:val="006C63D3"/>
    <w:rsid w:val="006D2454"/>
    <w:rsid w:val="006D538E"/>
    <w:rsid w:val="006E5BF9"/>
    <w:rsid w:val="006F7AF9"/>
    <w:rsid w:val="00703767"/>
    <w:rsid w:val="0070556A"/>
    <w:rsid w:val="007111FE"/>
    <w:rsid w:val="00712285"/>
    <w:rsid w:val="00714EF7"/>
    <w:rsid w:val="00720508"/>
    <w:rsid w:val="00730F8C"/>
    <w:rsid w:val="00735C0B"/>
    <w:rsid w:val="00736FB6"/>
    <w:rsid w:val="0073709A"/>
    <w:rsid w:val="007430A2"/>
    <w:rsid w:val="007433FE"/>
    <w:rsid w:val="00750A6C"/>
    <w:rsid w:val="00753D31"/>
    <w:rsid w:val="00761183"/>
    <w:rsid w:val="00767145"/>
    <w:rsid w:val="007675E5"/>
    <w:rsid w:val="00771A60"/>
    <w:rsid w:val="00774429"/>
    <w:rsid w:val="00780593"/>
    <w:rsid w:val="007851A1"/>
    <w:rsid w:val="0078744E"/>
    <w:rsid w:val="00787B6E"/>
    <w:rsid w:val="00791C3D"/>
    <w:rsid w:val="007A1EAA"/>
    <w:rsid w:val="007B07B1"/>
    <w:rsid w:val="007B7669"/>
    <w:rsid w:val="007C15DC"/>
    <w:rsid w:val="007C61F8"/>
    <w:rsid w:val="007D36B3"/>
    <w:rsid w:val="007E0099"/>
    <w:rsid w:val="007E3E84"/>
    <w:rsid w:val="007F2653"/>
    <w:rsid w:val="007F5D68"/>
    <w:rsid w:val="00800A86"/>
    <w:rsid w:val="008030A3"/>
    <w:rsid w:val="00804C47"/>
    <w:rsid w:val="00806662"/>
    <w:rsid w:val="00814473"/>
    <w:rsid w:val="00815724"/>
    <w:rsid w:val="00824985"/>
    <w:rsid w:val="008301BF"/>
    <w:rsid w:val="00834B54"/>
    <w:rsid w:val="0084179B"/>
    <w:rsid w:val="00846D5B"/>
    <w:rsid w:val="00853258"/>
    <w:rsid w:val="00865D45"/>
    <w:rsid w:val="00867D0B"/>
    <w:rsid w:val="00880351"/>
    <w:rsid w:val="008902B9"/>
    <w:rsid w:val="00891F21"/>
    <w:rsid w:val="0089508C"/>
    <w:rsid w:val="008B50CB"/>
    <w:rsid w:val="008C6378"/>
    <w:rsid w:val="008D1E45"/>
    <w:rsid w:val="008E351F"/>
    <w:rsid w:val="008E4462"/>
    <w:rsid w:val="008E75CB"/>
    <w:rsid w:val="008F0806"/>
    <w:rsid w:val="008F0A62"/>
    <w:rsid w:val="008F55A4"/>
    <w:rsid w:val="009177C1"/>
    <w:rsid w:val="00922536"/>
    <w:rsid w:val="00924274"/>
    <w:rsid w:val="00925557"/>
    <w:rsid w:val="00931C26"/>
    <w:rsid w:val="00932034"/>
    <w:rsid w:val="009511F2"/>
    <w:rsid w:val="00951B31"/>
    <w:rsid w:val="009548FB"/>
    <w:rsid w:val="009637BC"/>
    <w:rsid w:val="00964455"/>
    <w:rsid w:val="0097483C"/>
    <w:rsid w:val="0098057F"/>
    <w:rsid w:val="00990D33"/>
    <w:rsid w:val="009914CA"/>
    <w:rsid w:val="009A14DB"/>
    <w:rsid w:val="009A5488"/>
    <w:rsid w:val="009B6D5D"/>
    <w:rsid w:val="009D44F7"/>
    <w:rsid w:val="009E1545"/>
    <w:rsid w:val="009F17EB"/>
    <w:rsid w:val="009F5D30"/>
    <w:rsid w:val="00A056DE"/>
    <w:rsid w:val="00A1512E"/>
    <w:rsid w:val="00A2060E"/>
    <w:rsid w:val="00A24874"/>
    <w:rsid w:val="00A403B8"/>
    <w:rsid w:val="00A4405B"/>
    <w:rsid w:val="00A453EF"/>
    <w:rsid w:val="00A50F40"/>
    <w:rsid w:val="00A51715"/>
    <w:rsid w:val="00A557F1"/>
    <w:rsid w:val="00A67F90"/>
    <w:rsid w:val="00A72CAD"/>
    <w:rsid w:val="00A73903"/>
    <w:rsid w:val="00A773DB"/>
    <w:rsid w:val="00A84754"/>
    <w:rsid w:val="00A86C6F"/>
    <w:rsid w:val="00A93760"/>
    <w:rsid w:val="00A93DE9"/>
    <w:rsid w:val="00A94474"/>
    <w:rsid w:val="00A96D25"/>
    <w:rsid w:val="00AA0D85"/>
    <w:rsid w:val="00AA0E12"/>
    <w:rsid w:val="00AA2084"/>
    <w:rsid w:val="00AA3259"/>
    <w:rsid w:val="00AA7BF4"/>
    <w:rsid w:val="00AB33BB"/>
    <w:rsid w:val="00AB385F"/>
    <w:rsid w:val="00AC57E0"/>
    <w:rsid w:val="00AC68AB"/>
    <w:rsid w:val="00AD65CE"/>
    <w:rsid w:val="00B01D92"/>
    <w:rsid w:val="00B12E13"/>
    <w:rsid w:val="00B142C0"/>
    <w:rsid w:val="00B22811"/>
    <w:rsid w:val="00B25479"/>
    <w:rsid w:val="00B2588D"/>
    <w:rsid w:val="00B277BF"/>
    <w:rsid w:val="00B36DF8"/>
    <w:rsid w:val="00B4035F"/>
    <w:rsid w:val="00B40CCD"/>
    <w:rsid w:val="00B4715D"/>
    <w:rsid w:val="00B857A6"/>
    <w:rsid w:val="00B93687"/>
    <w:rsid w:val="00B94DB1"/>
    <w:rsid w:val="00B95B22"/>
    <w:rsid w:val="00BA4B2A"/>
    <w:rsid w:val="00BB3EB9"/>
    <w:rsid w:val="00BB49E2"/>
    <w:rsid w:val="00BB5F83"/>
    <w:rsid w:val="00BC0865"/>
    <w:rsid w:val="00BC3163"/>
    <w:rsid w:val="00BC5727"/>
    <w:rsid w:val="00BC7B6B"/>
    <w:rsid w:val="00BD30B4"/>
    <w:rsid w:val="00BD31A5"/>
    <w:rsid w:val="00BE1A62"/>
    <w:rsid w:val="00BE2CB3"/>
    <w:rsid w:val="00BF086E"/>
    <w:rsid w:val="00BF0928"/>
    <w:rsid w:val="00BF4C94"/>
    <w:rsid w:val="00C02170"/>
    <w:rsid w:val="00C065D0"/>
    <w:rsid w:val="00C07099"/>
    <w:rsid w:val="00C100C5"/>
    <w:rsid w:val="00C108FE"/>
    <w:rsid w:val="00C120C5"/>
    <w:rsid w:val="00C15390"/>
    <w:rsid w:val="00C30AE8"/>
    <w:rsid w:val="00C4074C"/>
    <w:rsid w:val="00C53C0C"/>
    <w:rsid w:val="00C6063A"/>
    <w:rsid w:val="00C625B1"/>
    <w:rsid w:val="00C657AB"/>
    <w:rsid w:val="00C67372"/>
    <w:rsid w:val="00C73F08"/>
    <w:rsid w:val="00C80E70"/>
    <w:rsid w:val="00C83606"/>
    <w:rsid w:val="00C94E96"/>
    <w:rsid w:val="00CA3174"/>
    <w:rsid w:val="00CA41BC"/>
    <w:rsid w:val="00CB221D"/>
    <w:rsid w:val="00CB4D91"/>
    <w:rsid w:val="00CB6220"/>
    <w:rsid w:val="00CC3D52"/>
    <w:rsid w:val="00CC6098"/>
    <w:rsid w:val="00CD0659"/>
    <w:rsid w:val="00CE070B"/>
    <w:rsid w:val="00CE0EE1"/>
    <w:rsid w:val="00CE3518"/>
    <w:rsid w:val="00CF7752"/>
    <w:rsid w:val="00D02D3F"/>
    <w:rsid w:val="00D03DDD"/>
    <w:rsid w:val="00D12474"/>
    <w:rsid w:val="00D14148"/>
    <w:rsid w:val="00D3229D"/>
    <w:rsid w:val="00D3306C"/>
    <w:rsid w:val="00D335A5"/>
    <w:rsid w:val="00D33AB3"/>
    <w:rsid w:val="00D4013F"/>
    <w:rsid w:val="00D41CAD"/>
    <w:rsid w:val="00D427A5"/>
    <w:rsid w:val="00D446D8"/>
    <w:rsid w:val="00D448CA"/>
    <w:rsid w:val="00D561FB"/>
    <w:rsid w:val="00D6067E"/>
    <w:rsid w:val="00D60A7A"/>
    <w:rsid w:val="00D61FF0"/>
    <w:rsid w:val="00D6336B"/>
    <w:rsid w:val="00D65CB1"/>
    <w:rsid w:val="00D70424"/>
    <w:rsid w:val="00D75029"/>
    <w:rsid w:val="00D80261"/>
    <w:rsid w:val="00D82F6C"/>
    <w:rsid w:val="00D86627"/>
    <w:rsid w:val="00D911A4"/>
    <w:rsid w:val="00D92B21"/>
    <w:rsid w:val="00D94654"/>
    <w:rsid w:val="00D95284"/>
    <w:rsid w:val="00D96424"/>
    <w:rsid w:val="00DA78D8"/>
    <w:rsid w:val="00DB285E"/>
    <w:rsid w:val="00DB3140"/>
    <w:rsid w:val="00DB3768"/>
    <w:rsid w:val="00DC0BA5"/>
    <w:rsid w:val="00DC1667"/>
    <w:rsid w:val="00DC2D95"/>
    <w:rsid w:val="00DE0B9A"/>
    <w:rsid w:val="00DE5D6C"/>
    <w:rsid w:val="00DF19D9"/>
    <w:rsid w:val="00E14BEF"/>
    <w:rsid w:val="00E15193"/>
    <w:rsid w:val="00E25447"/>
    <w:rsid w:val="00E343D2"/>
    <w:rsid w:val="00E439C3"/>
    <w:rsid w:val="00E610C8"/>
    <w:rsid w:val="00E634A1"/>
    <w:rsid w:val="00E714BD"/>
    <w:rsid w:val="00E84E41"/>
    <w:rsid w:val="00E8542A"/>
    <w:rsid w:val="00EA2771"/>
    <w:rsid w:val="00EB1B2D"/>
    <w:rsid w:val="00EB2FB8"/>
    <w:rsid w:val="00EB4E51"/>
    <w:rsid w:val="00EB5EA2"/>
    <w:rsid w:val="00EC2476"/>
    <w:rsid w:val="00EC65AF"/>
    <w:rsid w:val="00EF35D8"/>
    <w:rsid w:val="00EF586C"/>
    <w:rsid w:val="00F16A23"/>
    <w:rsid w:val="00F205F0"/>
    <w:rsid w:val="00F25C4C"/>
    <w:rsid w:val="00F30916"/>
    <w:rsid w:val="00F31257"/>
    <w:rsid w:val="00F339C4"/>
    <w:rsid w:val="00F40145"/>
    <w:rsid w:val="00F43472"/>
    <w:rsid w:val="00F43FD3"/>
    <w:rsid w:val="00F445A6"/>
    <w:rsid w:val="00F50E90"/>
    <w:rsid w:val="00F5185E"/>
    <w:rsid w:val="00F566D9"/>
    <w:rsid w:val="00F67060"/>
    <w:rsid w:val="00F707CE"/>
    <w:rsid w:val="00F805DF"/>
    <w:rsid w:val="00F84F7B"/>
    <w:rsid w:val="00F867E9"/>
    <w:rsid w:val="00F869E5"/>
    <w:rsid w:val="00F96DAA"/>
    <w:rsid w:val="00FA3C0B"/>
    <w:rsid w:val="00FB5F3E"/>
    <w:rsid w:val="00FC2BFE"/>
    <w:rsid w:val="00FD03AC"/>
    <w:rsid w:val="00FF0482"/>
    <w:rsid w:val="00FF1007"/>
    <w:rsid w:val="00FF31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 w:type="character" w:customStyle="1" w:styleId="apple-converted-space">
    <w:name w:val="apple-converted-space"/>
    <w:basedOn w:val="DefaultParagraphFont"/>
    <w:rsid w:val="006620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 w:type="character" w:customStyle="1" w:styleId="apple-converted-space">
    <w:name w:val="apple-converted-space"/>
    <w:basedOn w:val="DefaultParagraphFont"/>
    <w:rsid w:val="006620F7"/>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105661601">
      <w:bodyDiv w:val="1"/>
      <w:marLeft w:val="0"/>
      <w:marRight w:val="0"/>
      <w:marTop w:val="0"/>
      <w:marBottom w:val="0"/>
      <w:divBdr>
        <w:top w:val="none" w:sz="0" w:space="0" w:color="auto"/>
        <w:left w:val="none" w:sz="0" w:space="0" w:color="auto"/>
        <w:bottom w:val="none" w:sz="0" w:space="0" w:color="auto"/>
        <w:right w:val="none" w:sz="0" w:space="0" w:color="auto"/>
      </w:divBdr>
    </w:div>
    <w:div w:id="251554634">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469858739">
      <w:bodyDiv w:val="1"/>
      <w:marLeft w:val="0"/>
      <w:marRight w:val="0"/>
      <w:marTop w:val="0"/>
      <w:marBottom w:val="0"/>
      <w:divBdr>
        <w:top w:val="none" w:sz="0" w:space="0" w:color="auto"/>
        <w:left w:val="none" w:sz="0" w:space="0" w:color="auto"/>
        <w:bottom w:val="none" w:sz="0" w:space="0" w:color="auto"/>
        <w:right w:val="none" w:sz="0" w:space="0" w:color="auto"/>
      </w:divBdr>
    </w:div>
    <w:div w:id="545996207">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832380844">
      <w:bodyDiv w:val="1"/>
      <w:marLeft w:val="0"/>
      <w:marRight w:val="0"/>
      <w:marTop w:val="0"/>
      <w:marBottom w:val="0"/>
      <w:divBdr>
        <w:top w:val="none" w:sz="0" w:space="0" w:color="auto"/>
        <w:left w:val="none" w:sz="0" w:space="0" w:color="auto"/>
        <w:bottom w:val="none" w:sz="0" w:space="0" w:color="auto"/>
        <w:right w:val="none" w:sz="0" w:space="0" w:color="auto"/>
      </w:divBdr>
    </w:div>
    <w:div w:id="859976577">
      <w:bodyDiv w:val="1"/>
      <w:marLeft w:val="0"/>
      <w:marRight w:val="0"/>
      <w:marTop w:val="0"/>
      <w:marBottom w:val="0"/>
      <w:divBdr>
        <w:top w:val="none" w:sz="0" w:space="0" w:color="auto"/>
        <w:left w:val="none" w:sz="0" w:space="0" w:color="auto"/>
        <w:bottom w:val="none" w:sz="0" w:space="0" w:color="auto"/>
        <w:right w:val="none" w:sz="0" w:space="0" w:color="auto"/>
      </w:divBdr>
    </w:div>
    <w:div w:id="88395323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03403644">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04383851">
      <w:bodyDiv w:val="1"/>
      <w:marLeft w:val="0"/>
      <w:marRight w:val="0"/>
      <w:marTop w:val="0"/>
      <w:marBottom w:val="0"/>
      <w:divBdr>
        <w:top w:val="none" w:sz="0" w:space="0" w:color="auto"/>
        <w:left w:val="none" w:sz="0" w:space="0" w:color="auto"/>
        <w:bottom w:val="none" w:sz="0" w:space="0" w:color="auto"/>
        <w:right w:val="none" w:sz="0" w:space="0" w:color="auto"/>
      </w:divBdr>
    </w:div>
    <w:div w:id="1309285017">
      <w:bodyDiv w:val="1"/>
      <w:marLeft w:val="0"/>
      <w:marRight w:val="0"/>
      <w:marTop w:val="0"/>
      <w:marBottom w:val="0"/>
      <w:divBdr>
        <w:top w:val="none" w:sz="0" w:space="0" w:color="auto"/>
        <w:left w:val="none" w:sz="0" w:space="0" w:color="auto"/>
        <w:bottom w:val="none" w:sz="0" w:space="0" w:color="auto"/>
        <w:right w:val="none" w:sz="0" w:space="0" w:color="auto"/>
      </w:divBdr>
      <w:divsChild>
        <w:div w:id="789711323">
          <w:marLeft w:val="0"/>
          <w:marRight w:val="425"/>
          <w:marTop w:val="0"/>
          <w:marBottom w:val="0"/>
          <w:divBdr>
            <w:top w:val="none" w:sz="0" w:space="0" w:color="auto"/>
            <w:left w:val="none" w:sz="0" w:space="0" w:color="auto"/>
            <w:bottom w:val="none" w:sz="0" w:space="0" w:color="auto"/>
            <w:right w:val="none" w:sz="0" w:space="0" w:color="auto"/>
          </w:divBdr>
        </w:div>
        <w:div w:id="804473129">
          <w:marLeft w:val="0"/>
          <w:marRight w:val="0"/>
          <w:marTop w:val="0"/>
          <w:marBottom w:val="0"/>
          <w:divBdr>
            <w:top w:val="none" w:sz="0" w:space="0" w:color="auto"/>
            <w:left w:val="none" w:sz="0" w:space="0" w:color="auto"/>
            <w:bottom w:val="none" w:sz="0" w:space="0" w:color="auto"/>
            <w:right w:val="none" w:sz="0" w:space="0" w:color="auto"/>
          </w:divBdr>
        </w:div>
        <w:div w:id="892086766">
          <w:marLeft w:val="360"/>
          <w:marRight w:val="0"/>
          <w:marTop w:val="0"/>
          <w:marBottom w:val="0"/>
          <w:divBdr>
            <w:top w:val="none" w:sz="0" w:space="0" w:color="auto"/>
            <w:left w:val="none" w:sz="0" w:space="0" w:color="auto"/>
            <w:bottom w:val="none" w:sz="0" w:space="0" w:color="auto"/>
            <w:right w:val="none" w:sz="0" w:space="0" w:color="auto"/>
          </w:divBdr>
        </w:div>
        <w:div w:id="798232253">
          <w:marLeft w:val="360"/>
          <w:marRight w:val="0"/>
          <w:marTop w:val="0"/>
          <w:marBottom w:val="0"/>
          <w:divBdr>
            <w:top w:val="none" w:sz="0" w:space="0" w:color="auto"/>
            <w:left w:val="none" w:sz="0" w:space="0" w:color="auto"/>
            <w:bottom w:val="none" w:sz="0" w:space="0" w:color="auto"/>
            <w:right w:val="none" w:sz="0" w:space="0" w:color="auto"/>
          </w:divBdr>
        </w:div>
        <w:div w:id="2100901934">
          <w:marLeft w:val="360"/>
          <w:marRight w:val="0"/>
          <w:marTop w:val="0"/>
          <w:marBottom w:val="0"/>
          <w:divBdr>
            <w:top w:val="none" w:sz="0" w:space="0" w:color="auto"/>
            <w:left w:val="none" w:sz="0" w:space="0" w:color="auto"/>
            <w:bottom w:val="none" w:sz="0" w:space="0" w:color="auto"/>
            <w:right w:val="none" w:sz="0" w:space="0" w:color="auto"/>
          </w:divBdr>
        </w:div>
        <w:div w:id="1152213741">
          <w:marLeft w:val="0"/>
          <w:marRight w:val="0"/>
          <w:marTop w:val="0"/>
          <w:marBottom w:val="0"/>
          <w:divBdr>
            <w:top w:val="none" w:sz="0" w:space="0" w:color="auto"/>
            <w:left w:val="none" w:sz="0" w:space="0" w:color="auto"/>
            <w:bottom w:val="none" w:sz="0" w:space="0" w:color="auto"/>
            <w:right w:val="none" w:sz="0" w:space="0" w:color="auto"/>
          </w:divBdr>
        </w:div>
        <w:div w:id="1325626457">
          <w:marLeft w:val="0"/>
          <w:marRight w:val="0"/>
          <w:marTop w:val="0"/>
          <w:marBottom w:val="0"/>
          <w:divBdr>
            <w:top w:val="none" w:sz="0" w:space="0" w:color="auto"/>
            <w:left w:val="none" w:sz="0" w:space="0" w:color="auto"/>
            <w:bottom w:val="none" w:sz="0" w:space="0" w:color="auto"/>
            <w:right w:val="none" w:sz="0" w:space="0" w:color="auto"/>
          </w:divBdr>
        </w:div>
        <w:div w:id="463743262">
          <w:marLeft w:val="0"/>
          <w:marRight w:val="0"/>
          <w:marTop w:val="0"/>
          <w:marBottom w:val="0"/>
          <w:divBdr>
            <w:top w:val="none" w:sz="0" w:space="0" w:color="auto"/>
            <w:left w:val="none" w:sz="0" w:space="0" w:color="auto"/>
            <w:bottom w:val="none" w:sz="0" w:space="0" w:color="auto"/>
            <w:right w:val="none" w:sz="0" w:space="0" w:color="auto"/>
          </w:divBdr>
        </w:div>
        <w:div w:id="1880164402">
          <w:marLeft w:val="0"/>
          <w:marRight w:val="0"/>
          <w:marTop w:val="0"/>
          <w:marBottom w:val="0"/>
          <w:divBdr>
            <w:top w:val="none" w:sz="0" w:space="0" w:color="auto"/>
            <w:left w:val="none" w:sz="0" w:space="0" w:color="auto"/>
            <w:bottom w:val="none" w:sz="0" w:space="0" w:color="auto"/>
            <w:right w:val="none" w:sz="0" w:space="0" w:color="auto"/>
          </w:divBdr>
        </w:div>
        <w:div w:id="1895506533">
          <w:marLeft w:val="0"/>
          <w:marRight w:val="0"/>
          <w:marTop w:val="0"/>
          <w:marBottom w:val="0"/>
          <w:divBdr>
            <w:top w:val="none" w:sz="0" w:space="0" w:color="auto"/>
            <w:left w:val="none" w:sz="0" w:space="0" w:color="auto"/>
            <w:bottom w:val="none" w:sz="0" w:space="0" w:color="auto"/>
            <w:right w:val="none" w:sz="0" w:space="0" w:color="auto"/>
          </w:divBdr>
        </w:div>
        <w:div w:id="387190567">
          <w:marLeft w:val="0"/>
          <w:marRight w:val="0"/>
          <w:marTop w:val="0"/>
          <w:marBottom w:val="0"/>
          <w:divBdr>
            <w:top w:val="none" w:sz="0" w:space="0" w:color="auto"/>
            <w:left w:val="none" w:sz="0" w:space="0" w:color="auto"/>
            <w:bottom w:val="none" w:sz="0" w:space="0" w:color="auto"/>
            <w:right w:val="none" w:sz="0" w:space="0" w:color="auto"/>
          </w:divBdr>
        </w:div>
      </w:divsChild>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75435251">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44122228">
      <w:bodyDiv w:val="1"/>
      <w:marLeft w:val="0"/>
      <w:marRight w:val="0"/>
      <w:marTop w:val="0"/>
      <w:marBottom w:val="0"/>
      <w:divBdr>
        <w:top w:val="none" w:sz="0" w:space="0" w:color="auto"/>
        <w:left w:val="none" w:sz="0" w:space="0" w:color="auto"/>
        <w:bottom w:val="none" w:sz="0" w:space="0" w:color="auto"/>
        <w:right w:val="none" w:sz="0" w:space="0" w:color="auto"/>
      </w:divBdr>
    </w:div>
    <w:div w:id="170034985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52807221">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239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utcher@smmt.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fleming@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foulds@smmt.co.uk" TargetMode="External"/><Relationship Id="rId4" Type="http://schemas.openxmlformats.org/officeDocument/2006/relationships/settings" Target="settings.xml"/><Relationship Id="rId9" Type="http://schemas.openxmlformats.org/officeDocument/2006/relationships/hyperlink" Target="http://www.smmt.co.uk/facts1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fouldb\Desktop\Dumpster\2015%20October\Copy%20of%20PR-HEADLINE-CARCVOUT2015(SEP)BF.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8.0395369183503235E-2"/>
          <c:y val="6.9845509817601917E-2"/>
          <c:w val="0.82975897780219332"/>
          <c:h val="0.74236884946343729"/>
        </c:manualLayout>
      </c:layout>
      <c:lineChart>
        <c:grouping val="standard"/>
        <c:ser>
          <c:idx val="0"/>
          <c:order val="0"/>
          <c:tx>
            <c:strRef>
              <c:f>'PR&amp;12MONTHROLL-CHARTS'!$B$22</c:f>
              <c:strCache>
                <c:ptCount val="1"/>
                <c:pt idx="0">
                  <c:v>Total CV</c:v>
                </c:pt>
              </c:strCache>
            </c:strRef>
          </c:tx>
          <c:spPr>
            <a:ln>
              <a:solidFill>
                <a:srgbClr val="1074CB"/>
              </a:solidFill>
            </a:ln>
          </c:spPr>
          <c:marker>
            <c:symbol val="none"/>
          </c:marker>
          <c:cat>
            <c:numRef>
              <c:f>'PR&amp;12MONTHROLL-CHARTS'!$C$21:$CT$21</c:f>
              <c:numCache>
                <c:formatCode>General</c:formatCode>
                <c:ptCount val="96"/>
                <c:pt idx="0">
                  <c:v>2008</c:v>
                </c:pt>
                <c:pt idx="12">
                  <c:v>2009</c:v>
                </c:pt>
                <c:pt idx="24">
                  <c:v>2010</c:v>
                </c:pt>
                <c:pt idx="36">
                  <c:v>2011</c:v>
                </c:pt>
                <c:pt idx="48">
                  <c:v>2012</c:v>
                </c:pt>
                <c:pt idx="60">
                  <c:v>2013</c:v>
                </c:pt>
                <c:pt idx="72">
                  <c:v>2014</c:v>
                </c:pt>
                <c:pt idx="84">
                  <c:v>2015</c:v>
                </c:pt>
              </c:numCache>
            </c:numRef>
          </c:cat>
          <c:val>
            <c:numRef>
              <c:f>'PR&amp;12MONTHROLL-CHARTS'!$C$22:$CT$22</c:f>
              <c:numCache>
                <c:formatCode>General</c:formatCode>
                <c:ptCount val="96"/>
                <c:pt idx="0">
                  <c:v>216.93199999999999</c:v>
                </c:pt>
                <c:pt idx="1">
                  <c:v>220.09</c:v>
                </c:pt>
                <c:pt idx="2">
                  <c:v>218.60499999999999</c:v>
                </c:pt>
                <c:pt idx="3">
                  <c:v>224.066</c:v>
                </c:pt>
                <c:pt idx="4">
                  <c:v>224.81299999999999</c:v>
                </c:pt>
                <c:pt idx="5">
                  <c:v>227.24299999999999</c:v>
                </c:pt>
                <c:pt idx="6">
                  <c:v>234.255</c:v>
                </c:pt>
                <c:pt idx="7">
                  <c:v>230.57900000000001</c:v>
                </c:pt>
                <c:pt idx="8">
                  <c:v>231.30099999999999</c:v>
                </c:pt>
                <c:pt idx="9">
                  <c:v>222.191</c:v>
                </c:pt>
                <c:pt idx="10">
                  <c:v>211.12799999999999</c:v>
                </c:pt>
                <c:pt idx="11">
                  <c:v>202.89599999999999</c:v>
                </c:pt>
                <c:pt idx="12">
                  <c:v>190.40700000000001</c:v>
                </c:pt>
                <c:pt idx="13">
                  <c:v>175.62799999999999</c:v>
                </c:pt>
                <c:pt idx="14">
                  <c:v>164.89699999999999</c:v>
                </c:pt>
                <c:pt idx="15">
                  <c:v>150.56800000000001</c:v>
                </c:pt>
                <c:pt idx="16">
                  <c:v>137.55799999999999</c:v>
                </c:pt>
                <c:pt idx="17">
                  <c:v>124.563</c:v>
                </c:pt>
                <c:pt idx="18">
                  <c:v>112.142</c:v>
                </c:pt>
                <c:pt idx="19">
                  <c:v>107.607</c:v>
                </c:pt>
                <c:pt idx="20">
                  <c:v>96.647999999999996</c:v>
                </c:pt>
                <c:pt idx="21">
                  <c:v>91.477000000000004</c:v>
                </c:pt>
                <c:pt idx="22">
                  <c:v>89.697999999999993</c:v>
                </c:pt>
                <c:pt idx="23">
                  <c:v>90.679000000000002</c:v>
                </c:pt>
                <c:pt idx="24">
                  <c:v>91.483999999999995</c:v>
                </c:pt>
                <c:pt idx="25">
                  <c:v>95.84</c:v>
                </c:pt>
                <c:pt idx="26">
                  <c:v>100.812</c:v>
                </c:pt>
                <c:pt idx="27">
                  <c:v>103.934</c:v>
                </c:pt>
                <c:pt idx="28">
                  <c:v>109.98699999999999</c:v>
                </c:pt>
                <c:pt idx="29">
                  <c:v>112.111</c:v>
                </c:pt>
                <c:pt idx="30">
                  <c:v>113.232</c:v>
                </c:pt>
                <c:pt idx="31">
                  <c:v>114.29600000000001</c:v>
                </c:pt>
                <c:pt idx="32">
                  <c:v>115.919</c:v>
                </c:pt>
                <c:pt idx="33">
                  <c:v>119.658</c:v>
                </c:pt>
                <c:pt idx="34">
                  <c:v>121.608</c:v>
                </c:pt>
                <c:pt idx="35">
                  <c:v>123.01900000000001</c:v>
                </c:pt>
                <c:pt idx="36">
                  <c:v>123.83</c:v>
                </c:pt>
                <c:pt idx="37">
                  <c:v>123.527</c:v>
                </c:pt>
                <c:pt idx="38">
                  <c:v>122.748</c:v>
                </c:pt>
                <c:pt idx="39">
                  <c:v>120.604</c:v>
                </c:pt>
                <c:pt idx="40">
                  <c:v>120.06399999999999</c:v>
                </c:pt>
                <c:pt idx="41">
                  <c:v>119.833</c:v>
                </c:pt>
                <c:pt idx="42">
                  <c:v>119.26300000000001</c:v>
                </c:pt>
                <c:pt idx="43">
                  <c:v>119.81100000000001</c:v>
                </c:pt>
                <c:pt idx="44">
                  <c:v>120.518</c:v>
                </c:pt>
                <c:pt idx="45">
                  <c:v>120.181</c:v>
                </c:pt>
                <c:pt idx="46">
                  <c:v>120.425</c:v>
                </c:pt>
                <c:pt idx="47">
                  <c:v>120.18899999999999</c:v>
                </c:pt>
                <c:pt idx="48">
                  <c:v>120.066</c:v>
                </c:pt>
                <c:pt idx="49">
                  <c:v>119.798</c:v>
                </c:pt>
                <c:pt idx="50">
                  <c:v>117.40300000000001</c:v>
                </c:pt>
                <c:pt idx="51">
                  <c:v>117.68300000000001</c:v>
                </c:pt>
                <c:pt idx="52">
                  <c:v>116.923</c:v>
                </c:pt>
                <c:pt idx="53">
                  <c:v>114.86499999999999</c:v>
                </c:pt>
                <c:pt idx="54">
                  <c:v>114.742</c:v>
                </c:pt>
                <c:pt idx="55">
                  <c:v>115.917</c:v>
                </c:pt>
                <c:pt idx="56">
                  <c:v>113.47799999999999</c:v>
                </c:pt>
                <c:pt idx="57">
                  <c:v>114.04</c:v>
                </c:pt>
                <c:pt idx="58">
                  <c:v>113.634</c:v>
                </c:pt>
                <c:pt idx="59">
                  <c:v>112.039</c:v>
                </c:pt>
                <c:pt idx="60">
                  <c:v>110.017</c:v>
                </c:pt>
                <c:pt idx="61">
                  <c:v>108.367</c:v>
                </c:pt>
                <c:pt idx="62">
                  <c:v>106.52200000000001</c:v>
                </c:pt>
                <c:pt idx="63">
                  <c:v>106.232</c:v>
                </c:pt>
                <c:pt idx="64">
                  <c:v>104.34699999999999</c:v>
                </c:pt>
                <c:pt idx="65">
                  <c:v>104.46</c:v>
                </c:pt>
                <c:pt idx="66">
                  <c:v>103.89100000000001</c:v>
                </c:pt>
                <c:pt idx="67">
                  <c:v>99.977000000000004</c:v>
                </c:pt>
                <c:pt idx="68">
                  <c:v>97.332999999999998</c:v>
                </c:pt>
                <c:pt idx="69">
                  <c:v>93.308999999999997</c:v>
                </c:pt>
                <c:pt idx="70">
                  <c:v>89.385999999999996</c:v>
                </c:pt>
                <c:pt idx="71">
                  <c:v>87.671000000000006</c:v>
                </c:pt>
                <c:pt idx="72">
                  <c:v>86.555999999999997</c:v>
                </c:pt>
                <c:pt idx="73">
                  <c:v>84.79</c:v>
                </c:pt>
                <c:pt idx="74">
                  <c:v>83.495000000000005</c:v>
                </c:pt>
                <c:pt idx="75">
                  <c:v>81.179000000000002</c:v>
                </c:pt>
                <c:pt idx="76">
                  <c:v>78.745999999999995</c:v>
                </c:pt>
                <c:pt idx="77">
                  <c:v>76.614000000000004</c:v>
                </c:pt>
                <c:pt idx="78">
                  <c:v>74.516999999999996</c:v>
                </c:pt>
                <c:pt idx="79">
                  <c:v>72.953000000000003</c:v>
                </c:pt>
                <c:pt idx="80">
                  <c:v>70.67</c:v>
                </c:pt>
                <c:pt idx="81">
                  <c:v>70.03</c:v>
                </c:pt>
                <c:pt idx="82">
                  <c:v>70.052000000000007</c:v>
                </c:pt>
                <c:pt idx="83">
                  <c:v>70.730999999999995</c:v>
                </c:pt>
                <c:pt idx="84">
                  <c:v>69.466999999999999</c:v>
                </c:pt>
                <c:pt idx="85">
                  <c:v>71.572000000000003</c:v>
                </c:pt>
                <c:pt idx="86">
                  <c:v>74.488</c:v>
                </c:pt>
                <c:pt idx="87">
                  <c:v>76.81</c:v>
                </c:pt>
                <c:pt idx="88">
                  <c:v>78.491</c:v>
                </c:pt>
                <c:pt idx="89">
                  <c:v>81.963999999999999</c:v>
                </c:pt>
                <c:pt idx="90">
                  <c:v>84.9</c:v>
                </c:pt>
                <c:pt idx="91">
                  <c:v>86.397999999999996</c:v>
                </c:pt>
                <c:pt idx="92">
                  <c:v>91.528999999999996</c:v>
                </c:pt>
              </c:numCache>
            </c:numRef>
          </c:val>
        </c:ser>
        <c:ser>
          <c:idx val="1"/>
          <c:order val="1"/>
          <c:tx>
            <c:strRef>
              <c:f>'PR&amp;12MONTHROLL-CHARTS'!$B$23</c:f>
              <c:strCache>
                <c:ptCount val="1"/>
                <c:pt idx="0">
                  <c:v>CV Exports</c:v>
                </c:pt>
              </c:strCache>
            </c:strRef>
          </c:tx>
          <c:spPr>
            <a:ln>
              <a:solidFill>
                <a:srgbClr val="0D2255"/>
              </a:solidFill>
            </a:ln>
          </c:spPr>
          <c:marker>
            <c:symbol val="none"/>
          </c:marker>
          <c:cat>
            <c:numRef>
              <c:f>'PR&amp;12MONTHROLL-CHARTS'!$C$21:$CT$21</c:f>
              <c:numCache>
                <c:formatCode>General</c:formatCode>
                <c:ptCount val="96"/>
                <c:pt idx="0">
                  <c:v>2008</c:v>
                </c:pt>
                <c:pt idx="12">
                  <c:v>2009</c:v>
                </c:pt>
                <c:pt idx="24">
                  <c:v>2010</c:v>
                </c:pt>
                <c:pt idx="36">
                  <c:v>2011</c:v>
                </c:pt>
                <c:pt idx="48">
                  <c:v>2012</c:v>
                </c:pt>
                <c:pt idx="60">
                  <c:v>2013</c:v>
                </c:pt>
                <c:pt idx="72">
                  <c:v>2014</c:v>
                </c:pt>
                <c:pt idx="84">
                  <c:v>2015</c:v>
                </c:pt>
              </c:numCache>
            </c:numRef>
          </c:cat>
          <c:val>
            <c:numRef>
              <c:f>'PR&amp;12MONTHROLL-CHARTS'!$C$23:$CT$23</c:f>
              <c:numCache>
                <c:formatCode>General</c:formatCode>
                <c:ptCount val="96"/>
                <c:pt idx="0">
                  <c:v>132.43899999999999</c:v>
                </c:pt>
                <c:pt idx="1">
                  <c:v>134.09800000000001</c:v>
                </c:pt>
                <c:pt idx="2">
                  <c:v>133.68700000000001</c:v>
                </c:pt>
                <c:pt idx="3">
                  <c:v>137.15700000000001</c:v>
                </c:pt>
                <c:pt idx="4">
                  <c:v>138.565</c:v>
                </c:pt>
                <c:pt idx="5">
                  <c:v>140.45400000000001</c:v>
                </c:pt>
                <c:pt idx="6">
                  <c:v>143.67099999999999</c:v>
                </c:pt>
                <c:pt idx="7">
                  <c:v>141.946</c:v>
                </c:pt>
                <c:pt idx="8">
                  <c:v>142.72900000000001</c:v>
                </c:pt>
                <c:pt idx="9">
                  <c:v>136.851</c:v>
                </c:pt>
                <c:pt idx="10">
                  <c:v>130.52600000000001</c:v>
                </c:pt>
                <c:pt idx="11">
                  <c:v>125.611</c:v>
                </c:pt>
                <c:pt idx="12">
                  <c:v>119.71899999999999</c:v>
                </c:pt>
                <c:pt idx="13">
                  <c:v>112.473</c:v>
                </c:pt>
                <c:pt idx="14">
                  <c:v>106.937</c:v>
                </c:pt>
                <c:pt idx="15">
                  <c:v>98.334000000000003</c:v>
                </c:pt>
                <c:pt idx="16">
                  <c:v>90.128</c:v>
                </c:pt>
                <c:pt idx="17">
                  <c:v>82.698999999999998</c:v>
                </c:pt>
                <c:pt idx="18">
                  <c:v>76.718000000000004</c:v>
                </c:pt>
                <c:pt idx="19">
                  <c:v>73.986999999999995</c:v>
                </c:pt>
                <c:pt idx="20">
                  <c:v>68.596999999999994</c:v>
                </c:pt>
                <c:pt idx="21">
                  <c:v>67.105000000000004</c:v>
                </c:pt>
                <c:pt idx="22">
                  <c:v>65.796000000000006</c:v>
                </c:pt>
                <c:pt idx="23">
                  <c:v>66.453999999999994</c:v>
                </c:pt>
                <c:pt idx="24">
                  <c:v>67.141999999999996</c:v>
                </c:pt>
                <c:pt idx="25">
                  <c:v>70.182000000000002</c:v>
                </c:pt>
                <c:pt idx="26">
                  <c:v>72.653999999999996</c:v>
                </c:pt>
                <c:pt idx="27">
                  <c:v>73.805000000000007</c:v>
                </c:pt>
                <c:pt idx="28">
                  <c:v>77.438000000000002</c:v>
                </c:pt>
                <c:pt idx="29">
                  <c:v>78.873000000000005</c:v>
                </c:pt>
                <c:pt idx="30">
                  <c:v>79.635000000000005</c:v>
                </c:pt>
                <c:pt idx="31">
                  <c:v>80.061999999999998</c:v>
                </c:pt>
                <c:pt idx="32">
                  <c:v>81.004999999999995</c:v>
                </c:pt>
                <c:pt idx="33">
                  <c:v>82.897999999999996</c:v>
                </c:pt>
                <c:pt idx="34">
                  <c:v>83.736000000000004</c:v>
                </c:pt>
                <c:pt idx="35">
                  <c:v>85.546999999999997</c:v>
                </c:pt>
                <c:pt idx="36">
                  <c:v>84.194999999999993</c:v>
                </c:pt>
                <c:pt idx="37">
                  <c:v>83.001000000000005</c:v>
                </c:pt>
                <c:pt idx="38">
                  <c:v>82.183999999999997</c:v>
                </c:pt>
                <c:pt idx="39">
                  <c:v>80.668000000000006</c:v>
                </c:pt>
                <c:pt idx="40">
                  <c:v>79.090999999999994</c:v>
                </c:pt>
                <c:pt idx="41">
                  <c:v>76.480999999999995</c:v>
                </c:pt>
                <c:pt idx="42">
                  <c:v>75.248000000000005</c:v>
                </c:pt>
                <c:pt idx="43">
                  <c:v>75.231999999999999</c:v>
                </c:pt>
                <c:pt idx="44">
                  <c:v>74.679000000000002</c:v>
                </c:pt>
                <c:pt idx="45">
                  <c:v>72.906999999999996</c:v>
                </c:pt>
                <c:pt idx="46">
                  <c:v>71.468999999999994</c:v>
                </c:pt>
                <c:pt idx="47">
                  <c:v>69.376000000000005</c:v>
                </c:pt>
                <c:pt idx="48">
                  <c:v>69.414000000000001</c:v>
                </c:pt>
                <c:pt idx="49">
                  <c:v>68.712999999999994</c:v>
                </c:pt>
                <c:pt idx="50">
                  <c:v>66.611000000000004</c:v>
                </c:pt>
                <c:pt idx="51">
                  <c:v>67.027000000000001</c:v>
                </c:pt>
                <c:pt idx="52">
                  <c:v>67.058999999999997</c:v>
                </c:pt>
                <c:pt idx="53">
                  <c:v>67.63</c:v>
                </c:pt>
                <c:pt idx="54">
                  <c:v>66.906000000000006</c:v>
                </c:pt>
                <c:pt idx="55">
                  <c:v>67.298000000000002</c:v>
                </c:pt>
                <c:pt idx="56">
                  <c:v>65.501999999999995</c:v>
                </c:pt>
                <c:pt idx="57">
                  <c:v>65.566000000000003</c:v>
                </c:pt>
                <c:pt idx="58">
                  <c:v>65.024000000000001</c:v>
                </c:pt>
                <c:pt idx="59">
                  <c:v>63.732999999999997</c:v>
                </c:pt>
                <c:pt idx="60">
                  <c:v>61.581000000000003</c:v>
                </c:pt>
                <c:pt idx="61">
                  <c:v>59.826000000000001</c:v>
                </c:pt>
                <c:pt idx="62">
                  <c:v>57.595999999999997</c:v>
                </c:pt>
                <c:pt idx="63">
                  <c:v>56.537999999999997</c:v>
                </c:pt>
                <c:pt idx="64">
                  <c:v>54.606000000000002</c:v>
                </c:pt>
                <c:pt idx="65">
                  <c:v>54.188000000000002</c:v>
                </c:pt>
                <c:pt idx="66">
                  <c:v>55.654000000000003</c:v>
                </c:pt>
                <c:pt idx="67">
                  <c:v>54.05</c:v>
                </c:pt>
                <c:pt idx="68">
                  <c:v>52.124000000000002</c:v>
                </c:pt>
                <c:pt idx="69">
                  <c:v>49.591000000000001</c:v>
                </c:pt>
                <c:pt idx="70">
                  <c:v>47.338000000000001</c:v>
                </c:pt>
                <c:pt idx="71">
                  <c:v>47.91</c:v>
                </c:pt>
                <c:pt idx="72">
                  <c:v>47.52</c:v>
                </c:pt>
                <c:pt idx="73">
                  <c:v>46.951999999999998</c:v>
                </c:pt>
                <c:pt idx="74">
                  <c:v>46.725000000000001</c:v>
                </c:pt>
                <c:pt idx="75">
                  <c:v>45.375999999999998</c:v>
                </c:pt>
                <c:pt idx="76">
                  <c:v>43.667999999999999</c:v>
                </c:pt>
                <c:pt idx="77">
                  <c:v>42.128999999999998</c:v>
                </c:pt>
                <c:pt idx="78">
                  <c:v>40.234000000000002</c:v>
                </c:pt>
                <c:pt idx="79">
                  <c:v>38.779000000000003</c:v>
                </c:pt>
                <c:pt idx="80">
                  <c:v>37.792999999999999</c:v>
                </c:pt>
                <c:pt idx="81">
                  <c:v>36.533000000000001</c:v>
                </c:pt>
                <c:pt idx="82">
                  <c:v>36.020000000000003</c:v>
                </c:pt>
                <c:pt idx="83">
                  <c:v>34.822000000000003</c:v>
                </c:pt>
                <c:pt idx="84">
                  <c:v>33.688000000000002</c:v>
                </c:pt>
                <c:pt idx="85">
                  <c:v>34.128</c:v>
                </c:pt>
                <c:pt idx="86">
                  <c:v>35.213000000000001</c:v>
                </c:pt>
                <c:pt idx="87">
                  <c:v>36.904000000000003</c:v>
                </c:pt>
                <c:pt idx="88">
                  <c:v>38.423999999999999</c:v>
                </c:pt>
                <c:pt idx="89">
                  <c:v>40.165999999999997</c:v>
                </c:pt>
                <c:pt idx="90">
                  <c:v>40.179000000000002</c:v>
                </c:pt>
                <c:pt idx="91">
                  <c:v>40.945</c:v>
                </c:pt>
                <c:pt idx="92">
                  <c:v>43.661999999999999</c:v>
                </c:pt>
              </c:numCache>
            </c:numRef>
          </c:val>
        </c:ser>
        <c:marker val="1"/>
        <c:axId val="72871936"/>
        <c:axId val="72875008"/>
      </c:lineChart>
      <c:catAx>
        <c:axId val="72871936"/>
        <c:scaling>
          <c:orientation val="minMax"/>
        </c:scaling>
        <c:axPos val="b"/>
        <c:numFmt formatCode="General" sourceLinked="1"/>
        <c:majorTickMark val="none"/>
        <c:tickLblPos val="nextTo"/>
        <c:txPr>
          <a:bodyPr rot="-1980000" vert="horz"/>
          <a:lstStyle/>
          <a:p>
            <a:pPr>
              <a:defRPr sz="1000" b="0" i="0" u="none" strike="noStrike" baseline="0">
                <a:solidFill>
                  <a:srgbClr val="0D2255"/>
                </a:solidFill>
                <a:latin typeface="Arial"/>
                <a:ea typeface="Arial"/>
                <a:cs typeface="Arial"/>
              </a:defRPr>
            </a:pPr>
            <a:endParaRPr lang="en-US"/>
          </a:p>
        </c:txPr>
        <c:crossAx val="72875008"/>
        <c:crosses val="autoZero"/>
        <c:auto val="1"/>
        <c:lblAlgn val="ctr"/>
        <c:lblOffset val="100"/>
        <c:tickMarkSkip val="12"/>
      </c:catAx>
      <c:valAx>
        <c:axId val="72875008"/>
        <c:scaling>
          <c:orientation val="minMax"/>
          <c:max val="250"/>
          <c:min val="0"/>
        </c:scaling>
        <c:axPos val="l"/>
        <c:majorGridlines/>
        <c:title>
          <c:tx>
            <c:rich>
              <a:bodyPr/>
              <a:lstStyle/>
              <a:p>
                <a:pPr>
                  <a:defRPr sz="1000" b="1" i="1" u="none" strike="noStrike" baseline="0">
                    <a:solidFill>
                      <a:srgbClr val="0D2255"/>
                    </a:solidFill>
                    <a:latin typeface="Arial"/>
                    <a:ea typeface="Arial"/>
                    <a:cs typeface="Arial"/>
                  </a:defRPr>
                </a:pPr>
                <a:r>
                  <a:rPr lang="en-GB" i="1">
                    <a:solidFill>
                      <a:srgbClr val="0D2255"/>
                    </a:solidFill>
                  </a:rPr>
                  <a:t>Thousands</a:t>
                </a:r>
              </a:p>
            </c:rich>
          </c:tx>
          <c:layout/>
        </c:title>
        <c:numFmt formatCode="General" sourceLinked="1"/>
        <c:majorTickMark val="none"/>
        <c:tickLblPos val="nextTo"/>
        <c:txPr>
          <a:bodyPr rot="0" vert="horz"/>
          <a:lstStyle/>
          <a:p>
            <a:pPr>
              <a:defRPr sz="1000" b="0" i="0" u="none" strike="noStrike" baseline="0">
                <a:solidFill>
                  <a:srgbClr val="0D2255"/>
                </a:solidFill>
                <a:latin typeface="Arial"/>
                <a:ea typeface="Arial"/>
                <a:cs typeface="Arial"/>
              </a:defRPr>
            </a:pPr>
            <a:endParaRPr lang="en-US"/>
          </a:p>
        </c:txPr>
        <c:crossAx val="72871936"/>
        <c:crosses val="autoZero"/>
        <c:crossBetween val="between"/>
        <c:majorUnit val="50"/>
      </c:valAx>
    </c:plotArea>
    <c:legend>
      <c:legendPos val="r"/>
      <c:layout>
        <c:manualLayout>
          <c:xMode val="edge"/>
          <c:yMode val="edge"/>
          <c:x val="0.55326646150954917"/>
          <c:y val="0.21863875811617295"/>
          <c:w val="0.32989801431625326"/>
          <c:h val="0.14336967745322809"/>
        </c:manualLayout>
      </c:layout>
      <c:txPr>
        <a:bodyPr/>
        <a:lstStyle/>
        <a:p>
          <a:pPr>
            <a:defRPr sz="1000" b="0" i="0" u="none" strike="noStrike" baseline="0">
              <a:solidFill>
                <a:srgbClr val="0D2255"/>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F363A-9E3B-4E97-8790-1508C306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2</cp:revision>
  <cp:lastPrinted>2015-10-22T08:12:00Z</cp:lastPrinted>
  <dcterms:created xsi:type="dcterms:W3CDTF">2015-10-22T08:41:00Z</dcterms:created>
  <dcterms:modified xsi:type="dcterms:W3CDTF">2015-10-22T08:41:00Z</dcterms:modified>
</cp:coreProperties>
</file>