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(data for June 2015)</w:t>
      </w:r>
    </w:p>
    <w:p w:rsidR="00245EBD" w:rsidRDefault="00B43DB8">
      <w:pPr>
        <w:pStyle w:val="Heading1"/>
        <w:ind w:right="142"/>
        <w:rPr>
          <w:rFonts w:ascii="Arial" w:hAnsi="Arial"/>
          <w:b w:val="0"/>
          <w:bCs/>
          <w:color w:val="FF0000"/>
        </w:rPr>
      </w:pPr>
      <w:r>
        <w:rPr>
          <w:rFonts w:ascii="Arial" w:hAnsi="Arial"/>
          <w:b w:val="0"/>
          <w:bCs/>
          <w:color w:val="FF0000"/>
          <w:sz w:val="44"/>
        </w:rPr>
        <w:t>Embargoed to 00:01 on 23 July</w:t>
      </w:r>
      <w:r>
        <w:rPr>
          <w:rFonts w:ascii="Arial" w:hAnsi="Arial"/>
          <w:b w:val="0"/>
          <w:bCs/>
          <w:color w:val="FF0000"/>
        </w:rPr>
        <w:t xml:space="preserve"> </w:t>
      </w:r>
      <w:r>
        <w:rPr>
          <w:rFonts w:ascii="Arial" w:hAnsi="Arial"/>
          <w:b w:val="0"/>
          <w:bCs/>
          <w:color w:val="FF0000"/>
          <w:sz w:val="44"/>
        </w:rPr>
        <w:t>2015</w:t>
      </w:r>
      <w:r>
        <w:rPr>
          <w:rFonts w:ascii="Arial" w:hAnsi="Arial"/>
          <w:b w:val="0"/>
          <w:bCs/>
          <w:color w:val="FF0000"/>
        </w:rPr>
        <w:t xml:space="preserve"> </w:t>
      </w:r>
    </w:p>
    <w:p w:rsidR="00245EBD" w:rsidRPr="002D470D" w:rsidRDefault="005F0996">
      <w:pPr>
        <w:tabs>
          <w:tab w:val="left" w:pos="889"/>
        </w:tabs>
        <w:rPr>
          <w:rFonts w:ascii="Arial" w:eastAsiaTheme="minorEastAsia" w:hAnsi="Arial" w:cs="Arial"/>
          <w:bCs/>
          <w:color w:val="1074CB"/>
          <w:sz w:val="20"/>
        </w:rPr>
      </w:pPr>
      <w:r w:rsidRPr="005F0996">
        <w:rPr>
          <w:rFonts w:ascii="Arial" w:eastAsiaTheme="minorEastAsia" w:hAnsi="Arial" w:cs="Arial"/>
          <w:b/>
          <w:bCs/>
          <w:noProof/>
          <w:color w:val="1074CB"/>
          <w:sz w:val="20"/>
          <w:lang w:val="en-US" w:eastAsia="en-US"/>
        </w:rPr>
        <w:pict>
          <v:lin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2D470D">
        <w:rPr>
          <w:rFonts w:ascii="Arial" w:eastAsiaTheme="minorEastAsia" w:hAnsi="Arial" w:cs="Arial"/>
          <w:bCs/>
          <w:color w:val="1074CB"/>
          <w:sz w:val="36"/>
          <w:szCs w:val="36"/>
        </w:rPr>
        <w:t xml:space="preserve"> </w:t>
      </w:r>
      <w:r w:rsidR="00B43DB8">
        <w:rPr>
          <w:rFonts w:ascii="Arial" w:hAnsi="Arial"/>
          <w:bCs/>
          <w:color w:val="1074CB"/>
          <w:sz w:val="36"/>
        </w:rPr>
        <w:t xml:space="preserve"> </w:t>
      </w:r>
    </w:p>
    <w:p w:rsidR="00245EBD" w:rsidRDefault="00B43DB8">
      <w:pPr>
        <w:rPr>
          <w:rFonts w:ascii="Tahoma" w:hAnsi="Tahoma"/>
          <w:sz w:val="32"/>
          <w:lang w:eastAsia="en-US"/>
        </w:rPr>
      </w:pPr>
      <w:r>
        <w:rPr>
          <w:rFonts w:ascii="Arial" w:hAnsi="Arial"/>
          <w:b/>
          <w:bCs/>
          <w:color w:val="1074CB"/>
          <w:sz w:val="32"/>
          <w:lang w:eastAsia="en-US"/>
        </w:rPr>
        <w:t xml:space="preserve">Best half-year for UK car manufacturing since 2008 as productivity accelerates </w:t>
      </w:r>
    </w:p>
    <w:p w:rsidR="00307C12" w:rsidRPr="00307C12" w:rsidRDefault="00307C12" w:rsidP="00307C12">
      <w:pPr>
        <w:spacing w:before="100" w:after="100"/>
        <w:ind w:left="720"/>
        <w:rPr>
          <w:rFonts w:ascii="Arial" w:hAnsi="Arial"/>
          <w:sz w:val="6"/>
          <w:lang w:eastAsia="en-US"/>
        </w:rPr>
      </w:pPr>
    </w:p>
    <w:p w:rsidR="00245EBD" w:rsidRPr="00307C12" w:rsidRDefault="00B43DB8" w:rsidP="00307C12">
      <w:pPr>
        <w:numPr>
          <w:ilvl w:val="0"/>
          <w:numId w:val="9"/>
        </w:numPr>
        <w:spacing w:before="100" w:after="100"/>
        <w:rPr>
          <w:rFonts w:ascii="Arial" w:hAnsi="Arial"/>
          <w:sz w:val="20"/>
          <w:lang w:eastAsia="en-US"/>
        </w:rPr>
      </w:pPr>
      <w:r w:rsidRPr="00307C12">
        <w:rPr>
          <w:rFonts w:ascii="Arial" w:hAnsi="Arial"/>
          <w:sz w:val="20"/>
          <w:lang w:eastAsia="en-US"/>
        </w:rPr>
        <w:t>Car manufacturing increases 5.4% in June to 143,759 units, with strong export performance.</w:t>
      </w:r>
    </w:p>
    <w:p w:rsidR="00245EBD" w:rsidRDefault="00B43DB8">
      <w:pPr>
        <w:numPr>
          <w:ilvl w:val="0"/>
          <w:numId w:val="9"/>
        </w:numPr>
        <w:spacing w:before="100" w:after="100"/>
        <w:rPr>
          <w:rFonts w:ascii="Arial" w:hAnsi="Arial"/>
          <w:sz w:val="20"/>
          <w:lang w:eastAsia="en-US"/>
        </w:rPr>
      </w:pPr>
      <w:r>
        <w:rPr>
          <w:rFonts w:ascii="Arial" w:hAnsi="Arial"/>
          <w:sz w:val="20"/>
          <w:lang w:eastAsia="en-US"/>
        </w:rPr>
        <w:t>January-June output grows 0.3% on last year to the highest half-year level since 2008.</w:t>
      </w:r>
    </w:p>
    <w:p w:rsidR="00245EBD" w:rsidRDefault="00B43DB8">
      <w:pPr>
        <w:numPr>
          <w:ilvl w:val="0"/>
          <w:numId w:val="9"/>
        </w:numPr>
        <w:spacing w:before="100" w:after="100"/>
        <w:rPr>
          <w:rFonts w:ascii="Arial" w:hAnsi="Arial"/>
          <w:sz w:val="20"/>
          <w:lang w:eastAsia="en-US"/>
        </w:rPr>
      </w:pPr>
      <w:r>
        <w:rPr>
          <w:rFonts w:ascii="Arial" w:hAnsi="Arial"/>
          <w:sz w:val="20"/>
          <w:lang w:eastAsia="en-US"/>
        </w:rPr>
        <w:t>Sector leads on efficiency with workforce productivity twice the national average.*</w:t>
      </w:r>
    </w:p>
    <w:p w:rsidR="002D470D" w:rsidRDefault="002D470D" w:rsidP="002D470D">
      <w:pPr>
        <w:spacing w:before="100" w:after="100"/>
        <w:rPr>
          <w:rFonts w:ascii="Arial" w:hAnsi="Arial"/>
          <w:sz w:val="20"/>
          <w:lang w:eastAsia="en-US"/>
        </w:rPr>
      </w:pPr>
    </w:p>
    <w:p w:rsidR="00245EBD" w:rsidRDefault="00B43DB8">
      <w:pPr>
        <w:rPr>
          <w:rFonts w:ascii="Arial" w:hAnsi="Arial"/>
          <w:sz w:val="20"/>
          <w:lang w:eastAsia="en-US"/>
        </w:rPr>
      </w:pPr>
      <w:r>
        <w:rPr>
          <w:rFonts w:ascii="Arial" w:hAnsi="Arial"/>
          <w:b/>
          <w:bCs/>
          <w:sz w:val="20"/>
          <w:lang w:eastAsia="en-US"/>
        </w:rPr>
        <w:t>23 July 2015</w:t>
      </w:r>
      <w:r>
        <w:rPr>
          <w:rFonts w:ascii="Arial" w:hAnsi="Arial"/>
          <w:sz w:val="20"/>
          <w:lang w:eastAsia="en-US"/>
        </w:rPr>
        <w:t> British car manufacturing delivered a strong performance in June with volumes up 5.4% over the same month last year, according to new figures from the Society of Motor Manufacturers and Traders (SMMT). 143,759 cars were built in the month, with production for export (up 9.0%) outperforming that for the domestic market (down 7.1%) – a reversal of the trend seen in previous months.</w:t>
      </w:r>
    </w:p>
    <w:p w:rsidR="00245EBD" w:rsidRDefault="00245EBD">
      <w:pPr>
        <w:rPr>
          <w:rFonts w:ascii="Arial" w:hAnsi="Arial"/>
          <w:sz w:val="20"/>
          <w:lang w:eastAsia="en-US"/>
        </w:rPr>
      </w:pPr>
    </w:p>
    <w:p w:rsidR="00245EBD" w:rsidRDefault="00B43DB8">
      <w:pPr>
        <w:rPr>
          <w:rFonts w:ascii="Arial" w:hAnsi="Arial"/>
          <w:sz w:val="20"/>
          <w:lang w:eastAsia="en-US"/>
        </w:rPr>
      </w:pPr>
      <w:r>
        <w:rPr>
          <w:rFonts w:ascii="Arial" w:hAnsi="Arial"/>
          <w:sz w:val="20"/>
          <w:lang w:eastAsia="en-US"/>
        </w:rPr>
        <w:t>June’s rise led the sector to its best half-year output since 2008: 793,642 cars rolled off UK production lines between January and June – up 0.3% on the same period last year</w:t>
      </w:r>
      <w:r w:rsidR="002D470D">
        <w:rPr>
          <w:rFonts w:ascii="Arial" w:hAnsi="Arial"/>
          <w:sz w:val="20"/>
        </w:rPr>
        <w:t>,</w:t>
      </w:r>
      <w:r>
        <w:rPr>
          <w:rFonts w:ascii="Arial" w:hAnsi="Arial"/>
          <w:sz w:val="20"/>
        </w:rPr>
        <w:t xml:space="preserve"> e</w:t>
      </w:r>
      <w:r>
        <w:rPr>
          <w:rFonts w:ascii="Arial" w:hAnsi="Arial"/>
          <w:sz w:val="20"/>
          <w:lang w:eastAsia="en-US"/>
        </w:rPr>
        <w:t>quating to more than three every minute.</w:t>
      </w:r>
    </w:p>
    <w:p w:rsidR="00245EBD" w:rsidRDefault="00245EBD">
      <w:pPr>
        <w:rPr>
          <w:rFonts w:ascii="Arial" w:hAnsi="Arial"/>
          <w:sz w:val="20"/>
          <w:lang w:eastAsia="en-US"/>
        </w:rPr>
      </w:pPr>
    </w:p>
    <w:p w:rsidR="00245EBD" w:rsidRDefault="00B43DB8">
      <w:pPr>
        <w:rPr>
          <w:rFonts w:ascii="Arial" w:hAnsi="Arial"/>
          <w:sz w:val="20"/>
          <w:lang w:eastAsia="en-US"/>
        </w:rPr>
      </w:pPr>
      <w:r>
        <w:rPr>
          <w:rFonts w:ascii="Arial" w:hAnsi="Arial"/>
          <w:sz w:val="20"/>
          <w:lang w:eastAsia="en-US"/>
        </w:rPr>
        <w:t>The news comes amid further evidence that the sector is leading the way on productivity. New figures reveal that the sector achieved £100,000 in value</w:t>
      </w:r>
      <w:r w:rsidR="002D470D">
        <w:rPr>
          <w:rFonts w:ascii="Arial" w:hAnsi="Arial"/>
          <w:sz w:val="20"/>
          <w:lang w:eastAsia="en-US"/>
        </w:rPr>
        <w:t xml:space="preserve"> added</w:t>
      </w:r>
      <w:r>
        <w:rPr>
          <w:rFonts w:ascii="Arial" w:hAnsi="Arial"/>
          <w:sz w:val="20"/>
          <w:lang w:eastAsia="en-US"/>
        </w:rPr>
        <w:t xml:space="preserve"> per employee in 2014 compared with £74,000 in 2010 – a 35% increase. The performance is particularly impressive when set against the £50,000 average</w:t>
      </w:r>
      <w:r>
        <w:rPr>
          <w:rFonts w:ascii="Arial" w:hAnsi="Arial"/>
          <w:sz w:val="20"/>
        </w:rPr>
        <w:t xml:space="preserve"> per employee</w:t>
      </w:r>
      <w:r>
        <w:rPr>
          <w:rFonts w:ascii="Arial" w:hAnsi="Arial"/>
          <w:sz w:val="20"/>
          <w:lang w:eastAsia="en-US"/>
        </w:rPr>
        <w:t xml:space="preserve"> for the UK economy as a whole.</w:t>
      </w:r>
    </w:p>
    <w:p w:rsidR="00245EBD" w:rsidRDefault="00245EBD">
      <w:pPr>
        <w:rPr>
          <w:rFonts w:ascii="Arial" w:hAnsi="Arial"/>
          <w:sz w:val="20"/>
          <w:lang w:eastAsia="en-US"/>
        </w:rPr>
      </w:pPr>
    </w:p>
    <w:p w:rsidR="00245EBD" w:rsidRDefault="00B43DB8">
      <w:pPr>
        <w:rPr>
          <w:rFonts w:ascii="Tahoma" w:hAnsi="Tahoma"/>
          <w:sz w:val="20"/>
          <w:lang w:eastAsia="en-US"/>
        </w:rPr>
      </w:pPr>
      <w:r>
        <w:rPr>
          <w:rFonts w:ascii="Arial" w:hAnsi="Arial"/>
          <w:sz w:val="20"/>
          <w:lang w:eastAsia="en-US"/>
        </w:rPr>
        <w:t>With production volumes up more than 50% since 2009 and significant investments still to b</w:t>
      </w:r>
      <w:r w:rsidR="00D0355C">
        <w:rPr>
          <w:rFonts w:ascii="Arial" w:hAnsi="Arial"/>
          <w:sz w:val="20"/>
          <w:lang w:eastAsia="en-US"/>
        </w:rPr>
        <w:t xml:space="preserve">e realised – a raft of brand </w:t>
      </w:r>
      <w:r>
        <w:rPr>
          <w:rFonts w:ascii="Arial" w:hAnsi="Arial"/>
          <w:sz w:val="20"/>
          <w:lang w:eastAsia="en-US"/>
        </w:rPr>
        <w:t>new models are set to hit production lines in the coming months – the UK car industry is growing on a global scale.</w:t>
      </w:r>
      <w:r>
        <w:rPr>
          <w:rFonts w:ascii="Arial" w:hAnsi="Arial"/>
          <w:sz w:val="20"/>
        </w:rPr>
        <w:t xml:space="preserve"> W</w:t>
      </w:r>
      <w:r>
        <w:rPr>
          <w:rFonts w:ascii="Arial" w:hAnsi="Arial"/>
          <w:sz w:val="20"/>
          <w:lang w:eastAsia="en-US"/>
        </w:rPr>
        <w:t xml:space="preserve">hile the sector is enjoying robust demand in the domestic market, it is not immune to external influences. With economic and political instability in some global markets, </w:t>
      </w:r>
      <w:r>
        <w:rPr>
          <w:rFonts w:ascii="Arial" w:hAnsi="Arial"/>
          <w:sz w:val="20"/>
        </w:rPr>
        <w:t>it is essential</w:t>
      </w:r>
      <w:r>
        <w:rPr>
          <w:rFonts w:ascii="Arial" w:hAnsi="Arial"/>
          <w:sz w:val="20"/>
          <w:lang w:eastAsia="en-US"/>
        </w:rPr>
        <w:t xml:space="preserve"> the UK re</w:t>
      </w:r>
      <w:r>
        <w:rPr>
          <w:rFonts w:ascii="Arial" w:hAnsi="Arial"/>
          <w:sz w:val="20"/>
        </w:rPr>
        <w:t>tain</w:t>
      </w:r>
      <w:r>
        <w:rPr>
          <w:rFonts w:ascii="Arial" w:hAnsi="Arial"/>
          <w:sz w:val="20"/>
          <w:lang w:eastAsia="en-US"/>
        </w:rPr>
        <w:t>s</w:t>
      </w:r>
      <w:r>
        <w:rPr>
          <w:rFonts w:ascii="Arial" w:hAnsi="Arial"/>
          <w:sz w:val="20"/>
        </w:rPr>
        <w:t xml:space="preserve"> its </w:t>
      </w:r>
      <w:r>
        <w:rPr>
          <w:rFonts w:ascii="Arial" w:hAnsi="Arial"/>
          <w:sz w:val="20"/>
          <w:lang w:eastAsia="en-US"/>
        </w:rPr>
        <w:t xml:space="preserve">competitive </w:t>
      </w:r>
      <w:r>
        <w:rPr>
          <w:rFonts w:ascii="Arial" w:hAnsi="Arial"/>
          <w:sz w:val="20"/>
        </w:rPr>
        <w:t>leadership, attracting investment</w:t>
      </w:r>
      <w:r>
        <w:rPr>
          <w:rFonts w:ascii="Arial" w:hAnsi="Arial"/>
          <w:sz w:val="20"/>
          <w:lang w:eastAsia="en-US"/>
        </w:rPr>
        <w:t xml:space="preserve"> </w:t>
      </w:r>
      <w:r>
        <w:rPr>
          <w:rFonts w:ascii="Arial" w:hAnsi="Arial"/>
          <w:sz w:val="20"/>
        </w:rPr>
        <w:t>to stimulate i</w:t>
      </w:r>
      <w:r>
        <w:rPr>
          <w:rFonts w:ascii="Arial" w:hAnsi="Arial"/>
          <w:sz w:val="20"/>
          <w:lang w:eastAsia="en-US"/>
        </w:rPr>
        <w:t>nnovation</w:t>
      </w:r>
      <w:r>
        <w:rPr>
          <w:rFonts w:ascii="Arial" w:hAnsi="Arial"/>
          <w:sz w:val="20"/>
        </w:rPr>
        <w:t xml:space="preserve">, productivity </w:t>
      </w:r>
      <w:r>
        <w:rPr>
          <w:rFonts w:ascii="Arial" w:hAnsi="Arial"/>
          <w:sz w:val="20"/>
          <w:lang w:eastAsia="en-US"/>
        </w:rPr>
        <w:t xml:space="preserve">and </w:t>
      </w:r>
      <w:r>
        <w:rPr>
          <w:rFonts w:ascii="Arial" w:hAnsi="Arial"/>
          <w:sz w:val="20"/>
        </w:rPr>
        <w:t>employment</w:t>
      </w:r>
      <w:r>
        <w:rPr>
          <w:rFonts w:ascii="Arial" w:hAnsi="Arial"/>
          <w:sz w:val="20"/>
          <w:lang w:eastAsia="en-US"/>
        </w:rPr>
        <w:t>.</w:t>
      </w:r>
    </w:p>
    <w:p w:rsidR="00245EBD" w:rsidRDefault="00245EBD">
      <w:pPr>
        <w:rPr>
          <w:rFonts w:ascii="Arial" w:hAnsi="Arial"/>
          <w:b/>
          <w:bCs/>
          <w:sz w:val="20"/>
          <w:lang w:eastAsia="en-US"/>
        </w:rPr>
      </w:pPr>
    </w:p>
    <w:p w:rsidR="00245EBD" w:rsidRDefault="00B43DB8">
      <w:pPr>
        <w:rPr>
          <w:rFonts w:ascii="Arial" w:hAnsi="Arial"/>
          <w:sz w:val="20"/>
          <w:lang w:eastAsia="en-US"/>
        </w:rPr>
      </w:pPr>
      <w:r>
        <w:rPr>
          <w:rFonts w:ascii="Arial" w:hAnsi="Arial"/>
          <w:b/>
          <w:bCs/>
          <w:sz w:val="20"/>
          <w:lang w:eastAsia="en-US"/>
        </w:rPr>
        <w:t>Mike Hawes, SMMT Chief Executive, said,</w:t>
      </w:r>
      <w:r>
        <w:rPr>
          <w:rFonts w:ascii="Arial" w:hAnsi="Arial"/>
          <w:sz w:val="20"/>
          <w:lang w:eastAsia="en-US"/>
        </w:rPr>
        <w:t> “Today’s figures are testament to the ever-increasing demand for the diverse, high-quality range of cars we make in the UK. The sector is ahead of the game on productivity,</w:t>
      </w:r>
      <w:r>
        <w:rPr>
          <w:rFonts w:ascii="Arial" w:hAnsi="Arial"/>
          <w:sz w:val="20"/>
        </w:rPr>
        <w:t xml:space="preserve"> with investment in efficient, high-tech manufacturing processes and a highly skilled workforce resulting in huge gains over the past decade.</w:t>
      </w:r>
    </w:p>
    <w:p w:rsidR="00245EBD" w:rsidRDefault="00245EBD">
      <w:pPr>
        <w:rPr>
          <w:rFonts w:ascii="Arial" w:hAnsi="Arial"/>
          <w:sz w:val="20"/>
          <w:lang w:eastAsia="en-US"/>
        </w:rPr>
      </w:pPr>
    </w:p>
    <w:p w:rsidR="00245EBD" w:rsidRDefault="00B43DB8">
      <w:pPr>
        <w:rPr>
          <w:rFonts w:ascii="Tahoma" w:hAnsi="Tahoma"/>
          <w:sz w:val="20"/>
          <w:lang w:eastAsia="en-US"/>
        </w:rPr>
      </w:pPr>
      <w:r>
        <w:rPr>
          <w:rFonts w:ascii="Arial" w:hAnsi="Arial"/>
          <w:sz w:val="20"/>
          <w:lang w:eastAsia="en-US"/>
        </w:rPr>
        <w:t>“This success has been built on significant industry investment</w:t>
      </w:r>
      <w:r>
        <w:rPr>
          <w:rFonts w:ascii="Arial" w:hAnsi="Arial"/>
          <w:sz w:val="20"/>
        </w:rPr>
        <w:t xml:space="preserve"> </w:t>
      </w:r>
      <w:r w:rsidR="00D0355C">
        <w:rPr>
          <w:rFonts w:ascii="Arial" w:hAnsi="Arial"/>
          <w:sz w:val="20"/>
        </w:rPr>
        <w:t>and</w:t>
      </w:r>
      <w:r>
        <w:rPr>
          <w:rFonts w:ascii="Arial" w:hAnsi="Arial"/>
          <w:sz w:val="20"/>
          <w:lang w:eastAsia="en-US"/>
        </w:rPr>
        <w:t xml:space="preserve"> has also relied on</w:t>
      </w:r>
      <w:r>
        <w:rPr>
          <w:rFonts w:ascii="Arial" w:hAnsi="Arial"/>
          <w:sz w:val="20"/>
        </w:rPr>
        <w:t xml:space="preserve"> a positive relationship with </w:t>
      </w:r>
      <w:r w:rsidR="00D0355C">
        <w:rPr>
          <w:rFonts w:ascii="Arial" w:hAnsi="Arial"/>
          <w:sz w:val="20"/>
          <w:lang w:eastAsia="en-US"/>
        </w:rPr>
        <w:t xml:space="preserve">government, </w:t>
      </w:r>
      <w:r w:rsidR="002D470D">
        <w:rPr>
          <w:rFonts w:ascii="Arial" w:hAnsi="Arial"/>
          <w:sz w:val="20"/>
          <w:lang w:eastAsia="en-US"/>
        </w:rPr>
        <w:t>essential</w:t>
      </w:r>
      <w:r>
        <w:rPr>
          <w:rFonts w:ascii="Arial" w:hAnsi="Arial"/>
          <w:sz w:val="20"/>
          <w:lang w:eastAsia="en-US"/>
        </w:rPr>
        <w:t xml:space="preserve"> if the industry is to maintain its</w:t>
      </w:r>
      <w:r w:rsidR="00D0355C">
        <w:rPr>
          <w:rFonts w:ascii="Arial" w:hAnsi="Arial"/>
          <w:sz w:val="20"/>
          <w:lang w:eastAsia="en-US"/>
        </w:rPr>
        <w:t xml:space="preserve"> international competitiveness</w:t>
      </w:r>
      <w:r>
        <w:rPr>
          <w:rFonts w:ascii="Arial" w:hAnsi="Arial"/>
          <w:sz w:val="20"/>
          <w:lang w:eastAsia="en-US"/>
        </w:rPr>
        <w:t>.”</w:t>
      </w:r>
    </w:p>
    <w:p w:rsidR="00245EBD" w:rsidRDefault="00245EBD">
      <w:pPr>
        <w:rPr>
          <w:rFonts w:ascii="Tahoma" w:hAnsi="Tahoma"/>
          <w:sz w:val="20"/>
          <w:lang w:eastAsia="en-US"/>
        </w:rPr>
      </w:pPr>
    </w:p>
    <w:tbl>
      <w:tblPr>
        <w:tblW w:w="9318" w:type="dxa"/>
        <w:tblCellMar>
          <w:left w:w="0" w:type="dxa"/>
          <w:right w:w="0" w:type="dxa"/>
        </w:tblCellMar>
        <w:tblLook w:val="04A0"/>
      </w:tblPr>
      <w:tblGrid>
        <w:gridCol w:w="2142"/>
        <w:gridCol w:w="1134"/>
        <w:gridCol w:w="1134"/>
        <w:gridCol w:w="1275"/>
        <w:gridCol w:w="1311"/>
        <w:gridCol w:w="1106"/>
        <w:gridCol w:w="1216"/>
      </w:tblGrid>
      <w:tr w:rsidR="00245EBD">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Car manufacturing</w:t>
            </w:r>
          </w:p>
        </w:tc>
        <w:tc>
          <w:tcPr>
            <w:tcW w:w="1134"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Jun-14</w:t>
            </w:r>
          </w:p>
        </w:tc>
        <w:tc>
          <w:tcPr>
            <w:tcW w:w="1134"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Jun-15</w:t>
            </w:r>
          </w:p>
        </w:tc>
        <w:tc>
          <w:tcPr>
            <w:tcW w:w="1275"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 Change</w:t>
            </w:r>
          </w:p>
        </w:tc>
        <w:tc>
          <w:tcPr>
            <w:tcW w:w="1311"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YTD-14</w:t>
            </w:r>
          </w:p>
        </w:tc>
        <w:tc>
          <w:tcPr>
            <w:tcW w:w="1106"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YTD-15</w:t>
            </w:r>
          </w:p>
        </w:tc>
        <w:tc>
          <w:tcPr>
            <w:tcW w:w="1216"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 Change</w:t>
            </w:r>
          </w:p>
        </w:tc>
      </w:tr>
      <w:tr w:rsidR="00245EBD">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Tahoma" w:hAnsi="Tahoma"/>
                <w:sz w:val="20"/>
                <w:lang w:eastAsia="en-US"/>
              </w:rPr>
            </w:pPr>
            <w:r>
              <w:rPr>
                <w:rFonts w:ascii="Arial" w:hAnsi="Arial"/>
                <w:b/>
                <w:bCs/>
                <w:color w:val="002060"/>
                <w:sz w:val="20"/>
                <w:lang w:eastAsia="en-US"/>
              </w:rPr>
              <w:t>Total</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136,419</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143,759</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5.4%</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791,314</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793,642</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0.3%</w:t>
            </w:r>
          </w:p>
        </w:tc>
      </w:tr>
      <w:tr w:rsidR="00245EBD">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Tahoma" w:hAnsi="Tahoma"/>
                <w:sz w:val="20"/>
                <w:lang w:eastAsia="en-US"/>
              </w:rPr>
            </w:pPr>
            <w:r>
              <w:rPr>
                <w:rFonts w:ascii="Arial" w:hAnsi="Arial"/>
                <w:b/>
                <w:bCs/>
                <w:color w:val="002060"/>
                <w:sz w:val="20"/>
                <w:lang w:eastAsia="en-US"/>
              </w:rPr>
              <w:t>Home</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30,532</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28,351</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-7.1%</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165,855</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188,598</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13.7%</w:t>
            </w:r>
          </w:p>
        </w:tc>
      </w:tr>
      <w:tr w:rsidR="00245EBD">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Tahoma" w:hAnsi="Tahoma"/>
                <w:sz w:val="20"/>
                <w:lang w:eastAsia="en-US"/>
              </w:rPr>
            </w:pPr>
            <w:r>
              <w:rPr>
                <w:rFonts w:ascii="Arial" w:hAnsi="Arial"/>
                <w:b/>
                <w:bCs/>
                <w:color w:val="002060"/>
                <w:sz w:val="20"/>
                <w:lang w:eastAsia="en-US"/>
              </w:rPr>
              <w:t>Export</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105,887</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115,408</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9.0%</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625,459</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605,044</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18"/>
              </w:rPr>
            </w:pPr>
            <w:r>
              <w:rPr>
                <w:rFonts w:ascii="Arial" w:hAnsi="Arial"/>
                <w:color w:val="0D2255"/>
                <w:sz w:val="18"/>
              </w:rPr>
              <w:t>-3.3%</w:t>
            </w:r>
          </w:p>
        </w:tc>
      </w:tr>
      <w:tr w:rsidR="00245EBD">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Tahoma" w:hAnsi="Tahoma"/>
                <w:sz w:val="20"/>
                <w:lang w:eastAsia="en-US"/>
              </w:rPr>
            </w:pPr>
            <w:r>
              <w:rPr>
                <w:rFonts w:ascii="Arial" w:hAnsi="Arial"/>
                <w:b/>
                <w:bCs/>
                <w:color w:val="002060"/>
                <w:sz w:val="20"/>
                <w:lang w:eastAsia="en-US"/>
              </w:rPr>
              <w:t>% export</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77.6%</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80.3%</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 </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79.0%</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76.2%</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245EBD" w:rsidRDefault="00B43DB8">
            <w:pPr>
              <w:jc w:val="right"/>
              <w:rPr>
                <w:rFonts w:ascii="Arial" w:hAnsi="Arial"/>
                <w:color w:val="0D2255"/>
                <w:sz w:val="20"/>
              </w:rPr>
            </w:pPr>
            <w:r>
              <w:rPr>
                <w:rFonts w:ascii="Arial" w:hAnsi="Arial"/>
                <w:color w:val="0D2255"/>
                <w:sz w:val="20"/>
              </w:rPr>
              <w:t> </w:t>
            </w:r>
          </w:p>
        </w:tc>
      </w:tr>
    </w:tbl>
    <w:p w:rsidR="00245EBD" w:rsidRDefault="00245EBD">
      <w:pPr>
        <w:rPr>
          <w:rFonts w:ascii="Tahoma" w:hAnsi="Tahoma"/>
          <w:sz w:val="20"/>
          <w:lang w:eastAsia="en-US"/>
        </w:rPr>
      </w:pPr>
    </w:p>
    <w:p w:rsidR="00245EBD" w:rsidRDefault="00245EBD">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B43DB8" w:rsidRDefault="00B43DB8">
      <w:pPr>
        <w:rPr>
          <w:rFonts w:ascii="Arial" w:hAnsi="Arial"/>
          <w:color w:val="1074CB"/>
          <w:sz w:val="16"/>
          <w:u w:val="single"/>
        </w:rPr>
      </w:pPr>
    </w:p>
    <w:p w:rsidR="00245EBD" w:rsidRPr="00B43DB8" w:rsidRDefault="00B43DB8">
      <w:pPr>
        <w:rPr>
          <w:rFonts w:ascii="Arial" w:hAnsi="Arial"/>
          <w:b/>
          <w:color w:val="0D2255"/>
          <w:sz w:val="20"/>
        </w:rPr>
      </w:pPr>
      <w:r w:rsidRPr="00B43DB8">
        <w:rPr>
          <w:rFonts w:ascii="Arial" w:hAnsi="Arial"/>
          <w:b/>
          <w:color w:val="0D2255"/>
          <w:sz w:val="20"/>
        </w:rPr>
        <w:lastRenderedPageBreak/>
        <w:t>Car output – rolling year totals UK vs. home</w:t>
      </w:r>
    </w:p>
    <w:p w:rsidR="00245EBD" w:rsidRDefault="00B43DB8">
      <w:pPr>
        <w:rPr>
          <w:rFonts w:ascii="Arial" w:hAnsi="Arial"/>
          <w:color w:val="1074CB"/>
          <w:sz w:val="16"/>
          <w:u w:val="single"/>
        </w:rPr>
      </w:pPr>
      <w:r w:rsidRPr="00B43DB8">
        <w:rPr>
          <w:rFonts w:ascii="Arial" w:hAnsi="Arial"/>
          <w:noProof/>
          <w:color w:val="1074CB"/>
          <w:sz w:val="16"/>
          <w:u w:val="single"/>
        </w:rPr>
        <w:drawing>
          <wp:inline distT="0" distB="0" distL="0" distR="0">
            <wp:extent cx="6429375" cy="3248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5EBD" w:rsidRDefault="00245EBD">
      <w:pPr>
        <w:rPr>
          <w:rFonts w:ascii="Arial" w:hAnsi="Arial"/>
          <w:color w:val="1074CB"/>
          <w:sz w:val="16"/>
          <w:u w:val="single"/>
        </w:rPr>
      </w:pPr>
    </w:p>
    <w:p w:rsidR="00245EBD" w:rsidRDefault="00B43DB8">
      <w:pPr>
        <w:rPr>
          <w:rFonts w:ascii="Arial" w:hAnsi="Arial"/>
          <w:b/>
          <w:color w:val="1074CB"/>
          <w:sz w:val="16"/>
        </w:rPr>
      </w:pPr>
      <w:r>
        <w:rPr>
          <w:rFonts w:ascii="Arial" w:hAnsi="Arial"/>
          <w:b/>
          <w:color w:val="1074CB"/>
          <w:sz w:val="16"/>
        </w:rPr>
        <w:t>Notes to editors</w:t>
      </w:r>
    </w:p>
    <w:p w:rsidR="00245EBD" w:rsidRDefault="00245EBD">
      <w:pPr>
        <w:rPr>
          <w:rFonts w:ascii="Arial" w:hAnsi="Arial"/>
          <w:b/>
          <w:color w:val="1074CB"/>
          <w:sz w:val="16"/>
        </w:rPr>
      </w:pPr>
    </w:p>
    <w:p w:rsidR="00245EBD" w:rsidRDefault="00B43DB8">
      <w:pPr>
        <w:rPr>
          <w:rFonts w:ascii="Arial" w:hAnsi="Arial"/>
          <w:color w:val="1074CB"/>
          <w:sz w:val="16"/>
        </w:rPr>
      </w:pPr>
      <w:r>
        <w:rPr>
          <w:rFonts w:ascii="Arial" w:hAnsi="Arial"/>
          <w:color w:val="1074CB"/>
          <w:sz w:val="16"/>
        </w:rPr>
        <w:t>* Value added per direct automotive manufacturing employee in 2014: £100,000 vs. UK average (all sectors) of £50,000. Estimates based on official statistics from ONS Annual Business Inquiry and other sources.</w:t>
      </w:r>
    </w:p>
    <w:p w:rsidR="00245EBD" w:rsidRDefault="00245EBD">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9"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245EBD" w:rsidRDefault="00B43DB8">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245EBD" w:rsidRDefault="00B43DB8">
      <w:pPr>
        <w:rPr>
          <w:rFonts w:ascii="Arial" w:hAnsi="Arial"/>
          <w:color w:val="1074CB"/>
          <w:sz w:val="16"/>
        </w:rPr>
      </w:pPr>
      <w:r>
        <w:rPr>
          <w:rFonts w:ascii="Arial" w:hAnsi="Arial"/>
          <w:color w:val="1074CB"/>
          <w:sz w:val="16"/>
        </w:rPr>
        <w:t>Lucy Bielby</w:t>
      </w:r>
      <w:r>
        <w:rPr>
          <w:rFonts w:ascii="Arial" w:hAnsi="Arial"/>
          <w:color w:val="1074CB"/>
          <w:sz w:val="16"/>
        </w:rPr>
        <w:tab/>
      </w:r>
      <w:r>
        <w:rPr>
          <w:rFonts w:ascii="Arial" w:hAnsi="Arial"/>
          <w:color w:val="1074CB"/>
          <w:sz w:val="16"/>
        </w:rPr>
        <w:tab/>
      </w:r>
      <w:r>
        <w:rPr>
          <w:rFonts w:ascii="Arial" w:hAnsi="Arial"/>
          <w:color w:val="1074CB"/>
          <w:sz w:val="16"/>
        </w:rPr>
        <w:tab/>
        <w:t>020 7344 1610</w:t>
      </w:r>
      <w:r>
        <w:rPr>
          <w:rFonts w:ascii="Arial" w:hAnsi="Arial"/>
          <w:color w:val="1074CB"/>
          <w:sz w:val="16"/>
        </w:rPr>
        <w:tab/>
      </w:r>
      <w:r>
        <w:rPr>
          <w:rFonts w:ascii="Arial" w:hAnsi="Arial"/>
          <w:color w:val="1074CB"/>
          <w:sz w:val="16"/>
        </w:rPr>
        <w:tab/>
      </w:r>
      <w:hyperlink r:id="rId11" w:history="1">
        <w:r>
          <w:rPr>
            <w:rStyle w:val="Hyperlink"/>
            <w:rFonts w:ascii="Arial" w:hAnsi="Arial"/>
            <w:sz w:val="16"/>
          </w:rPr>
          <w:t>lbielby@smmt.co.uk</w:t>
        </w:r>
      </w:hyperlink>
    </w:p>
    <w:p w:rsidR="00245EBD" w:rsidRDefault="00245EBD">
      <w:pPr>
        <w:tabs>
          <w:tab w:val="right" w:pos="9332"/>
        </w:tabs>
        <w:rPr>
          <w:rFonts w:ascii="Arial" w:hAnsi="Arial"/>
          <w:sz w:val="16"/>
        </w:rPr>
      </w:pPr>
    </w:p>
    <w:sectPr w:rsidR="00245EBD" w:rsidSect="00245EBD">
      <w:headerReference w:type="default" r:id="rId12"/>
      <w:footerReference w:type="default" r:id="rId13"/>
      <w:pgSz w:w="11906" w:h="16838"/>
      <w:pgMar w:top="1440" w:right="1134" w:bottom="1440" w:left="1361"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F4" w:rsidRDefault="009824F4" w:rsidP="00C80E70">
      <w:r>
        <w:separator/>
      </w:r>
    </w:p>
  </w:endnote>
  <w:endnote w:type="continuationSeparator" w:id="0">
    <w:p w:rsidR="009824F4" w:rsidRDefault="009824F4"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77" w:rsidRPr="004306DA" w:rsidRDefault="00772977"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F4" w:rsidRDefault="009824F4" w:rsidP="00C80E70">
      <w:r>
        <w:separator/>
      </w:r>
    </w:p>
  </w:footnote>
  <w:footnote w:type="continuationSeparator" w:id="0">
    <w:p w:rsidR="009824F4" w:rsidRDefault="009824F4"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77" w:rsidRDefault="00772977"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3">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5087"/>
    <w:rsid w:val="00031DB4"/>
    <w:rsid w:val="00033005"/>
    <w:rsid w:val="00044EEF"/>
    <w:rsid w:val="00046A50"/>
    <w:rsid w:val="00065C4C"/>
    <w:rsid w:val="00066F55"/>
    <w:rsid w:val="000768F1"/>
    <w:rsid w:val="00094273"/>
    <w:rsid w:val="000A4DE9"/>
    <w:rsid w:val="000A5DC2"/>
    <w:rsid w:val="000A62C1"/>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1D91"/>
    <w:rsid w:val="001B4CAA"/>
    <w:rsid w:val="001C171F"/>
    <w:rsid w:val="001C389E"/>
    <w:rsid w:val="001D046A"/>
    <w:rsid w:val="001D3ADF"/>
    <w:rsid w:val="001D4C1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45EBD"/>
    <w:rsid w:val="0025075E"/>
    <w:rsid w:val="00252DCB"/>
    <w:rsid w:val="00264687"/>
    <w:rsid w:val="00266A9A"/>
    <w:rsid w:val="002839AC"/>
    <w:rsid w:val="00286B24"/>
    <w:rsid w:val="0028787F"/>
    <w:rsid w:val="0029324E"/>
    <w:rsid w:val="002933CF"/>
    <w:rsid w:val="002A5934"/>
    <w:rsid w:val="002B3FAF"/>
    <w:rsid w:val="002B4F7D"/>
    <w:rsid w:val="002C7321"/>
    <w:rsid w:val="002D0197"/>
    <w:rsid w:val="002D470D"/>
    <w:rsid w:val="002D5E78"/>
    <w:rsid w:val="002E40F0"/>
    <w:rsid w:val="002E4A51"/>
    <w:rsid w:val="002E5457"/>
    <w:rsid w:val="002E5956"/>
    <w:rsid w:val="002E7D7D"/>
    <w:rsid w:val="002F673C"/>
    <w:rsid w:val="002F6C8F"/>
    <w:rsid w:val="003050BA"/>
    <w:rsid w:val="00305B0A"/>
    <w:rsid w:val="00307C12"/>
    <w:rsid w:val="00317DCD"/>
    <w:rsid w:val="00320C83"/>
    <w:rsid w:val="00324F12"/>
    <w:rsid w:val="00336064"/>
    <w:rsid w:val="00342547"/>
    <w:rsid w:val="00345B59"/>
    <w:rsid w:val="003552CF"/>
    <w:rsid w:val="00356443"/>
    <w:rsid w:val="003568AB"/>
    <w:rsid w:val="00371917"/>
    <w:rsid w:val="00375DF8"/>
    <w:rsid w:val="00377406"/>
    <w:rsid w:val="003824EE"/>
    <w:rsid w:val="003A01D6"/>
    <w:rsid w:val="003A2548"/>
    <w:rsid w:val="003A370C"/>
    <w:rsid w:val="003A645F"/>
    <w:rsid w:val="003A6AF0"/>
    <w:rsid w:val="003B1C39"/>
    <w:rsid w:val="003C684D"/>
    <w:rsid w:val="003D0260"/>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5C8C"/>
    <w:rsid w:val="005218AC"/>
    <w:rsid w:val="00525D1A"/>
    <w:rsid w:val="00534F79"/>
    <w:rsid w:val="005407A6"/>
    <w:rsid w:val="00541AF7"/>
    <w:rsid w:val="00542422"/>
    <w:rsid w:val="00554CD3"/>
    <w:rsid w:val="0055683E"/>
    <w:rsid w:val="005709F5"/>
    <w:rsid w:val="00572907"/>
    <w:rsid w:val="005733CD"/>
    <w:rsid w:val="00574FAB"/>
    <w:rsid w:val="00577A32"/>
    <w:rsid w:val="00580119"/>
    <w:rsid w:val="005830EF"/>
    <w:rsid w:val="00583B98"/>
    <w:rsid w:val="00583B9B"/>
    <w:rsid w:val="00583E20"/>
    <w:rsid w:val="00585DB0"/>
    <w:rsid w:val="005870B8"/>
    <w:rsid w:val="005A0ACF"/>
    <w:rsid w:val="005A69CE"/>
    <w:rsid w:val="005B33EF"/>
    <w:rsid w:val="005B536B"/>
    <w:rsid w:val="005C4BC2"/>
    <w:rsid w:val="005C668F"/>
    <w:rsid w:val="005C7E78"/>
    <w:rsid w:val="005D1554"/>
    <w:rsid w:val="005D34F5"/>
    <w:rsid w:val="005E0768"/>
    <w:rsid w:val="005E2C9D"/>
    <w:rsid w:val="005E32ED"/>
    <w:rsid w:val="005F0996"/>
    <w:rsid w:val="005F44DC"/>
    <w:rsid w:val="005F7C94"/>
    <w:rsid w:val="0060762E"/>
    <w:rsid w:val="00616CD2"/>
    <w:rsid w:val="00625EE5"/>
    <w:rsid w:val="006315A6"/>
    <w:rsid w:val="00642C08"/>
    <w:rsid w:val="0064340D"/>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70469E"/>
    <w:rsid w:val="00707D9A"/>
    <w:rsid w:val="0071028F"/>
    <w:rsid w:val="0071413A"/>
    <w:rsid w:val="00714EF7"/>
    <w:rsid w:val="0072361D"/>
    <w:rsid w:val="00733542"/>
    <w:rsid w:val="007364A2"/>
    <w:rsid w:val="0073709A"/>
    <w:rsid w:val="00741778"/>
    <w:rsid w:val="00741A8B"/>
    <w:rsid w:val="00741B50"/>
    <w:rsid w:val="00742FA5"/>
    <w:rsid w:val="007433FE"/>
    <w:rsid w:val="0074351B"/>
    <w:rsid w:val="00754429"/>
    <w:rsid w:val="00761183"/>
    <w:rsid w:val="007679BE"/>
    <w:rsid w:val="0077274C"/>
    <w:rsid w:val="00772977"/>
    <w:rsid w:val="007736AF"/>
    <w:rsid w:val="00777E82"/>
    <w:rsid w:val="00780569"/>
    <w:rsid w:val="0078139C"/>
    <w:rsid w:val="00783D6D"/>
    <w:rsid w:val="007851A1"/>
    <w:rsid w:val="00785839"/>
    <w:rsid w:val="00787B6E"/>
    <w:rsid w:val="00791C3D"/>
    <w:rsid w:val="007951F0"/>
    <w:rsid w:val="0079765E"/>
    <w:rsid w:val="007A0020"/>
    <w:rsid w:val="007A3F55"/>
    <w:rsid w:val="007A7B05"/>
    <w:rsid w:val="007B20DF"/>
    <w:rsid w:val="007B3856"/>
    <w:rsid w:val="007B6A51"/>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52E4"/>
    <w:rsid w:val="00815C6B"/>
    <w:rsid w:val="008234A7"/>
    <w:rsid w:val="00835F96"/>
    <w:rsid w:val="008372BE"/>
    <w:rsid w:val="008373DF"/>
    <w:rsid w:val="00846D04"/>
    <w:rsid w:val="00853B7F"/>
    <w:rsid w:val="00853E71"/>
    <w:rsid w:val="00854403"/>
    <w:rsid w:val="00856BDA"/>
    <w:rsid w:val="00861E9C"/>
    <w:rsid w:val="0086619E"/>
    <w:rsid w:val="00866A2F"/>
    <w:rsid w:val="008716AA"/>
    <w:rsid w:val="00871FF2"/>
    <w:rsid w:val="00875A4A"/>
    <w:rsid w:val="00875B47"/>
    <w:rsid w:val="00885515"/>
    <w:rsid w:val="00894038"/>
    <w:rsid w:val="0089431A"/>
    <w:rsid w:val="008959C9"/>
    <w:rsid w:val="008A13E6"/>
    <w:rsid w:val="008B04AD"/>
    <w:rsid w:val="008B287D"/>
    <w:rsid w:val="008B39A0"/>
    <w:rsid w:val="008B46EA"/>
    <w:rsid w:val="008B50CB"/>
    <w:rsid w:val="008B5B80"/>
    <w:rsid w:val="008C2E17"/>
    <w:rsid w:val="008C49F7"/>
    <w:rsid w:val="008D0070"/>
    <w:rsid w:val="008D1D83"/>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24F4"/>
    <w:rsid w:val="00983575"/>
    <w:rsid w:val="009A00FC"/>
    <w:rsid w:val="009B01D2"/>
    <w:rsid w:val="009C2F5C"/>
    <w:rsid w:val="009C6875"/>
    <w:rsid w:val="009C74E7"/>
    <w:rsid w:val="009D2F25"/>
    <w:rsid w:val="009D58F5"/>
    <w:rsid w:val="009D6484"/>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5E78"/>
    <w:rsid w:val="00A46B80"/>
    <w:rsid w:val="00A46C94"/>
    <w:rsid w:val="00A57889"/>
    <w:rsid w:val="00A62CA5"/>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228C1"/>
    <w:rsid w:val="00B256FB"/>
    <w:rsid w:val="00B2633F"/>
    <w:rsid w:val="00B3088E"/>
    <w:rsid w:val="00B36DF8"/>
    <w:rsid w:val="00B406DA"/>
    <w:rsid w:val="00B40BAA"/>
    <w:rsid w:val="00B43DB8"/>
    <w:rsid w:val="00B475C0"/>
    <w:rsid w:val="00B52EB2"/>
    <w:rsid w:val="00B56116"/>
    <w:rsid w:val="00B66FBB"/>
    <w:rsid w:val="00B67EBD"/>
    <w:rsid w:val="00B74587"/>
    <w:rsid w:val="00B74D88"/>
    <w:rsid w:val="00B8295C"/>
    <w:rsid w:val="00B9463B"/>
    <w:rsid w:val="00BA22F9"/>
    <w:rsid w:val="00BA570F"/>
    <w:rsid w:val="00BA64BD"/>
    <w:rsid w:val="00BA7484"/>
    <w:rsid w:val="00BB01D8"/>
    <w:rsid w:val="00BB2704"/>
    <w:rsid w:val="00BC48CA"/>
    <w:rsid w:val="00BC4EBA"/>
    <w:rsid w:val="00BC5083"/>
    <w:rsid w:val="00BC7B6B"/>
    <w:rsid w:val="00BD12B0"/>
    <w:rsid w:val="00BE5BD9"/>
    <w:rsid w:val="00BF0D4C"/>
    <w:rsid w:val="00BF0E2C"/>
    <w:rsid w:val="00BF4AF1"/>
    <w:rsid w:val="00BF4C94"/>
    <w:rsid w:val="00BF703F"/>
    <w:rsid w:val="00C07099"/>
    <w:rsid w:val="00C112FE"/>
    <w:rsid w:val="00C13462"/>
    <w:rsid w:val="00C13883"/>
    <w:rsid w:val="00C16157"/>
    <w:rsid w:val="00C20EC7"/>
    <w:rsid w:val="00C21B7F"/>
    <w:rsid w:val="00C23320"/>
    <w:rsid w:val="00C2402A"/>
    <w:rsid w:val="00C27996"/>
    <w:rsid w:val="00C43036"/>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D4C6A"/>
    <w:rsid w:val="00CE21EA"/>
    <w:rsid w:val="00CE230C"/>
    <w:rsid w:val="00CE3518"/>
    <w:rsid w:val="00CF0876"/>
    <w:rsid w:val="00CF27DB"/>
    <w:rsid w:val="00D011C6"/>
    <w:rsid w:val="00D02477"/>
    <w:rsid w:val="00D02F5A"/>
    <w:rsid w:val="00D0355C"/>
    <w:rsid w:val="00D04D53"/>
    <w:rsid w:val="00D05720"/>
    <w:rsid w:val="00D10336"/>
    <w:rsid w:val="00D16FB8"/>
    <w:rsid w:val="00D215AE"/>
    <w:rsid w:val="00D27995"/>
    <w:rsid w:val="00D446D8"/>
    <w:rsid w:val="00D55AD9"/>
    <w:rsid w:val="00D561FB"/>
    <w:rsid w:val="00D6067E"/>
    <w:rsid w:val="00D617C5"/>
    <w:rsid w:val="00D6336B"/>
    <w:rsid w:val="00D750C6"/>
    <w:rsid w:val="00D76AF2"/>
    <w:rsid w:val="00D77FA1"/>
    <w:rsid w:val="00D804A1"/>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3F25"/>
    <w:rsid w:val="00E343D2"/>
    <w:rsid w:val="00E43D4C"/>
    <w:rsid w:val="00E45A7A"/>
    <w:rsid w:val="00E569E5"/>
    <w:rsid w:val="00E60BCB"/>
    <w:rsid w:val="00E61191"/>
    <w:rsid w:val="00E63248"/>
    <w:rsid w:val="00E634A1"/>
    <w:rsid w:val="00E674C9"/>
    <w:rsid w:val="00E67C34"/>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F0D80"/>
    <w:rsid w:val="00EF35D8"/>
    <w:rsid w:val="00EF5953"/>
    <w:rsid w:val="00F205F0"/>
    <w:rsid w:val="00F2126E"/>
    <w:rsid w:val="00F24827"/>
    <w:rsid w:val="00F321E7"/>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A31F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ouldb\AppData\Local\Microsoft\Windows\Temporary%20Internet%20Files\Content.Outlook\B1SPV85H\CarsJun15-PR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5473665791776031"/>
          <c:y val="6.1150391391691879E-2"/>
          <c:w val="0.71538742101681729"/>
          <c:h val="0.8076783617687977"/>
        </c:manualLayout>
      </c:layout>
      <c:lineChart>
        <c:grouping val="standard"/>
        <c:ser>
          <c:idx val="13"/>
          <c:order val="0"/>
          <c:tx>
            <c:strRef>
              <c:f>Sheet1!$D$2</c:f>
              <c:strCache>
                <c:ptCount val="1"/>
                <c:pt idx="0">
                  <c:v>Total cars (LH axis)</c:v>
                </c:pt>
              </c:strCache>
            </c:strRef>
          </c:tx>
          <c:spPr>
            <a:ln w="31750">
              <a:solidFill>
                <a:srgbClr val="0D2255"/>
              </a:solidFill>
              <a:prstDash val="solid"/>
            </a:ln>
          </c:spPr>
          <c:marker>
            <c:symbol val="none"/>
          </c:marker>
          <c:cat>
            <c:numRef>
              <c:f>Sheet1!$E$1:$CO$1</c:f>
              <c:numCache>
                <c:formatCode>mmm\-yy</c:formatCode>
                <c:ptCount val="89"/>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numCache>
            </c:numRef>
          </c:cat>
          <c:val>
            <c:numRef>
              <c:f>Sheet1!$E$2:$CO$2</c:f>
              <c:numCache>
                <c:formatCode>General</c:formatCode>
                <c:ptCount val="89"/>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numCache>
            </c:numRef>
          </c:val>
        </c:ser>
        <c:marker val="1"/>
        <c:axId val="33902592"/>
        <c:axId val="33904128"/>
      </c:lineChart>
      <c:lineChart>
        <c:grouping val="standard"/>
        <c:ser>
          <c:idx val="0"/>
          <c:order val="1"/>
          <c:tx>
            <c:strRef>
              <c:f>Sheet1!$D$3</c:f>
              <c:strCache>
                <c:ptCount val="1"/>
                <c:pt idx="0">
                  <c:v>For UK market (RH axis)</c:v>
                </c:pt>
              </c:strCache>
            </c:strRef>
          </c:tx>
          <c:spPr>
            <a:ln>
              <a:solidFill>
                <a:srgbClr val="1074CB"/>
              </a:solidFill>
              <a:prstDash val="solid"/>
            </a:ln>
          </c:spPr>
          <c:marker>
            <c:symbol val="none"/>
          </c:marker>
          <c:cat>
            <c:numRef>
              <c:f>Sheet1!$E$1:$CO$1</c:f>
              <c:numCache>
                <c:formatCode>mmm\-yy</c:formatCode>
                <c:ptCount val="89"/>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numCache>
            </c:numRef>
          </c:cat>
          <c:val>
            <c:numRef>
              <c:f>Sheet1!$E$3:$CO$3</c:f>
              <c:numCache>
                <c:formatCode>General</c:formatCode>
                <c:ptCount val="89"/>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numCache>
            </c:numRef>
          </c:val>
        </c:ser>
        <c:marker val="1"/>
        <c:axId val="33906688"/>
        <c:axId val="33908224"/>
      </c:lineChart>
      <c:dateAx>
        <c:axId val="33902592"/>
        <c:scaling>
          <c:orientation val="minMax"/>
          <c:max val="42156"/>
          <c:min val="39600"/>
        </c:scaling>
        <c:axPos val="b"/>
        <c:numFmt formatCode="mmm/yyyy" sourceLinked="0"/>
        <c:tickLblPos val="nextTo"/>
        <c:spPr>
          <a:ln w="3175">
            <a:solidFill>
              <a:srgbClr val="000000"/>
            </a:solidFill>
            <a:prstDash val="solid"/>
          </a:ln>
        </c:spPr>
        <c:txPr>
          <a:bodyPr rot="-1740000" vert="horz"/>
          <a:lstStyle/>
          <a:p>
            <a:pPr>
              <a:defRPr sz="800" b="0" i="1" u="none" strike="noStrike" baseline="0">
                <a:solidFill>
                  <a:srgbClr val="002060"/>
                </a:solidFill>
                <a:latin typeface="Arial"/>
                <a:ea typeface="Arial"/>
                <a:cs typeface="Arial"/>
              </a:defRPr>
            </a:pPr>
            <a:endParaRPr lang="en-US"/>
          </a:p>
        </c:txPr>
        <c:crossAx val="33904128"/>
        <c:crossesAt val="600000.00000000012"/>
        <c:auto val="1"/>
        <c:lblOffset val="100"/>
        <c:majorUnit val="12"/>
        <c:minorUnit val="1"/>
      </c:dateAx>
      <c:valAx>
        <c:axId val="33904128"/>
        <c:scaling>
          <c:orientation val="minMax"/>
          <c:min val="600000.00000000012"/>
        </c:scaling>
        <c:axPos val="l"/>
        <c:majorGridlines>
          <c:spPr>
            <a:ln w="3175">
              <a:solidFill>
                <a:schemeClr val="bg1">
                  <a:lumMod val="50000"/>
                </a:schemeClr>
              </a:solidFill>
              <a:prstDash val="solid"/>
            </a:ln>
          </c:spPr>
        </c:majorGridlines>
        <c:title>
          <c:tx>
            <c:rich>
              <a:bodyPr/>
              <a:lstStyle/>
              <a:p>
                <a:pPr>
                  <a:defRPr sz="800" b="1" i="1" u="none" strike="noStrike" baseline="0">
                    <a:solidFill>
                      <a:srgbClr val="002060"/>
                    </a:solidFill>
                    <a:latin typeface="Arial"/>
                    <a:ea typeface="Arial"/>
                    <a:cs typeface="Arial"/>
                  </a:defRPr>
                </a:pPr>
                <a:r>
                  <a:rPr lang="en-GB" sz="1050">
                    <a:solidFill>
                      <a:srgbClr val="002060"/>
                    </a:solidFill>
                  </a:rPr>
                  <a:t>Total car manufacturing</a:t>
                </a:r>
              </a:p>
            </c:rich>
          </c:tx>
          <c:layout>
            <c:manualLayout>
              <c:xMode val="edge"/>
              <c:yMode val="edge"/>
              <c:x val="1.6495849129969868E-2"/>
              <c:y val="0.23604929149252243"/>
            </c:manualLayout>
          </c:layout>
        </c:title>
        <c:numFmt formatCode="#,##0" sourceLinked="0"/>
        <c:tickLblPos val="nextTo"/>
        <c:spPr>
          <a:ln w="3175">
            <a:solidFill>
              <a:srgbClr val="000000"/>
            </a:solidFill>
            <a:prstDash val="solid"/>
          </a:ln>
        </c:spPr>
        <c:txPr>
          <a:bodyPr rot="0" vert="horz"/>
          <a:lstStyle/>
          <a:p>
            <a:pPr>
              <a:defRPr sz="1000" b="0" i="0" u="none" strike="noStrike" baseline="0">
                <a:solidFill>
                  <a:srgbClr val="002060"/>
                </a:solidFill>
                <a:latin typeface="Arial"/>
                <a:ea typeface="Arial"/>
                <a:cs typeface="Arial"/>
              </a:defRPr>
            </a:pPr>
            <a:endParaRPr lang="en-US"/>
          </a:p>
        </c:txPr>
        <c:crossAx val="33902592"/>
        <c:crosses val="autoZero"/>
        <c:crossBetween val="between"/>
      </c:valAx>
      <c:dateAx>
        <c:axId val="33906688"/>
        <c:scaling>
          <c:orientation val="minMax"/>
        </c:scaling>
        <c:delete val="1"/>
        <c:axPos val="b"/>
        <c:numFmt formatCode="mmm\-yy" sourceLinked="1"/>
        <c:tickLblPos val="none"/>
        <c:crossAx val="33908224"/>
        <c:crosses val="autoZero"/>
        <c:auto val="1"/>
        <c:lblOffset val="100"/>
      </c:dateAx>
      <c:valAx>
        <c:axId val="33908224"/>
        <c:scaling>
          <c:orientation val="minMax"/>
          <c:max val="400000"/>
          <c:min val="100000"/>
        </c:scaling>
        <c:axPos val="r"/>
        <c:title>
          <c:tx>
            <c:rich>
              <a:bodyPr rot="-5400000" vert="horz"/>
              <a:lstStyle/>
              <a:p>
                <a:pPr>
                  <a:defRPr>
                    <a:solidFill>
                      <a:srgbClr val="002060"/>
                    </a:solidFill>
                  </a:defRPr>
                </a:pPr>
                <a:r>
                  <a:rPr lang="en-GB" sz="1000" b="1">
                    <a:solidFill>
                      <a:srgbClr val="002060"/>
                    </a:solidFill>
                  </a:rPr>
                  <a:t>Car</a:t>
                </a:r>
                <a:r>
                  <a:rPr lang="en-GB" sz="1000" b="1" baseline="0">
                    <a:solidFill>
                      <a:srgbClr val="002060"/>
                    </a:solidFill>
                  </a:rPr>
                  <a:t> manufacturing for UK market</a:t>
                </a:r>
                <a:endParaRPr lang="en-GB" sz="1000" b="1">
                  <a:solidFill>
                    <a:srgbClr val="002060"/>
                  </a:solidFill>
                </a:endParaRPr>
              </a:p>
            </c:rich>
          </c:tx>
          <c:layout>
            <c:manualLayout>
              <c:xMode val="edge"/>
              <c:yMode val="edge"/>
              <c:x val="0.96411501895596374"/>
              <c:y val="0.17123698247396493"/>
            </c:manualLayout>
          </c:layout>
        </c:title>
        <c:numFmt formatCode="#,##0" sourceLinked="0"/>
        <c:tickLblPos val="nextTo"/>
        <c:txPr>
          <a:bodyPr rot="0" vert="horz"/>
          <a:lstStyle/>
          <a:p>
            <a:pPr>
              <a:defRPr sz="1000" b="0" i="0" u="none" strike="noStrike" baseline="0">
                <a:solidFill>
                  <a:srgbClr val="002060"/>
                </a:solidFill>
                <a:latin typeface="Arial"/>
                <a:ea typeface="Arial"/>
                <a:cs typeface="Arial"/>
              </a:defRPr>
            </a:pPr>
            <a:endParaRPr lang="en-US"/>
          </a:p>
        </c:txPr>
        <c:crossAx val="33906688"/>
        <c:crosses val="max"/>
        <c:crossBetween val="between"/>
      </c:valAx>
      <c:spPr>
        <a:noFill/>
        <a:ln w="12700">
          <a:solidFill>
            <a:schemeClr val="bg1">
              <a:lumMod val="50000"/>
            </a:schemeClr>
          </a:solidFill>
          <a:prstDash val="solid"/>
        </a:ln>
      </c:spPr>
    </c:plotArea>
    <c:legend>
      <c:legendPos val="r"/>
      <c:layout>
        <c:manualLayout>
          <c:xMode val="edge"/>
          <c:yMode val="edge"/>
          <c:x val="0.65004887722368065"/>
          <c:y val="0.5810897391491755"/>
          <c:w val="0.19404411331991572"/>
          <c:h val="0.20294517437519727"/>
        </c:manualLayout>
      </c:layout>
      <c:spPr>
        <a:noFill/>
        <a:ln w="3175">
          <a:noFill/>
          <a:prstDash val="solid"/>
        </a:ln>
      </c:spPr>
      <c:txPr>
        <a:bodyPr/>
        <a:lstStyle/>
        <a:p>
          <a:pPr>
            <a:defRPr sz="1000" b="0" i="1" u="none" strike="noStrike" baseline="0">
              <a:solidFill>
                <a:srgbClr val="0D2255"/>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0.131</cdr:x>
      <cdr:y>0.75748</cdr:y>
    </cdr:from>
    <cdr:to>
      <cdr:x>0.67863</cdr:x>
      <cdr:y>0.822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AF4FA-DF46-417D-A5AA-4AAFD6FE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6</cp:revision>
  <cp:lastPrinted>2015-07-21T09:05:00Z</cp:lastPrinted>
  <dcterms:created xsi:type="dcterms:W3CDTF">2015-07-21T09:12:00Z</dcterms:created>
  <dcterms:modified xsi:type="dcterms:W3CDTF">2015-07-21T16:25:00Z</dcterms:modified>
</cp:coreProperties>
</file>