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9524D1">
        <w:rPr>
          <w:rFonts w:ascii="Arial" w:eastAsiaTheme="minorEastAsia" w:hAnsi="Arial" w:cs="Arial"/>
          <w:b w:val="0"/>
          <w:bCs/>
          <w:color w:val="1074CB"/>
          <w:sz w:val="28"/>
          <w:szCs w:val="28"/>
        </w:rPr>
        <w:t xml:space="preserve">September </w:t>
      </w:r>
      <w:r>
        <w:rPr>
          <w:rFonts w:ascii="Arial" w:eastAsiaTheme="minorEastAsia" w:hAnsi="Arial" w:cs="Arial"/>
          <w:b w:val="0"/>
          <w:bCs/>
          <w:color w:val="1074CB"/>
          <w:sz w:val="28"/>
          <w:szCs w:val="28"/>
        </w:rPr>
        <w:t>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E67C34">
        <w:rPr>
          <w:rFonts w:ascii="Arial" w:eastAsiaTheme="minorEastAsia" w:hAnsi="Arial" w:cs="Arial"/>
          <w:b w:val="0"/>
          <w:bCs/>
          <w:color w:val="FF0000"/>
          <w:sz w:val="44"/>
          <w:szCs w:val="44"/>
        </w:rPr>
        <w:t>23</w:t>
      </w:r>
      <w:r w:rsidR="007D4EAB">
        <w:rPr>
          <w:rFonts w:ascii="Arial" w:eastAsiaTheme="minorEastAsia" w:hAnsi="Arial" w:cs="Arial"/>
          <w:b w:val="0"/>
          <w:bCs/>
          <w:color w:val="FF0000"/>
          <w:sz w:val="44"/>
          <w:szCs w:val="44"/>
        </w:rPr>
        <w:t xml:space="preserve"> </w:t>
      </w:r>
      <w:r w:rsidR="00E67C34">
        <w:rPr>
          <w:rFonts w:ascii="Arial" w:eastAsiaTheme="minorEastAsia" w:hAnsi="Arial" w:cs="Arial"/>
          <w:b w:val="0"/>
          <w:bCs/>
          <w:color w:val="FF0000"/>
          <w:sz w:val="44"/>
          <w:szCs w:val="44"/>
        </w:rPr>
        <w:t>Octo</w:t>
      </w:r>
      <w:r w:rsidR="007D4EAB">
        <w:rPr>
          <w:rFonts w:ascii="Arial" w:eastAsiaTheme="minorEastAsia" w:hAnsi="Arial" w:cs="Arial"/>
          <w:b w:val="0"/>
          <w:bCs/>
          <w:color w:val="FF0000"/>
          <w:sz w:val="44"/>
          <w:szCs w:val="44"/>
        </w:rPr>
        <w:t>ber</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79765E" w:rsidP="005E0768">
      <w:pPr>
        <w:tabs>
          <w:tab w:val="left" w:pos="889"/>
        </w:tabs>
        <w:rPr>
          <w:rFonts w:ascii="Arial" w:eastAsiaTheme="minorEastAsia" w:hAnsi="Arial" w:cs="Arial"/>
          <w:bCs/>
          <w:color w:val="1074CB"/>
          <w:sz w:val="20"/>
        </w:rPr>
      </w:pPr>
      <w:r>
        <w:rPr>
          <w:rFonts w:ascii="Arial" w:eastAsiaTheme="minorEastAsia" w:hAnsi="Arial" w:cs="Arial"/>
          <w:b/>
          <w:bCs/>
          <w:noProof/>
          <w:color w:val="1074CB"/>
          <w:sz w:val="20"/>
        </w:rPr>
        <mc:AlternateContent>
          <mc:Choice Requires="wps">
            <w:drawing>
              <wp:anchor distT="4294967293" distB="4294967293" distL="114300" distR="114300" simplePos="0" relativeHeight="251664384" behindDoc="0" locked="0" layoutInCell="1" allowOverlap="1">
                <wp:simplePos x="0" y="0"/>
                <wp:positionH relativeFrom="column">
                  <wp:posOffset>6985</wp:posOffset>
                </wp:positionH>
                <wp:positionV relativeFrom="paragraph">
                  <wp:posOffset>7619</wp:posOffset>
                </wp:positionV>
                <wp:extent cx="5861050" cy="0"/>
                <wp:effectExtent l="0" t="0" r="25400"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mc:Fallback>
        </mc:AlternateContent>
      </w:r>
      <w:r w:rsidR="00C80E70">
        <w:rPr>
          <w:rFonts w:ascii="Arial" w:eastAsiaTheme="minorEastAsia" w:hAnsi="Arial" w:cs="Arial"/>
          <w:bCs/>
          <w:color w:val="1074CB"/>
          <w:sz w:val="36"/>
          <w:szCs w:val="36"/>
        </w:rPr>
        <w:t xml:space="preserve"> </w:t>
      </w:r>
    </w:p>
    <w:p w:rsidR="008D4D5C" w:rsidRPr="00345B59" w:rsidRDefault="009524D1" w:rsidP="008D4D5C">
      <w:pPr>
        <w:pStyle w:val="Heading1"/>
        <w:ind w:left="0" w:right="425" w:firstLine="0"/>
      </w:pPr>
      <w:r>
        <w:rPr>
          <w:rFonts w:ascii="Arial" w:hAnsi="Arial" w:cs="Arial"/>
          <w:color w:val="1074CB"/>
          <w:sz w:val="36"/>
          <w:szCs w:val="36"/>
        </w:rPr>
        <w:t>First nine months mark six year car production high</w:t>
      </w:r>
    </w:p>
    <w:p w:rsidR="00DF5C28" w:rsidRPr="00DF5C28" w:rsidRDefault="008D4D5C" w:rsidP="008D4D5C">
      <w:pPr>
        <w:rPr>
          <w:rFonts w:ascii="Arial" w:hAnsi="Arial" w:cs="Arial"/>
          <w:sz w:val="20"/>
        </w:rPr>
      </w:pPr>
      <w:bookmarkStart w:id="0" w:name="_GoBack"/>
      <w:r>
        <w:rPr>
          <w:rFonts w:ascii="Arial" w:hAnsi="Arial" w:cs="Arial"/>
          <w:sz w:val="20"/>
        </w:rPr>
        <w:t> </w:t>
      </w:r>
    </w:p>
    <w:p w:rsidR="008D4D5C" w:rsidRDefault="00E67C34" w:rsidP="008D4D5C">
      <w:pPr>
        <w:pStyle w:val="ListParagraph"/>
        <w:numPr>
          <w:ilvl w:val="0"/>
          <w:numId w:val="6"/>
        </w:numPr>
        <w:spacing w:after="120"/>
        <w:contextualSpacing w:val="0"/>
      </w:pPr>
      <w:r>
        <w:rPr>
          <w:rFonts w:ascii="Arial" w:hAnsi="Arial" w:cs="Arial"/>
          <w:sz w:val="20"/>
        </w:rPr>
        <w:t>UK car manufacturing sees best year-to-date performance since 2008, producing 1,132,017 units – up 0.6%.</w:t>
      </w:r>
    </w:p>
    <w:p w:rsidR="008D4D5C" w:rsidRDefault="00E63248" w:rsidP="008D4D5C">
      <w:pPr>
        <w:pStyle w:val="ListParagraph"/>
        <w:numPr>
          <w:ilvl w:val="0"/>
          <w:numId w:val="6"/>
        </w:numPr>
        <w:spacing w:after="120"/>
        <w:contextualSpacing w:val="0"/>
      </w:pPr>
      <w:r>
        <w:rPr>
          <w:rFonts w:ascii="Arial" w:hAnsi="Arial" w:cs="Arial"/>
          <w:sz w:val="20"/>
        </w:rPr>
        <w:t>September output falls slightly to 137,068 units, down 2.8% due to planned re</w:t>
      </w:r>
      <w:r w:rsidR="00853B7F">
        <w:rPr>
          <w:rFonts w:ascii="Arial" w:hAnsi="Arial" w:cs="Arial"/>
          <w:sz w:val="20"/>
        </w:rPr>
        <w:t>-</w:t>
      </w:r>
      <w:r>
        <w:rPr>
          <w:rFonts w:ascii="Arial" w:hAnsi="Arial" w:cs="Arial"/>
          <w:sz w:val="20"/>
        </w:rPr>
        <w:t xml:space="preserve">tooling </w:t>
      </w:r>
      <w:r w:rsidR="0086619E">
        <w:rPr>
          <w:rFonts w:ascii="Arial" w:hAnsi="Arial" w:cs="Arial"/>
          <w:sz w:val="20"/>
        </w:rPr>
        <w:t>for model changes</w:t>
      </w:r>
      <w:r>
        <w:rPr>
          <w:rFonts w:ascii="Arial" w:hAnsi="Arial" w:cs="Arial"/>
          <w:sz w:val="20"/>
        </w:rPr>
        <w:t>.</w:t>
      </w:r>
    </w:p>
    <w:p w:rsidR="008D4D5C" w:rsidRPr="00345B59" w:rsidRDefault="00345B59" w:rsidP="008D4D5C">
      <w:pPr>
        <w:pStyle w:val="ListParagraph"/>
        <w:numPr>
          <w:ilvl w:val="0"/>
          <w:numId w:val="6"/>
        </w:numPr>
        <w:spacing w:after="120"/>
        <w:contextualSpacing w:val="0"/>
      </w:pPr>
      <w:r>
        <w:rPr>
          <w:rFonts w:ascii="Arial" w:hAnsi="Arial" w:cs="Arial"/>
          <w:sz w:val="20"/>
        </w:rPr>
        <w:t>Production for home market up 17.7% in September as</w:t>
      </w:r>
      <w:r w:rsidR="00CE21EA">
        <w:rPr>
          <w:rFonts w:ascii="Arial" w:hAnsi="Arial" w:cs="Arial"/>
          <w:sz w:val="20"/>
        </w:rPr>
        <w:t xml:space="preserve"> UK</w:t>
      </w:r>
      <w:r>
        <w:rPr>
          <w:rFonts w:ascii="Arial" w:hAnsi="Arial" w:cs="Arial"/>
          <w:sz w:val="20"/>
        </w:rPr>
        <w:t xml:space="preserve"> new car market continues to thrive.</w:t>
      </w:r>
    </w:p>
    <w:p w:rsidR="008D4D5C" w:rsidRDefault="008D4D5C" w:rsidP="008D4D5C">
      <w:r>
        <w:rPr>
          <w:rFonts w:ascii="Arial" w:hAnsi="Arial" w:cs="Arial"/>
          <w:sz w:val="16"/>
          <w:szCs w:val="16"/>
        </w:rPr>
        <w:t> </w:t>
      </w:r>
    </w:p>
    <w:p w:rsidR="008D4D5C" w:rsidRDefault="008D4D5C" w:rsidP="008D4D5C">
      <w:pPr>
        <w:spacing w:line="276" w:lineRule="auto"/>
      </w:pPr>
      <w:r>
        <w:rPr>
          <w:rFonts w:ascii="Arial" w:hAnsi="Arial" w:cs="Arial"/>
          <w:sz w:val="20"/>
        </w:rPr>
        <w:t>"</w:t>
      </w:r>
      <w:r w:rsidR="00E63248">
        <w:rPr>
          <w:rFonts w:ascii="Arial" w:hAnsi="Arial" w:cs="Arial"/>
          <w:sz w:val="20"/>
        </w:rPr>
        <w:t xml:space="preserve">It is testament to the strength of the automotive industry that it continues to break records – yielding the best year-to-date performance for </w:t>
      </w:r>
      <w:r w:rsidR="0079765E">
        <w:rPr>
          <w:rFonts w:ascii="Arial" w:hAnsi="Arial" w:cs="Arial"/>
          <w:sz w:val="20"/>
        </w:rPr>
        <w:t>six</w:t>
      </w:r>
      <w:r w:rsidR="00E63248">
        <w:rPr>
          <w:rFonts w:ascii="Arial" w:hAnsi="Arial" w:cs="Arial"/>
          <w:sz w:val="20"/>
        </w:rPr>
        <w:t xml:space="preserve"> years and </w:t>
      </w:r>
      <w:r w:rsidR="00170111">
        <w:rPr>
          <w:rFonts w:ascii="Arial" w:hAnsi="Arial" w:cs="Arial"/>
          <w:sz w:val="20"/>
        </w:rPr>
        <w:t>comfortably surpassing one million units</w:t>
      </w:r>
      <w:r>
        <w:rPr>
          <w:rFonts w:ascii="Arial" w:hAnsi="Arial" w:cs="Arial"/>
          <w:sz w:val="20"/>
        </w:rPr>
        <w:t>," said Mik</w:t>
      </w:r>
      <w:r w:rsidR="00170111">
        <w:rPr>
          <w:rFonts w:ascii="Arial" w:hAnsi="Arial" w:cs="Arial"/>
          <w:sz w:val="20"/>
        </w:rPr>
        <w:t>e Hawes, SMMT Chief Executive. "</w:t>
      </w:r>
      <w:r w:rsidR="0086619E">
        <w:rPr>
          <w:rFonts w:ascii="Arial" w:hAnsi="Arial" w:cs="Arial"/>
          <w:sz w:val="20"/>
        </w:rPr>
        <w:t>The continued investment by the sector into new models means the September figures took a slight dip as some plants underwent re</w:t>
      </w:r>
      <w:r w:rsidR="00853B7F">
        <w:rPr>
          <w:rFonts w:ascii="Arial" w:hAnsi="Arial" w:cs="Arial"/>
          <w:sz w:val="20"/>
        </w:rPr>
        <w:t>-</w:t>
      </w:r>
      <w:r w:rsidR="0086619E">
        <w:rPr>
          <w:rFonts w:ascii="Arial" w:hAnsi="Arial" w:cs="Arial"/>
          <w:sz w:val="20"/>
        </w:rPr>
        <w:t>tooling but it is these same new models which will help increase production volumes in the future</w:t>
      </w:r>
      <w:r w:rsidR="00157C8D">
        <w:rPr>
          <w:rFonts w:ascii="Arial" w:hAnsi="Arial" w:cs="Arial"/>
          <w:sz w:val="20"/>
        </w:rPr>
        <w:t>.</w:t>
      </w:r>
      <w:r>
        <w:rPr>
          <w:rFonts w:ascii="Arial" w:hAnsi="Arial" w:cs="Arial"/>
          <w:sz w:val="20"/>
        </w:rPr>
        <w:t>"</w:t>
      </w:r>
    </w:p>
    <w:bookmarkEnd w:id="0"/>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firstRow="1" w:lastRow="0" w:firstColumn="1" w:lastColumn="0" w:noHBand="0" w:noVBand="1"/>
      </w:tblPr>
      <w:tblGrid>
        <w:gridCol w:w="2140"/>
        <w:gridCol w:w="1059"/>
        <w:gridCol w:w="939"/>
        <w:gridCol w:w="1262"/>
        <w:gridCol w:w="1276"/>
        <w:gridCol w:w="1275"/>
        <w:gridCol w:w="1276"/>
      </w:tblGrid>
      <w:tr w:rsidR="009524D1" w:rsidRPr="009524D1" w:rsidTr="00345B59">
        <w:trPr>
          <w:trHeight w:val="270"/>
        </w:trPr>
        <w:tc>
          <w:tcPr>
            <w:tcW w:w="2140" w:type="dxa"/>
            <w:shd w:val="clear" w:color="auto" w:fill="auto"/>
            <w:noWrap/>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 xml:space="preserve"> Car manufacturing</w:t>
            </w:r>
          </w:p>
        </w:tc>
        <w:tc>
          <w:tcPr>
            <w:tcW w:w="1059" w:type="dxa"/>
            <w:shd w:val="clear" w:color="auto" w:fill="auto"/>
            <w:noWrap/>
            <w:vAlign w:val="bottom"/>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Sep-13</w:t>
            </w:r>
          </w:p>
        </w:tc>
        <w:tc>
          <w:tcPr>
            <w:tcW w:w="939" w:type="dxa"/>
            <w:shd w:val="clear" w:color="auto" w:fill="auto"/>
            <w:noWrap/>
            <w:vAlign w:val="bottom"/>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Sep-14</w:t>
            </w:r>
          </w:p>
        </w:tc>
        <w:tc>
          <w:tcPr>
            <w:tcW w:w="1262" w:type="dxa"/>
            <w:shd w:val="clear" w:color="auto" w:fill="auto"/>
            <w:noWrap/>
            <w:vAlign w:val="bottom"/>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 xml:space="preserve">% Change </w:t>
            </w:r>
          </w:p>
        </w:tc>
        <w:tc>
          <w:tcPr>
            <w:tcW w:w="1276" w:type="dxa"/>
            <w:shd w:val="clear" w:color="auto" w:fill="auto"/>
            <w:noWrap/>
            <w:vAlign w:val="bottom"/>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YTD-13</w:t>
            </w:r>
          </w:p>
        </w:tc>
        <w:tc>
          <w:tcPr>
            <w:tcW w:w="1275" w:type="dxa"/>
            <w:shd w:val="clear" w:color="auto" w:fill="auto"/>
            <w:noWrap/>
            <w:vAlign w:val="bottom"/>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YTD-14</w:t>
            </w:r>
          </w:p>
        </w:tc>
        <w:tc>
          <w:tcPr>
            <w:tcW w:w="1276" w:type="dxa"/>
            <w:shd w:val="clear" w:color="auto" w:fill="auto"/>
            <w:noWrap/>
            <w:vAlign w:val="bottom"/>
            <w:hideMark/>
          </w:tcPr>
          <w:p w:rsidR="00345B59" w:rsidRPr="009524D1" w:rsidRDefault="00345B59" w:rsidP="00345B59">
            <w:pPr>
              <w:jc w:val="right"/>
              <w:rPr>
                <w:rFonts w:ascii="Arial" w:hAnsi="Arial" w:cs="Arial"/>
                <w:b/>
                <w:color w:val="002060"/>
                <w:sz w:val="20"/>
              </w:rPr>
            </w:pPr>
            <w:r w:rsidRPr="009524D1">
              <w:rPr>
                <w:rFonts w:ascii="Arial" w:hAnsi="Arial" w:cs="Arial"/>
                <w:b/>
                <w:color w:val="002060"/>
                <w:sz w:val="20"/>
              </w:rPr>
              <w:t>% Change</w:t>
            </w:r>
          </w:p>
        </w:tc>
      </w:tr>
      <w:tr w:rsidR="009524D1" w:rsidRPr="009524D1" w:rsidTr="00345B59">
        <w:trPr>
          <w:trHeight w:val="270"/>
        </w:trPr>
        <w:tc>
          <w:tcPr>
            <w:tcW w:w="2140"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Total</w:t>
            </w:r>
          </w:p>
        </w:tc>
        <w:tc>
          <w:tcPr>
            <w:tcW w:w="1059"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141,056</w:t>
            </w:r>
          </w:p>
        </w:tc>
        <w:tc>
          <w:tcPr>
            <w:tcW w:w="939"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137,068</w:t>
            </w:r>
          </w:p>
        </w:tc>
        <w:tc>
          <w:tcPr>
            <w:tcW w:w="1262"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-2.8%</w:t>
            </w:r>
          </w:p>
        </w:tc>
        <w:tc>
          <w:tcPr>
            <w:tcW w:w="1276"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1,125,674</w:t>
            </w:r>
          </w:p>
        </w:tc>
        <w:tc>
          <w:tcPr>
            <w:tcW w:w="1275"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1,132,017</w:t>
            </w:r>
          </w:p>
        </w:tc>
        <w:tc>
          <w:tcPr>
            <w:tcW w:w="1276" w:type="dxa"/>
            <w:shd w:val="clear" w:color="auto" w:fill="auto"/>
            <w:noWrap/>
            <w:vAlign w:val="bottom"/>
            <w:hideMark/>
          </w:tcPr>
          <w:p w:rsidR="00345B59" w:rsidRPr="009524D1" w:rsidRDefault="00345B59">
            <w:pPr>
              <w:jc w:val="right"/>
              <w:rPr>
                <w:rFonts w:ascii="Arial" w:hAnsi="Arial" w:cs="Arial"/>
                <w:b/>
                <w:color w:val="002060"/>
                <w:sz w:val="20"/>
              </w:rPr>
            </w:pPr>
            <w:r w:rsidRPr="009524D1">
              <w:rPr>
                <w:rFonts w:ascii="Arial" w:hAnsi="Arial" w:cs="Arial"/>
                <w:b/>
                <w:color w:val="002060"/>
                <w:sz w:val="20"/>
              </w:rPr>
              <w:t>0.6%</w:t>
            </w:r>
          </w:p>
        </w:tc>
      </w:tr>
      <w:tr w:rsidR="009524D1" w:rsidRPr="009524D1" w:rsidTr="00345B59">
        <w:trPr>
          <w:trHeight w:val="270"/>
        </w:trPr>
        <w:tc>
          <w:tcPr>
            <w:tcW w:w="2140"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Home</w:t>
            </w:r>
          </w:p>
        </w:tc>
        <w:tc>
          <w:tcPr>
            <w:tcW w:w="1059"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28,996</w:t>
            </w:r>
          </w:p>
        </w:tc>
        <w:tc>
          <w:tcPr>
            <w:tcW w:w="939"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34,121</w:t>
            </w:r>
          </w:p>
        </w:tc>
        <w:tc>
          <w:tcPr>
            <w:tcW w:w="1262"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17.7%</w:t>
            </w:r>
          </w:p>
        </w:tc>
        <w:tc>
          <w:tcPr>
            <w:tcW w:w="1276"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240,943</w:t>
            </w:r>
          </w:p>
        </w:tc>
        <w:tc>
          <w:tcPr>
            <w:tcW w:w="1275"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247,893</w:t>
            </w:r>
          </w:p>
        </w:tc>
        <w:tc>
          <w:tcPr>
            <w:tcW w:w="1276"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2.9%</w:t>
            </w:r>
          </w:p>
        </w:tc>
      </w:tr>
      <w:tr w:rsidR="009524D1" w:rsidRPr="009524D1" w:rsidTr="00345B59">
        <w:trPr>
          <w:trHeight w:val="270"/>
        </w:trPr>
        <w:tc>
          <w:tcPr>
            <w:tcW w:w="2140"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Export</w:t>
            </w:r>
          </w:p>
        </w:tc>
        <w:tc>
          <w:tcPr>
            <w:tcW w:w="1059"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112,060</w:t>
            </w:r>
          </w:p>
        </w:tc>
        <w:tc>
          <w:tcPr>
            <w:tcW w:w="939"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102,947</w:t>
            </w:r>
          </w:p>
        </w:tc>
        <w:tc>
          <w:tcPr>
            <w:tcW w:w="1262"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-8.1%</w:t>
            </w:r>
          </w:p>
        </w:tc>
        <w:tc>
          <w:tcPr>
            <w:tcW w:w="1276"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884,731</w:t>
            </w:r>
          </w:p>
        </w:tc>
        <w:tc>
          <w:tcPr>
            <w:tcW w:w="1275"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884,124</w:t>
            </w:r>
          </w:p>
        </w:tc>
        <w:tc>
          <w:tcPr>
            <w:tcW w:w="1276"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-0.1%</w:t>
            </w:r>
          </w:p>
        </w:tc>
      </w:tr>
      <w:tr w:rsidR="009524D1" w:rsidRPr="009524D1" w:rsidTr="00345B59">
        <w:trPr>
          <w:trHeight w:val="270"/>
        </w:trPr>
        <w:tc>
          <w:tcPr>
            <w:tcW w:w="2140"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 export</w:t>
            </w:r>
          </w:p>
        </w:tc>
        <w:tc>
          <w:tcPr>
            <w:tcW w:w="1059"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79.4%</w:t>
            </w:r>
          </w:p>
        </w:tc>
        <w:tc>
          <w:tcPr>
            <w:tcW w:w="939"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75.1%</w:t>
            </w:r>
          </w:p>
        </w:tc>
        <w:tc>
          <w:tcPr>
            <w:tcW w:w="1262"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 </w:t>
            </w:r>
          </w:p>
        </w:tc>
        <w:tc>
          <w:tcPr>
            <w:tcW w:w="1276"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78.6%</w:t>
            </w:r>
          </w:p>
        </w:tc>
        <w:tc>
          <w:tcPr>
            <w:tcW w:w="1275"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78.1%</w:t>
            </w:r>
          </w:p>
        </w:tc>
        <w:tc>
          <w:tcPr>
            <w:tcW w:w="1276" w:type="dxa"/>
            <w:shd w:val="clear" w:color="auto" w:fill="auto"/>
            <w:noWrap/>
            <w:vAlign w:val="bottom"/>
            <w:hideMark/>
          </w:tcPr>
          <w:p w:rsidR="00345B59" w:rsidRPr="009524D1" w:rsidRDefault="00345B59">
            <w:pPr>
              <w:jc w:val="right"/>
              <w:rPr>
                <w:rFonts w:ascii="Arial" w:hAnsi="Arial" w:cs="Arial"/>
                <w:color w:val="002060"/>
                <w:sz w:val="20"/>
              </w:rPr>
            </w:pPr>
            <w:r w:rsidRPr="009524D1">
              <w:rPr>
                <w:rFonts w:ascii="Arial" w:hAnsi="Arial" w:cs="Arial"/>
                <w:color w:val="002060"/>
                <w:sz w:val="20"/>
              </w:rPr>
              <w:t> </w:t>
            </w:r>
          </w:p>
        </w:tc>
      </w:tr>
    </w:tbl>
    <w:p w:rsidR="00585DB0" w:rsidRPr="009524D1" w:rsidRDefault="00585DB0" w:rsidP="009F47F6">
      <w:pPr>
        <w:keepNext/>
        <w:rPr>
          <w:rFonts w:ascii="Arial" w:hAnsi="Arial" w:cs="Arial"/>
          <w:b/>
          <w:color w:val="1F497D" w:themeColor="text2"/>
          <w:sz w:val="20"/>
        </w:rPr>
      </w:pPr>
      <w:r w:rsidRPr="009524D1">
        <w:rPr>
          <w:rFonts w:ascii="Arial" w:hAnsi="Arial" w:cs="Arial"/>
          <w:b/>
          <w:color w:val="1F497D" w:themeColor="text2"/>
          <w:sz w:val="20"/>
        </w:rPr>
        <w:tab/>
      </w:r>
      <w:r w:rsidR="0028787F" w:rsidRPr="009524D1">
        <w:rPr>
          <w:rFonts w:ascii="Arial" w:hAnsi="Arial" w:cs="Arial"/>
          <w:b/>
          <w:color w:val="1F497D" w:themeColor="text2"/>
          <w:sz w:val="20"/>
        </w:rPr>
        <w:t xml:space="preserve">      </w:t>
      </w:r>
    </w:p>
    <w:p w:rsidR="009F47F6" w:rsidRDefault="009F47F6" w:rsidP="001A77A6">
      <w:pPr>
        <w:tabs>
          <w:tab w:val="right" w:pos="9332"/>
        </w:tabs>
        <w:rPr>
          <w:rFonts w:ascii="Arial" w:hAnsi="Arial" w:cs="Arial"/>
          <w:b/>
          <w:color w:val="0D2255"/>
          <w:sz w:val="20"/>
        </w:rPr>
      </w:pPr>
      <w:r>
        <w:rPr>
          <w:rFonts w:ascii="Arial" w:hAnsi="Arial" w:cs="Arial"/>
          <w:b/>
          <w:color w:val="0D2255"/>
          <w:sz w:val="20"/>
        </w:rPr>
        <w:t xml:space="preserve">        Car output rolling year total                                        </w:t>
      </w:r>
      <w:r w:rsidR="000109D8">
        <w:rPr>
          <w:rFonts w:ascii="Arial" w:hAnsi="Arial" w:cs="Arial"/>
          <w:b/>
          <w:color w:val="0D2255"/>
          <w:sz w:val="20"/>
        </w:rPr>
        <w:t xml:space="preserve">                </w:t>
      </w:r>
      <w:r>
        <w:rPr>
          <w:rFonts w:ascii="Arial" w:hAnsi="Arial" w:cs="Arial"/>
          <w:b/>
          <w:color w:val="0D2255"/>
          <w:sz w:val="20"/>
        </w:rPr>
        <w:t>Car output, year-to-date</w:t>
      </w:r>
    </w:p>
    <w:p w:rsidR="009F47F6" w:rsidRDefault="000109D8" w:rsidP="001A77A6">
      <w:pPr>
        <w:tabs>
          <w:tab w:val="right" w:pos="9332"/>
        </w:tabs>
        <w:rPr>
          <w:rFonts w:ascii="Arial" w:hAnsi="Arial" w:cs="Arial"/>
          <w:sz w:val="16"/>
          <w:szCs w:val="16"/>
        </w:rPr>
      </w:pPr>
      <w:r>
        <w:rPr>
          <w:noProof/>
        </w:rPr>
        <w:drawing>
          <wp:inline distT="0" distB="0" distL="0" distR="0">
            <wp:extent cx="2533650" cy="24860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109D8">
        <w:rPr>
          <w:noProof/>
        </w:rPr>
        <w:t xml:space="preserve"> </w:t>
      </w:r>
      <w:r w:rsidR="00DB4704">
        <w:rPr>
          <w:noProof/>
        </w:rPr>
        <w:t xml:space="preserve">               </w:t>
      </w:r>
      <w:r>
        <w:rPr>
          <w:noProof/>
        </w:rPr>
        <w:drawing>
          <wp:inline distT="0" distB="0" distL="0" distR="0">
            <wp:extent cx="2781300" cy="2286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F47F6" w:rsidSect="00F72297">
      <w:headerReference w:type="default" r:id="rId11"/>
      <w:footerReference w:type="default" r:id="rId12"/>
      <w:pgSz w:w="11906" w:h="16838"/>
      <w:pgMar w:top="1440" w:right="1134"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68" w:rsidRDefault="009E6768" w:rsidP="00C80E70">
      <w:r>
        <w:separator/>
      </w:r>
    </w:p>
  </w:endnote>
  <w:endnote w:type="continuationSeparator" w:id="0">
    <w:p w:rsidR="009E6768" w:rsidRDefault="009E6768"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DA" w:rsidRPr="00853E71" w:rsidRDefault="006B47DA"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B47DA" w:rsidRPr="00853E71" w:rsidRDefault="006B47DA"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B47DA" w:rsidRPr="00853E71" w:rsidRDefault="006B47DA" w:rsidP="00853E71">
    <w:pPr>
      <w:spacing w:afterAutospacing="1"/>
      <w:contextualSpacing/>
      <w:rPr>
        <w:rFonts w:ascii="Arial" w:eastAsia="Times New Roman" w:hAnsi="Arial" w:cs="Arial"/>
        <w:color w:val="1074CB"/>
        <w:sz w:val="16"/>
        <w:szCs w:val="16"/>
      </w:rPr>
    </w:pPr>
  </w:p>
  <w:p w:rsidR="006B47DA" w:rsidRPr="00853E71" w:rsidRDefault="006B47DA"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B47DA" w:rsidRPr="00853E71" w:rsidRDefault="006B47DA" w:rsidP="00853E71">
    <w:pPr>
      <w:spacing w:afterAutospacing="1"/>
      <w:contextualSpacing/>
      <w:rPr>
        <w:rFonts w:ascii="Arial" w:eastAsia="Times New Roman" w:hAnsi="Arial" w:cs="Arial"/>
        <w:color w:val="1074CB"/>
        <w:sz w:val="16"/>
        <w:szCs w:val="16"/>
      </w:rPr>
    </w:pPr>
  </w:p>
  <w:p w:rsidR="006B47DA" w:rsidRPr="00853E71" w:rsidRDefault="006B47DA"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B47DA" w:rsidRPr="00853E71" w:rsidRDefault="006B47DA" w:rsidP="00853E71">
    <w:pPr>
      <w:spacing w:afterAutospacing="1"/>
      <w:contextualSpacing/>
      <w:rPr>
        <w:rFonts w:ascii="Arial" w:eastAsia="Times New Roman" w:hAnsi="Arial" w:cs="Arial"/>
        <w:color w:val="1074CB"/>
        <w:sz w:val="16"/>
        <w:szCs w:val="16"/>
      </w:rPr>
    </w:pPr>
  </w:p>
  <w:p w:rsidR="006B47DA" w:rsidRPr="00853E71" w:rsidRDefault="006B47DA"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B47DA" w:rsidRPr="00853E71" w:rsidRDefault="006B47DA"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6B47DA" w:rsidRDefault="006B47DA" w:rsidP="00006B7F">
    <w:pPr>
      <w:rPr>
        <w:rStyle w:val="Hyperlink"/>
        <w:rFonts w:ascii="Arial" w:eastAsia="Times New Roman" w:hAnsi="Arial" w:cs="Arial"/>
        <w:sz w:val="16"/>
        <w:szCs w:val="16"/>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9524D1" w:rsidRPr="00006B7F" w:rsidRDefault="009524D1" w:rsidP="009524D1">
    <w:pPr>
      <w:rPr>
        <w:rFonts w:eastAsia="Times New Roman" w:cs="Times"/>
        <w:szCs w:val="24"/>
      </w:rPr>
    </w:pPr>
    <w:r>
      <w:rPr>
        <w:rFonts w:ascii="Arial" w:eastAsia="Times New Roman" w:hAnsi="Arial" w:cs="Arial"/>
        <w:color w:val="1074CB"/>
        <w:sz w:val="16"/>
        <w:szCs w:val="16"/>
      </w:rPr>
      <w:t>Lucy Bielby</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020 7344 1610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000C0CE4" w:rsidRPr="00A02EFD">
        <w:rPr>
          <w:rStyle w:val="Hyperlink"/>
          <w:rFonts w:ascii="Arial" w:eastAsia="Times New Roman" w:hAnsi="Arial" w:cs="Arial"/>
          <w:sz w:val="16"/>
          <w:szCs w:val="16"/>
        </w:rPr>
        <w:t>lbielby@smmt.co.uk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68" w:rsidRDefault="009E6768" w:rsidP="00C80E70">
      <w:r>
        <w:separator/>
      </w:r>
    </w:p>
  </w:footnote>
  <w:footnote w:type="continuationSeparator" w:id="0">
    <w:p w:rsidR="009E6768" w:rsidRDefault="009E6768"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DA" w:rsidRDefault="006B47D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2F84"/>
    <w:rsid w:val="00006B7F"/>
    <w:rsid w:val="000109D8"/>
    <w:rsid w:val="00031DB4"/>
    <w:rsid w:val="00046A50"/>
    <w:rsid w:val="00066F55"/>
    <w:rsid w:val="000A4DE9"/>
    <w:rsid w:val="000A5DC2"/>
    <w:rsid w:val="000B47D6"/>
    <w:rsid w:val="000C0CE4"/>
    <w:rsid w:val="000D1505"/>
    <w:rsid w:val="00102817"/>
    <w:rsid w:val="00107861"/>
    <w:rsid w:val="00111C19"/>
    <w:rsid w:val="00116498"/>
    <w:rsid w:val="00116666"/>
    <w:rsid w:val="00133B87"/>
    <w:rsid w:val="00143CC9"/>
    <w:rsid w:val="00153740"/>
    <w:rsid w:val="00156CB8"/>
    <w:rsid w:val="00157C8D"/>
    <w:rsid w:val="00161C0A"/>
    <w:rsid w:val="00166121"/>
    <w:rsid w:val="00170111"/>
    <w:rsid w:val="001737CD"/>
    <w:rsid w:val="001854E1"/>
    <w:rsid w:val="00192CE4"/>
    <w:rsid w:val="00192FBC"/>
    <w:rsid w:val="001A67B5"/>
    <w:rsid w:val="001A77A6"/>
    <w:rsid w:val="001B1AA6"/>
    <w:rsid w:val="001C171F"/>
    <w:rsid w:val="001C389E"/>
    <w:rsid w:val="001D6CB9"/>
    <w:rsid w:val="001D7212"/>
    <w:rsid w:val="001E33CE"/>
    <w:rsid w:val="001E7E3E"/>
    <w:rsid w:val="001F7740"/>
    <w:rsid w:val="00200F65"/>
    <w:rsid w:val="0020649D"/>
    <w:rsid w:val="002161F4"/>
    <w:rsid w:val="00224DDD"/>
    <w:rsid w:val="00226D70"/>
    <w:rsid w:val="0025075E"/>
    <w:rsid w:val="00252DCB"/>
    <w:rsid w:val="00264687"/>
    <w:rsid w:val="00266A9A"/>
    <w:rsid w:val="00286B24"/>
    <w:rsid w:val="0028787F"/>
    <w:rsid w:val="002933CF"/>
    <w:rsid w:val="002A5934"/>
    <w:rsid w:val="002B3FAF"/>
    <w:rsid w:val="002B4F7D"/>
    <w:rsid w:val="002C7321"/>
    <w:rsid w:val="002D0197"/>
    <w:rsid w:val="002E4A51"/>
    <w:rsid w:val="002E5457"/>
    <w:rsid w:val="002F673C"/>
    <w:rsid w:val="003050BA"/>
    <w:rsid w:val="00345B59"/>
    <w:rsid w:val="003552CF"/>
    <w:rsid w:val="00356443"/>
    <w:rsid w:val="00375DF8"/>
    <w:rsid w:val="00377406"/>
    <w:rsid w:val="003A01D6"/>
    <w:rsid w:val="003A645F"/>
    <w:rsid w:val="003B1C39"/>
    <w:rsid w:val="003C684D"/>
    <w:rsid w:val="003D08D1"/>
    <w:rsid w:val="003D5FBD"/>
    <w:rsid w:val="003D6FB9"/>
    <w:rsid w:val="003E423F"/>
    <w:rsid w:val="003E53DB"/>
    <w:rsid w:val="003E69D3"/>
    <w:rsid w:val="004002C5"/>
    <w:rsid w:val="00410539"/>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B33EF"/>
    <w:rsid w:val="005B536B"/>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6576"/>
    <w:rsid w:val="006B47DA"/>
    <w:rsid w:val="006B4C72"/>
    <w:rsid w:val="006B5968"/>
    <w:rsid w:val="006B5D2C"/>
    <w:rsid w:val="006B65B6"/>
    <w:rsid w:val="006B7F8A"/>
    <w:rsid w:val="006D458E"/>
    <w:rsid w:val="006D538E"/>
    <w:rsid w:val="006E2AC9"/>
    <w:rsid w:val="006E4BD9"/>
    <w:rsid w:val="006E534D"/>
    <w:rsid w:val="006E5BF9"/>
    <w:rsid w:val="00707D9A"/>
    <w:rsid w:val="00714EF7"/>
    <w:rsid w:val="0073709A"/>
    <w:rsid w:val="00742FA5"/>
    <w:rsid w:val="007433FE"/>
    <w:rsid w:val="00761183"/>
    <w:rsid w:val="007679BE"/>
    <w:rsid w:val="0077274C"/>
    <w:rsid w:val="007736AF"/>
    <w:rsid w:val="00777E82"/>
    <w:rsid w:val="00783D6D"/>
    <w:rsid w:val="007851A1"/>
    <w:rsid w:val="00787B6E"/>
    <w:rsid w:val="00791C3D"/>
    <w:rsid w:val="007951F0"/>
    <w:rsid w:val="0079765E"/>
    <w:rsid w:val="007A0020"/>
    <w:rsid w:val="007A3F55"/>
    <w:rsid w:val="007A7B05"/>
    <w:rsid w:val="007B7669"/>
    <w:rsid w:val="007D2D63"/>
    <w:rsid w:val="007D31B3"/>
    <w:rsid w:val="007D4EAB"/>
    <w:rsid w:val="007F10B4"/>
    <w:rsid w:val="007F73B4"/>
    <w:rsid w:val="008030A3"/>
    <w:rsid w:val="00804C47"/>
    <w:rsid w:val="00806662"/>
    <w:rsid w:val="00806C8E"/>
    <w:rsid w:val="008152E4"/>
    <w:rsid w:val="00835F96"/>
    <w:rsid w:val="008372BE"/>
    <w:rsid w:val="00853B7F"/>
    <w:rsid w:val="00853E71"/>
    <w:rsid w:val="00856BDA"/>
    <w:rsid w:val="00861E9C"/>
    <w:rsid w:val="0086619E"/>
    <w:rsid w:val="00866A2F"/>
    <w:rsid w:val="008716AA"/>
    <w:rsid w:val="00871FF2"/>
    <w:rsid w:val="00875A4A"/>
    <w:rsid w:val="008B04AD"/>
    <w:rsid w:val="008B287D"/>
    <w:rsid w:val="008B39A0"/>
    <w:rsid w:val="008B46EA"/>
    <w:rsid w:val="008B50CB"/>
    <w:rsid w:val="008B5B80"/>
    <w:rsid w:val="008C49F7"/>
    <w:rsid w:val="008D4D5C"/>
    <w:rsid w:val="008E4462"/>
    <w:rsid w:val="008E7A24"/>
    <w:rsid w:val="008F126A"/>
    <w:rsid w:val="008F17E6"/>
    <w:rsid w:val="008F40B8"/>
    <w:rsid w:val="008F4D92"/>
    <w:rsid w:val="008F55A4"/>
    <w:rsid w:val="0091033F"/>
    <w:rsid w:val="00924274"/>
    <w:rsid w:val="00931C26"/>
    <w:rsid w:val="009524D1"/>
    <w:rsid w:val="009529B3"/>
    <w:rsid w:val="00957143"/>
    <w:rsid w:val="00963663"/>
    <w:rsid w:val="00964455"/>
    <w:rsid w:val="0097483C"/>
    <w:rsid w:val="00981DD8"/>
    <w:rsid w:val="00983575"/>
    <w:rsid w:val="009B01D2"/>
    <w:rsid w:val="009C2F5C"/>
    <w:rsid w:val="009C6875"/>
    <w:rsid w:val="009C74E7"/>
    <w:rsid w:val="009D58F5"/>
    <w:rsid w:val="009D6484"/>
    <w:rsid w:val="009E6768"/>
    <w:rsid w:val="009E79A4"/>
    <w:rsid w:val="009F1E13"/>
    <w:rsid w:val="009F47F6"/>
    <w:rsid w:val="009F480D"/>
    <w:rsid w:val="009F5D30"/>
    <w:rsid w:val="00A11D46"/>
    <w:rsid w:val="00A2060E"/>
    <w:rsid w:val="00A24874"/>
    <w:rsid w:val="00A25078"/>
    <w:rsid w:val="00A46B80"/>
    <w:rsid w:val="00A46C94"/>
    <w:rsid w:val="00A65EDE"/>
    <w:rsid w:val="00A67F90"/>
    <w:rsid w:val="00A77124"/>
    <w:rsid w:val="00A773DB"/>
    <w:rsid w:val="00A85A7A"/>
    <w:rsid w:val="00A86E0E"/>
    <w:rsid w:val="00A92CB7"/>
    <w:rsid w:val="00A93DE9"/>
    <w:rsid w:val="00A94474"/>
    <w:rsid w:val="00A97A7E"/>
    <w:rsid w:val="00AA048C"/>
    <w:rsid w:val="00AA1402"/>
    <w:rsid w:val="00AA2084"/>
    <w:rsid w:val="00AA432C"/>
    <w:rsid w:val="00AB33BB"/>
    <w:rsid w:val="00AC363D"/>
    <w:rsid w:val="00AE3831"/>
    <w:rsid w:val="00AF5209"/>
    <w:rsid w:val="00AF7D70"/>
    <w:rsid w:val="00B02E7D"/>
    <w:rsid w:val="00B062C8"/>
    <w:rsid w:val="00B228C1"/>
    <w:rsid w:val="00B36DF8"/>
    <w:rsid w:val="00B40BAA"/>
    <w:rsid w:val="00B52EB2"/>
    <w:rsid w:val="00B67EBD"/>
    <w:rsid w:val="00BA570F"/>
    <w:rsid w:val="00BA64BD"/>
    <w:rsid w:val="00BB2704"/>
    <w:rsid w:val="00BC48CA"/>
    <w:rsid w:val="00BC5083"/>
    <w:rsid w:val="00BC7B6B"/>
    <w:rsid w:val="00BD12B0"/>
    <w:rsid w:val="00BE5BD9"/>
    <w:rsid w:val="00BF0D4C"/>
    <w:rsid w:val="00BF0E2C"/>
    <w:rsid w:val="00BF4C94"/>
    <w:rsid w:val="00C07099"/>
    <w:rsid w:val="00C13462"/>
    <w:rsid w:val="00C23320"/>
    <w:rsid w:val="00C51D6F"/>
    <w:rsid w:val="00C657AB"/>
    <w:rsid w:val="00C73F08"/>
    <w:rsid w:val="00C80E70"/>
    <w:rsid w:val="00C81B6C"/>
    <w:rsid w:val="00C84572"/>
    <w:rsid w:val="00CA3369"/>
    <w:rsid w:val="00CD2B5F"/>
    <w:rsid w:val="00CE21EA"/>
    <w:rsid w:val="00CE230C"/>
    <w:rsid w:val="00CE3518"/>
    <w:rsid w:val="00CF0876"/>
    <w:rsid w:val="00D215AE"/>
    <w:rsid w:val="00D27995"/>
    <w:rsid w:val="00D446D8"/>
    <w:rsid w:val="00D55AD9"/>
    <w:rsid w:val="00D561FB"/>
    <w:rsid w:val="00D6067E"/>
    <w:rsid w:val="00D6336B"/>
    <w:rsid w:val="00D750C6"/>
    <w:rsid w:val="00D80BA0"/>
    <w:rsid w:val="00D86627"/>
    <w:rsid w:val="00D911A4"/>
    <w:rsid w:val="00D92B21"/>
    <w:rsid w:val="00D9331D"/>
    <w:rsid w:val="00DA01A2"/>
    <w:rsid w:val="00DA726D"/>
    <w:rsid w:val="00DB3768"/>
    <w:rsid w:val="00DB4704"/>
    <w:rsid w:val="00DC45C1"/>
    <w:rsid w:val="00DD0C07"/>
    <w:rsid w:val="00DD26FB"/>
    <w:rsid w:val="00DD3689"/>
    <w:rsid w:val="00DD5AF0"/>
    <w:rsid w:val="00DE5D6C"/>
    <w:rsid w:val="00DF19D9"/>
    <w:rsid w:val="00DF5C28"/>
    <w:rsid w:val="00E03CCD"/>
    <w:rsid w:val="00E07249"/>
    <w:rsid w:val="00E166AD"/>
    <w:rsid w:val="00E270BD"/>
    <w:rsid w:val="00E3007C"/>
    <w:rsid w:val="00E343D2"/>
    <w:rsid w:val="00E45A7A"/>
    <w:rsid w:val="00E60BCB"/>
    <w:rsid w:val="00E61191"/>
    <w:rsid w:val="00E63248"/>
    <w:rsid w:val="00E634A1"/>
    <w:rsid w:val="00E67C34"/>
    <w:rsid w:val="00E93BC7"/>
    <w:rsid w:val="00EA2295"/>
    <w:rsid w:val="00EA5064"/>
    <w:rsid w:val="00EB2FB8"/>
    <w:rsid w:val="00EB5924"/>
    <w:rsid w:val="00EB5EA2"/>
    <w:rsid w:val="00EC65AF"/>
    <w:rsid w:val="00ED05CB"/>
    <w:rsid w:val="00EE3781"/>
    <w:rsid w:val="00EF35D8"/>
    <w:rsid w:val="00EF5953"/>
    <w:rsid w:val="00F205F0"/>
    <w:rsid w:val="00F24827"/>
    <w:rsid w:val="00F43472"/>
    <w:rsid w:val="00F50743"/>
    <w:rsid w:val="00F72297"/>
    <w:rsid w:val="00F73D70"/>
    <w:rsid w:val="00F850C5"/>
    <w:rsid w:val="00F85A76"/>
    <w:rsid w:val="00FC14BC"/>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bielby@smmt.co.uk" TargetMode="External"/><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a\AppData\Local\Microsoft\Windows\Temporary%20Internet%20Files\Content.Outlook\OKOAF9FC\October%20Production%20PR.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0840254557222"/>
          <c:y val="7.8085296809163249E-2"/>
          <c:w val="0.68100211157815804"/>
          <c:h val="0.73789644110578156"/>
        </c:manualLayout>
      </c:layout>
      <c:lineChart>
        <c:grouping val="standard"/>
        <c:varyColors val="0"/>
        <c:ser>
          <c:idx val="0"/>
          <c:order val="0"/>
          <c:tx>
            <c:strRef>
              <c:f>'[1]PR&amp;12MONTHROLL-CHARTS'!$B$4</c:f>
              <c:strCache>
                <c:ptCount val="1"/>
                <c:pt idx="0">
                  <c:v>Total Car</c:v>
                </c:pt>
              </c:strCache>
            </c:strRef>
          </c:tx>
          <c:spPr>
            <a:ln>
              <a:solidFill>
                <a:schemeClr val="tx2">
                  <a:lumMod val="75000"/>
                </a:schemeClr>
              </a:solidFill>
            </a:ln>
          </c:spPr>
          <c:marker>
            <c:symbol val="none"/>
          </c:marker>
          <c:cat>
            <c:numRef>
              <c:f>'[1]PR&amp;12MONTHROLL-CHARTS'!$C$3:$CH$3</c:f>
              <c:numCache>
                <c:formatCode>General</c:formatCode>
                <c:ptCount val="84"/>
                <c:pt idx="0">
                  <c:v>2008</c:v>
                </c:pt>
                <c:pt idx="12">
                  <c:v>2009</c:v>
                </c:pt>
                <c:pt idx="24">
                  <c:v>2010</c:v>
                </c:pt>
                <c:pt idx="36">
                  <c:v>2011</c:v>
                </c:pt>
                <c:pt idx="48">
                  <c:v>2012</c:v>
                </c:pt>
                <c:pt idx="60">
                  <c:v>2013</c:v>
                </c:pt>
                <c:pt idx="72">
                  <c:v>2014</c:v>
                </c:pt>
              </c:numCache>
            </c:numRef>
          </c:cat>
          <c:val>
            <c:numRef>
              <c:f>'[1]PR&amp;12MONTHROLL-CHARTS'!$C$4:$CH$4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1009.3649999999998</c:v>
                </c:pt>
                <c:pt idx="19">
                  <c:v>983.24400000000003</c:v>
                </c:pt>
                <c:pt idx="20">
                  <c:v>960.25400000000002</c:v>
                </c:pt>
                <c:pt idx="21">
                  <c:v>952.62300000000005</c:v>
                </c:pt>
                <c:pt idx="22">
                  <c:v>967.96699999999976</c:v>
                </c:pt>
                <c:pt idx="23">
                  <c:v>999.45999999999981</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1464.9060000000004</c:v>
                </c:pt>
                <c:pt idx="60">
                  <c:v>1466.4050000000004</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pt idx="77">
                  <c:v>1536.6859999999999</c:v>
                </c:pt>
                <c:pt idx="78">
                  <c:v>1540.31</c:v>
                </c:pt>
                <c:pt idx="79">
                  <c:v>1520.0929999999998</c:v>
                </c:pt>
                <c:pt idx="80">
                  <c:v>1516.105</c:v>
                </c:pt>
              </c:numCache>
            </c:numRef>
          </c:val>
          <c:smooth val="0"/>
        </c:ser>
        <c:dLbls>
          <c:showLegendKey val="0"/>
          <c:showVal val="0"/>
          <c:showCatName val="0"/>
          <c:showSerName val="0"/>
          <c:showPercent val="0"/>
          <c:showBubbleSize val="0"/>
        </c:dLbls>
        <c:marker val="1"/>
        <c:smooth val="0"/>
        <c:axId val="128634368"/>
        <c:axId val="96745664"/>
      </c:lineChart>
      <c:catAx>
        <c:axId val="128634368"/>
        <c:scaling>
          <c:orientation val="minMax"/>
        </c:scaling>
        <c:delete val="0"/>
        <c:axPos val="b"/>
        <c:numFmt formatCode="General" sourceLinked="1"/>
        <c:majorTickMark val="out"/>
        <c:minorTickMark val="none"/>
        <c:tickLblPos val="nextTo"/>
        <c:txPr>
          <a:bodyPr rot="-1980000" vert="horz"/>
          <a:lstStyle/>
          <a:p>
            <a:pPr>
              <a:defRPr sz="1000" b="0" i="0" u="none" strike="noStrike" baseline="0">
                <a:solidFill>
                  <a:srgbClr val="000000"/>
                </a:solidFill>
                <a:latin typeface="Arial"/>
                <a:ea typeface="Arial"/>
                <a:cs typeface="Arial"/>
              </a:defRPr>
            </a:pPr>
            <a:endParaRPr lang="en-US"/>
          </a:p>
        </c:txPr>
        <c:crossAx val="96745664"/>
        <c:crosses val="autoZero"/>
        <c:auto val="1"/>
        <c:lblAlgn val="ctr"/>
        <c:lblOffset val="100"/>
        <c:tickMarkSkip val="12"/>
        <c:noMultiLvlLbl val="0"/>
      </c:catAx>
      <c:valAx>
        <c:axId val="96745664"/>
        <c:scaling>
          <c:orientation val="minMax"/>
          <c:max val="1750"/>
          <c:min val="500"/>
        </c:scaling>
        <c:delete val="0"/>
        <c:axPos val="l"/>
        <c:majorGridlines/>
        <c:title>
          <c:tx>
            <c:rich>
              <a:bodyPr/>
              <a:lstStyle/>
              <a:p>
                <a:pPr>
                  <a:defRPr sz="1000" b="1" i="0" u="none" strike="noStrike" baseline="0">
                    <a:solidFill>
                      <a:srgbClr val="000000"/>
                    </a:solidFill>
                    <a:latin typeface="Arial"/>
                    <a:ea typeface="Arial"/>
                    <a:cs typeface="Arial"/>
                  </a:defRPr>
                </a:pPr>
                <a:r>
                  <a:rPr lang="en-GB"/>
                  <a:t>Millions</a:t>
                </a:r>
              </a:p>
            </c:rich>
          </c:tx>
          <c:layout/>
          <c:overlay val="0"/>
        </c:title>
        <c:numFmt formatCode="#,##0.00" sourceLinked="0"/>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128634368"/>
        <c:crosses val="autoZero"/>
        <c:crossBetween val="between"/>
        <c:majorUnit val="250"/>
        <c:dispUnits>
          <c:builtInUnit val="thousands"/>
        </c:dispUnits>
      </c:valAx>
    </c:plotArea>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17937655053393"/>
          <c:y val="3.5466417761609588E-2"/>
          <c:w val="0.69674965484805773"/>
          <c:h val="0.86477849843237686"/>
        </c:manualLayout>
      </c:layout>
      <c:barChart>
        <c:barDir val="col"/>
        <c:grouping val="clustered"/>
        <c:varyColors val="0"/>
        <c:ser>
          <c:idx val="0"/>
          <c:order val="0"/>
          <c:tx>
            <c:strRef>
              <c:f>'First 9 month to Sept'!$B$3</c:f>
              <c:strCache>
                <c:ptCount val="1"/>
                <c:pt idx="0">
                  <c:v>Total Cars</c:v>
                </c:pt>
              </c:strCache>
            </c:strRef>
          </c:tx>
          <c:spPr>
            <a:ln>
              <a:solidFill>
                <a:sysClr val="windowText" lastClr="000000"/>
              </a:solidFill>
            </a:ln>
          </c:spPr>
          <c:invertIfNegative val="0"/>
          <c:cat>
            <c:strRef>
              <c:f>'First 9 month to Sept'!$C$2:$G$2</c:f>
              <c:strCache>
                <c:ptCount val="5"/>
                <c:pt idx="0">
                  <c:v>08</c:v>
                </c:pt>
                <c:pt idx="1">
                  <c:v>09</c:v>
                </c:pt>
                <c:pt idx="2">
                  <c:v>12</c:v>
                </c:pt>
                <c:pt idx="3">
                  <c:v>13</c:v>
                </c:pt>
                <c:pt idx="4">
                  <c:v>14</c:v>
                </c:pt>
              </c:strCache>
            </c:strRef>
          </c:cat>
          <c:val>
            <c:numRef>
              <c:f>'First 9 month to Sept'!$C$3:$G$3</c:f>
              <c:numCache>
                <c:formatCode>General</c:formatCode>
                <c:ptCount val="5"/>
                <c:pt idx="0">
                  <c:v>1181134</c:v>
                </c:pt>
                <c:pt idx="1">
                  <c:v>694769</c:v>
                </c:pt>
                <c:pt idx="2">
                  <c:v>1083313</c:v>
                </c:pt>
                <c:pt idx="3">
                  <c:v>1125674</c:v>
                </c:pt>
                <c:pt idx="4">
                  <c:v>1132017</c:v>
                </c:pt>
              </c:numCache>
            </c:numRef>
          </c:val>
        </c:ser>
        <c:dLbls>
          <c:showLegendKey val="0"/>
          <c:showVal val="0"/>
          <c:showCatName val="0"/>
          <c:showSerName val="0"/>
          <c:showPercent val="0"/>
          <c:showBubbleSize val="0"/>
        </c:dLbls>
        <c:gapWidth val="150"/>
        <c:axId val="128632320"/>
        <c:axId val="96741056"/>
      </c:barChart>
      <c:catAx>
        <c:axId val="128632320"/>
        <c:scaling>
          <c:orientation val="minMax"/>
        </c:scaling>
        <c:delete val="0"/>
        <c:axPos val="b"/>
        <c:numFmt formatCode="General" sourceLinked="1"/>
        <c:majorTickMark val="out"/>
        <c:minorTickMark val="none"/>
        <c:tickLblPos val="nextTo"/>
        <c:crossAx val="96741056"/>
        <c:crosses val="autoZero"/>
        <c:auto val="1"/>
        <c:lblAlgn val="ctr"/>
        <c:lblOffset val="100"/>
        <c:noMultiLvlLbl val="0"/>
      </c:catAx>
      <c:valAx>
        <c:axId val="96741056"/>
        <c:scaling>
          <c:orientation val="minMax"/>
          <c:max val="1200000"/>
          <c:min val="500000"/>
        </c:scaling>
        <c:delete val="0"/>
        <c:axPos val="l"/>
        <c:majorGridlines/>
        <c:numFmt formatCode="General" sourceLinked="1"/>
        <c:majorTickMark val="out"/>
        <c:minorTickMark val="none"/>
        <c:tickLblPos val="nextTo"/>
        <c:crossAx val="128632320"/>
        <c:crosses val="autoZero"/>
        <c:crossBetween val="between"/>
        <c:dispUnits>
          <c:builtInUnit val="millions"/>
          <c:dispUnitsLbl>
            <c:layout>
              <c:manualLayout>
                <c:xMode val="edge"/>
                <c:yMode val="edge"/>
                <c:x val="1.0683852874555068E-2"/>
                <c:y val="0.29408705161854781"/>
              </c:manualLayout>
            </c:layout>
          </c:dispUnitsLbl>
        </c:dispUnits>
      </c:valAx>
      <c:spPr>
        <a:noFill/>
      </c:spPr>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CF81-7F26-4B5D-A0D4-42D0AB3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6EBB2C0F</Template>
  <TotalTime>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Alex Michaelides</cp:lastModifiedBy>
  <cp:revision>3</cp:revision>
  <cp:lastPrinted>2014-10-21T12:48:00Z</cp:lastPrinted>
  <dcterms:created xsi:type="dcterms:W3CDTF">2014-10-22T08:20:00Z</dcterms:created>
  <dcterms:modified xsi:type="dcterms:W3CDTF">2014-10-22T16:20:00Z</dcterms:modified>
</cp:coreProperties>
</file>