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7269B6" w:rsidP="007269B6">
      <w:pPr>
        <w:pStyle w:val="Heading1"/>
        <w:rPr>
          <w:rFonts w:ascii="Arial" w:hAnsi="Arial" w:cs="Arial"/>
          <w:color w:val="1074CB"/>
          <w:sz w:val="44"/>
        </w:rPr>
      </w:pPr>
      <w:r w:rsidRPr="007269B6">
        <w:rPr>
          <w:rFonts w:ascii="Arial" w:hAnsi="Arial" w:cs="Arial"/>
          <w:color w:val="1074CB"/>
          <w:sz w:val="44"/>
        </w:rPr>
        <w:t xml:space="preserve">SMMT NEWS RELEASE </w:t>
      </w:r>
    </w:p>
    <w:p w:rsidR="007269B6" w:rsidRPr="007269B6" w:rsidRDefault="007269B6" w:rsidP="007269B6">
      <w:pPr>
        <w:pStyle w:val="Heading1"/>
        <w:rPr>
          <w:rFonts w:ascii="Arial" w:hAnsi="Arial" w:cs="Arial"/>
          <w:b w:val="0"/>
          <w:color w:val="1074CB"/>
          <w:sz w:val="32"/>
          <w:szCs w:val="32"/>
        </w:rPr>
      </w:pPr>
      <w:r w:rsidRPr="007269B6">
        <w:rPr>
          <w:rFonts w:ascii="Arial" w:hAnsi="Arial" w:cs="Arial"/>
          <w:b w:val="0"/>
          <w:color w:val="1074CB"/>
          <w:sz w:val="32"/>
          <w:szCs w:val="32"/>
        </w:rPr>
        <w:t>20 January 2012</w:t>
      </w:r>
    </w:p>
    <w:p w:rsidR="007269B6" w:rsidRPr="007269B6" w:rsidRDefault="007269B6" w:rsidP="007269B6">
      <w:pPr>
        <w:pStyle w:val="Heading1"/>
        <w:rPr>
          <w:rFonts w:ascii="Arial" w:hAnsi="Arial" w:cs="Arial"/>
          <w:color w:val="1074CB"/>
        </w:rPr>
      </w:pPr>
      <w:r>
        <w:rPr>
          <w:rFonts w:ascii="Arial" w:hAnsi="Arial" w:cs="Arial"/>
          <w:b w:val="0"/>
          <w:color w:val="1074CB"/>
        </w:rPr>
        <w:t xml:space="preserve">NEWS RELEASE NUMBER: </w:t>
      </w:r>
      <w:r w:rsidRPr="007269B6">
        <w:rPr>
          <w:rFonts w:ascii="Arial" w:hAnsi="Arial" w:cs="Arial"/>
          <w:b w:val="0"/>
          <w:color w:val="1074CB"/>
        </w:rPr>
        <w:t>4917</w:t>
      </w:r>
      <w:r w:rsidRPr="007269B6">
        <w:rPr>
          <w:rFonts w:ascii="Arial" w:hAnsi="Arial" w:cs="Arial"/>
          <w:b w:val="0"/>
          <w:color w:val="1074CB"/>
        </w:rPr>
        <w:tab/>
        <w:t xml:space="preserve">                           </w:t>
      </w:r>
      <w:r>
        <w:rPr>
          <w:rFonts w:ascii="Arial" w:hAnsi="Arial" w:cs="Arial"/>
          <w:b w:val="0"/>
          <w:color w:val="1074CB"/>
        </w:rPr>
        <w:t xml:space="preserve">                  </w:t>
      </w:r>
      <w:r w:rsidRPr="007269B6">
        <w:rPr>
          <w:rFonts w:ascii="Arial" w:hAnsi="Arial" w:cs="Arial"/>
          <w:b w:val="0"/>
          <w:color w:val="1074CB"/>
        </w:rPr>
        <w:t>FOR RELEASE: IMMEDIATE</w:t>
      </w:r>
    </w:p>
    <w:p w:rsidR="005F33F2" w:rsidRPr="007269B6" w:rsidRDefault="00ED0DB5" w:rsidP="007269B6">
      <w:pPr>
        <w:pStyle w:val="Heading1"/>
        <w:ind w:left="0" w:firstLine="0"/>
        <w:rPr>
          <w:rFonts w:ascii="PFDinDisplayPro-Bold" w:hAnsi="PFDinDisplayPro-Bold"/>
          <w:b w:val="0"/>
          <w:color w:val="1074CB"/>
        </w:rPr>
      </w:pPr>
      <w:r w:rsidRPr="007269B6">
        <w:rPr>
          <w:rFonts w:ascii="PFDinDisplayPro-Light" w:hAnsi="PFDinDisplayPro-Light"/>
          <w:b w:val="0"/>
          <w:noProof/>
        </w:rPr>
        <w:pict>
          <v:line id="_x0000_s1026" style="position:absolute;z-index:251657216;mso-position-horizontal-relative:text;mso-position-vertical-relative:text" from="-1.35pt,1.8pt" to="434.75pt,1.8pt" strokecolor="#1074cb"/>
        </w:pict>
      </w:r>
    </w:p>
    <w:p w:rsidR="00D46D8B" w:rsidRDefault="00C85EA3" w:rsidP="00581AD8">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December</w:t>
      </w:r>
      <w:r w:rsidR="00581AD8">
        <w:rPr>
          <w:rFonts w:ascii="Arial" w:eastAsia="Times New Roman" w:hAnsi="Arial" w:cs="Arial"/>
          <w:b/>
          <w:color w:val="1074CB"/>
          <w:sz w:val="28"/>
          <w:szCs w:val="28"/>
        </w:rPr>
        <w:t xml:space="preserve"> </w:t>
      </w:r>
      <w:r w:rsidR="00D46D8B" w:rsidRPr="00D46D8B">
        <w:rPr>
          <w:rFonts w:ascii="Arial" w:eastAsia="Times New Roman" w:hAnsi="Arial" w:cs="Arial"/>
          <w:b/>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C85EA3">
        <w:rPr>
          <w:rFonts w:ascii="Arial" w:hAnsi="Arial" w:cs="Arial"/>
          <w:sz w:val="20"/>
        </w:rPr>
        <w:t>December</w:t>
      </w:r>
      <w:r w:rsidR="00442E5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C85EA3">
        <w:rPr>
          <w:rFonts w:ascii="Arial" w:hAnsi="Arial" w:cs="Arial"/>
          <w:sz w:val="20"/>
        </w:rPr>
        <w:t>December</w:t>
      </w:r>
      <w:r w:rsidR="00DC146E">
        <w:rPr>
          <w:rFonts w:ascii="Arial" w:hAnsi="Arial" w:cs="Arial"/>
          <w:sz w:val="20"/>
        </w:rPr>
        <w:t xml:space="preserve"> 2011</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C85EA3">
        <w:rPr>
          <w:rFonts w:ascii="Arial" w:hAnsi="Arial" w:cs="Arial"/>
          <w:sz w:val="20"/>
        </w:rPr>
        <w:t>20</w:t>
      </w:r>
      <w:r w:rsidR="00442E5A">
        <w:rPr>
          <w:rFonts w:ascii="Arial" w:hAnsi="Arial" w:cs="Arial"/>
          <w:sz w:val="20"/>
        </w:rPr>
        <w:t xml:space="preserve"> </w:t>
      </w:r>
      <w:r w:rsidR="00C85EA3">
        <w:rPr>
          <w:rFonts w:ascii="Arial" w:hAnsi="Arial" w:cs="Arial"/>
          <w:sz w:val="20"/>
        </w:rPr>
        <w:t>January 2012</w:t>
      </w:r>
    </w:p>
    <w:p w:rsidR="0080157C" w:rsidRDefault="0080157C" w:rsidP="00BA7796">
      <w:pPr>
        <w:pStyle w:val="Header"/>
        <w:ind w:left="360"/>
        <w:jc w:val="center"/>
        <w:rPr>
          <w:rFonts w:ascii="Arial" w:hAnsi="Arial" w:cs="Arial"/>
          <w:sz w:val="20"/>
        </w:rPr>
      </w:pPr>
    </w:p>
    <w:tbl>
      <w:tblPr>
        <w:tblW w:w="5889" w:type="dxa"/>
        <w:jc w:val="center"/>
        <w:tblInd w:w="94" w:type="dxa"/>
        <w:tblLook w:val="04A0"/>
      </w:tblPr>
      <w:tblGrid>
        <w:gridCol w:w="1760"/>
        <w:gridCol w:w="1418"/>
        <w:gridCol w:w="1142"/>
        <w:gridCol w:w="1569"/>
      </w:tblGrid>
      <w:tr w:rsidR="00364E98" w:rsidRPr="00364E98" w:rsidTr="00E64F09">
        <w:trPr>
          <w:trHeight w:val="73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Make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C85EA3" w:rsidP="00364E98">
            <w:pPr>
              <w:jc w:val="center"/>
              <w:rPr>
                <w:rFonts w:ascii="Arial" w:eastAsia="Times New Roman" w:hAnsi="Arial" w:cs="Arial"/>
                <w:b/>
                <w:bCs/>
                <w:sz w:val="20"/>
                <w:lang w:val="en-GB"/>
              </w:rPr>
            </w:pPr>
            <w:r>
              <w:rPr>
                <w:rFonts w:ascii="Arial" w:eastAsia="Times New Roman" w:hAnsi="Arial" w:cs="Arial"/>
                <w:b/>
                <w:bCs/>
                <w:sz w:val="20"/>
                <w:lang w:val="en-GB"/>
              </w:rPr>
              <w:t xml:space="preserve"> % Total 2010</w:t>
            </w:r>
            <w:r w:rsidR="00364E98" w:rsidRPr="00364E98">
              <w:rPr>
                <w:rFonts w:ascii="Arial" w:eastAsia="Times New Roman" w:hAnsi="Arial" w:cs="Arial"/>
                <w:b/>
                <w:bCs/>
                <w:sz w:val="20"/>
                <w:lang w:val="en-GB"/>
              </w:rPr>
              <w:t xml:space="preserve"> Market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Volume Disposed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Gross Revenue </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AUDI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4.92%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BMW</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5.39%</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FD6B37">
            <w:pPr>
              <w:rPr>
                <w:rFonts w:ascii="Arial" w:eastAsia="Times New Roman" w:hAnsi="Arial" w:cs="Arial"/>
                <w:sz w:val="20"/>
                <w:lang w:val="en-GB"/>
              </w:rPr>
            </w:pPr>
            <w:r w:rsidRPr="00364E98">
              <w:rPr>
                <w:rFonts w:ascii="Arial" w:eastAsia="Times New Roman" w:hAnsi="Arial" w:cs="Arial"/>
                <w:sz w:val="20"/>
                <w:lang w:val="en-GB"/>
              </w:rPr>
              <w:t>CITRO</w:t>
            </w:r>
            <w:r w:rsidR="00FD6B37">
              <w:rPr>
                <w:rFonts w:ascii="Arial" w:eastAsia="Times New Roman" w:hAnsi="Arial" w:cs="Arial"/>
                <w:sz w:val="20"/>
                <w:lang w:val="en-GB"/>
              </w:rPr>
              <w:t>Ë</w:t>
            </w:r>
            <w:r w:rsidRPr="00364E98">
              <w:rPr>
                <w:rFonts w:ascii="Arial" w:eastAsia="Times New Roman" w:hAnsi="Arial" w:cs="Arial"/>
                <w:sz w:val="20"/>
                <w:lang w:val="en-GB"/>
              </w:rPr>
              <w:t>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FIAT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FORD</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13.81%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020314" w:rsidP="00364E98">
            <w:pPr>
              <w:jc w:val="right"/>
              <w:rPr>
                <w:rFonts w:ascii="Arial" w:eastAsia="Times New Roman" w:hAnsi="Arial" w:cs="Arial"/>
                <w:sz w:val="20"/>
                <w:lang w:val="en-GB"/>
              </w:rPr>
            </w:pPr>
            <w:r>
              <w:rPr>
                <w:rFonts w:ascii="Arial" w:eastAsia="Times New Roman" w:hAnsi="Arial" w:cs="Arial"/>
                <w:sz w:val="20"/>
                <w:lang w:val="en-GB"/>
              </w:rPr>
              <w:t>3</w:t>
            </w:r>
            <w:r w:rsidR="00C85EA3">
              <w:rPr>
                <w:rFonts w:ascii="Arial" w:eastAsia="Times New Roman" w:hAnsi="Arial" w:cs="Arial"/>
                <w:sz w:val="20"/>
                <w:lang w:val="en-GB"/>
              </w:rPr>
              <w:t>3</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C85EA3">
            <w:pPr>
              <w:jc w:val="right"/>
              <w:rPr>
                <w:rFonts w:ascii="Arial" w:eastAsia="Times New Roman" w:hAnsi="Arial" w:cs="Arial"/>
                <w:sz w:val="20"/>
                <w:lang w:val="en-GB"/>
              </w:rPr>
            </w:pPr>
            <w:r w:rsidRPr="00364E98">
              <w:rPr>
                <w:rFonts w:ascii="Arial" w:eastAsia="Times New Roman" w:hAnsi="Arial" w:cs="Arial"/>
                <w:sz w:val="20"/>
                <w:lang w:val="en-GB"/>
              </w:rPr>
              <w:t>£</w:t>
            </w:r>
            <w:r w:rsidR="00020314">
              <w:rPr>
                <w:rFonts w:ascii="Arial" w:eastAsia="Times New Roman" w:hAnsi="Arial" w:cs="Arial"/>
                <w:sz w:val="20"/>
                <w:lang w:val="en-GB"/>
              </w:rPr>
              <w:t>3</w:t>
            </w:r>
            <w:r w:rsidR="00C85EA3">
              <w:rPr>
                <w:rFonts w:ascii="Arial" w:eastAsia="Times New Roman" w:hAnsi="Arial" w:cs="Arial"/>
                <w:sz w:val="20"/>
                <w:lang w:val="en-GB"/>
              </w:rPr>
              <w:t>42,850.00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HONDA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3.13%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HYUNDAI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3.04%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KIA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2.76%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LAND ROVER</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MAZDA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2.24%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MERCEDES</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3.69%</w:t>
            </w:r>
          </w:p>
        </w:tc>
        <w:tc>
          <w:tcPr>
            <w:tcW w:w="1142"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MINI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2.16%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020314" w:rsidP="00364E98">
            <w:pPr>
              <w:jc w:val="right"/>
              <w:rPr>
                <w:rFonts w:ascii="Arial" w:eastAsia="Times New Roman" w:hAnsi="Arial" w:cs="Arial"/>
                <w:sz w:val="20"/>
                <w:lang w:val="en-GB"/>
              </w:rPr>
            </w:pPr>
            <w:r>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020314" w:rsidP="00364E98">
            <w:pPr>
              <w:jc w:val="right"/>
              <w:rPr>
                <w:rFonts w:ascii="Arial" w:eastAsia="Times New Roman" w:hAnsi="Arial" w:cs="Arial"/>
                <w:sz w:val="20"/>
                <w:lang w:val="en-GB"/>
              </w:rPr>
            </w:pPr>
            <w:r>
              <w:rPr>
                <w:rFonts w:ascii="Arial" w:eastAsia="Times New Roman" w:hAnsi="Arial" w:cs="Arial"/>
                <w:sz w:val="20"/>
                <w:lang w:val="en-GB"/>
              </w:rPr>
              <w:t>£</w:t>
            </w:r>
            <w:r w:rsidR="003858AF">
              <w:rPr>
                <w:rFonts w:ascii="Arial" w:eastAsia="Times New Roman" w:hAnsi="Arial" w:cs="Arial"/>
                <w:sz w:val="20"/>
                <w:lang w:val="en-GB"/>
              </w:rPr>
              <w:t>0</w:t>
            </w:r>
            <w:r w:rsidR="00364E98" w:rsidRPr="00364E98">
              <w:rPr>
                <w:rFonts w:ascii="Arial" w:eastAsia="Times New Roman" w:hAnsi="Arial" w:cs="Arial"/>
                <w:sz w:val="20"/>
                <w:lang w:val="en-GB"/>
              </w:rPr>
              <w:t>.00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NISSAN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4.42%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PEUGEOT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C85EA3" w:rsidP="00364E98">
            <w:pPr>
              <w:jc w:val="right"/>
              <w:rPr>
                <w:rFonts w:ascii="Arial" w:eastAsia="Times New Roman" w:hAnsi="Arial" w:cs="Arial"/>
                <w:sz w:val="20"/>
                <w:lang w:val="en-GB"/>
              </w:rPr>
            </w:pPr>
            <w:r>
              <w:rPr>
                <w:rFonts w:ascii="Arial" w:eastAsia="Times New Roman" w:hAnsi="Arial" w:cs="Arial"/>
                <w:sz w:val="20"/>
                <w:lang w:val="en-GB"/>
              </w:rPr>
              <w:t>11</w:t>
            </w:r>
          </w:p>
        </w:tc>
        <w:tc>
          <w:tcPr>
            <w:tcW w:w="1569" w:type="dxa"/>
            <w:tcBorders>
              <w:top w:val="nil"/>
              <w:left w:val="nil"/>
              <w:bottom w:val="single" w:sz="4" w:space="0" w:color="auto"/>
              <w:right w:val="single" w:sz="4" w:space="0" w:color="auto"/>
            </w:tcBorders>
            <w:shd w:val="clear" w:color="auto" w:fill="auto"/>
            <w:noWrap/>
            <w:vAlign w:val="center"/>
            <w:hideMark/>
          </w:tcPr>
          <w:p w:rsidR="00364E98" w:rsidRPr="00364E98" w:rsidRDefault="00020314" w:rsidP="00C85EA3">
            <w:pPr>
              <w:jc w:val="right"/>
              <w:rPr>
                <w:rFonts w:ascii="Arial" w:eastAsia="Times New Roman" w:hAnsi="Arial" w:cs="Arial"/>
                <w:sz w:val="20"/>
                <w:lang w:val="en-GB"/>
              </w:rPr>
            </w:pPr>
            <w:r>
              <w:rPr>
                <w:rFonts w:ascii="Arial" w:eastAsia="Times New Roman" w:hAnsi="Arial" w:cs="Arial"/>
                <w:sz w:val="20"/>
                <w:lang w:val="en-GB"/>
              </w:rPr>
              <w:t>£</w:t>
            </w:r>
            <w:r w:rsidR="00C85EA3">
              <w:rPr>
                <w:rFonts w:ascii="Arial" w:eastAsia="Times New Roman" w:hAnsi="Arial" w:cs="Arial"/>
                <w:sz w:val="20"/>
                <w:lang w:val="en-GB"/>
              </w:rPr>
              <w:t>121,879.17</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RENAULT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113108" w:rsidP="00364E98">
            <w:pPr>
              <w:jc w:val="right"/>
              <w:rPr>
                <w:rFonts w:ascii="Arial" w:eastAsia="Times New Roman" w:hAnsi="Arial" w:cs="Arial"/>
                <w:sz w:val="20"/>
                <w:lang w:val="en-GB"/>
              </w:rPr>
            </w:pPr>
            <w:r>
              <w:rPr>
                <w:rFonts w:ascii="Arial" w:eastAsia="Times New Roman" w:hAnsi="Arial" w:cs="Arial"/>
                <w:sz w:val="20"/>
                <w:lang w:val="en-GB"/>
              </w:rPr>
              <w:t>4.71</w:t>
            </w:r>
            <w:r w:rsidR="00364E98" w:rsidRPr="00364E98">
              <w:rPr>
                <w:rFonts w:ascii="Arial" w:eastAsia="Times New Roman" w:hAnsi="Arial" w:cs="Arial"/>
                <w:sz w:val="20"/>
                <w:lang w:val="en-GB"/>
              </w:rPr>
              <w:t>%</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SEAT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1.62%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SKODA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2.03%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SUZUKI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1.06%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TOYOTA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4.30%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VAUXHALL</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12.18%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C85EA3" w:rsidP="00364E98">
            <w:pPr>
              <w:jc w:val="right"/>
              <w:rPr>
                <w:rFonts w:ascii="Arial" w:eastAsia="Times New Roman" w:hAnsi="Arial" w:cs="Arial"/>
                <w:sz w:val="20"/>
                <w:lang w:val="en-GB"/>
              </w:rPr>
            </w:pPr>
            <w:r>
              <w:rPr>
                <w:rFonts w:ascii="Arial" w:eastAsia="Times New Roman" w:hAnsi="Arial" w:cs="Arial"/>
                <w:sz w:val="20"/>
                <w:lang w:val="en-GB"/>
              </w:rPr>
              <w:t>36</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C85EA3">
            <w:pPr>
              <w:jc w:val="right"/>
              <w:rPr>
                <w:rFonts w:ascii="Arial" w:eastAsia="Times New Roman" w:hAnsi="Arial" w:cs="Arial"/>
                <w:sz w:val="20"/>
                <w:lang w:val="en-GB"/>
              </w:rPr>
            </w:pPr>
            <w:r w:rsidRPr="00364E98">
              <w:rPr>
                <w:rFonts w:ascii="Arial" w:eastAsia="Times New Roman" w:hAnsi="Arial" w:cs="Arial"/>
                <w:sz w:val="20"/>
                <w:lang w:val="en-GB"/>
              </w:rPr>
              <w:t>£</w:t>
            </w:r>
            <w:r w:rsidR="00C85EA3">
              <w:rPr>
                <w:rFonts w:ascii="Arial" w:eastAsia="Times New Roman" w:hAnsi="Arial" w:cs="Arial"/>
                <w:sz w:val="20"/>
                <w:lang w:val="en-GB"/>
              </w:rPr>
              <w:t>404,880.00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VOLKSWAGEN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8.60%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VOLVO</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70"/>
          <w:jc w:val="center"/>
        </w:trPr>
        <w:tc>
          <w:tcPr>
            <w:tcW w:w="17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TOTAL</w:t>
            </w:r>
          </w:p>
        </w:tc>
        <w:tc>
          <w:tcPr>
            <w:tcW w:w="1418" w:type="dxa"/>
            <w:tcBorders>
              <w:top w:val="nil"/>
              <w:left w:val="nil"/>
              <w:bottom w:val="single" w:sz="8" w:space="0" w:color="auto"/>
              <w:right w:val="single" w:sz="4" w:space="0" w:color="auto"/>
            </w:tcBorders>
            <w:shd w:val="clear" w:color="auto" w:fill="auto"/>
            <w:noWrap/>
            <w:vAlign w:val="bottom"/>
            <w:hideMark/>
          </w:tcPr>
          <w:p w:rsidR="00364E98" w:rsidRPr="00364E98" w:rsidRDefault="00DD7928" w:rsidP="00C15E38">
            <w:pPr>
              <w:jc w:val="right"/>
              <w:rPr>
                <w:rFonts w:ascii="Arial" w:eastAsia="Times New Roman" w:hAnsi="Arial" w:cs="Arial"/>
                <w:b/>
                <w:bCs/>
                <w:sz w:val="20"/>
                <w:lang w:val="en-GB"/>
              </w:rPr>
            </w:pPr>
            <w:r>
              <w:rPr>
                <w:rFonts w:ascii="Arial" w:eastAsia="Times New Roman" w:hAnsi="Arial" w:cs="Arial"/>
                <w:b/>
                <w:bCs/>
                <w:sz w:val="20"/>
                <w:lang w:val="en-GB"/>
              </w:rPr>
              <w:t xml:space="preserve">               </w:t>
            </w:r>
            <w:r w:rsidR="00364E98" w:rsidRPr="00364E98">
              <w:rPr>
                <w:rFonts w:ascii="Arial" w:eastAsia="Times New Roman" w:hAnsi="Arial" w:cs="Arial"/>
                <w:b/>
                <w:bCs/>
                <w:sz w:val="20"/>
                <w:lang w:val="en-GB"/>
              </w:rPr>
              <w:t xml:space="preserve">95 </w:t>
            </w:r>
          </w:p>
        </w:tc>
        <w:tc>
          <w:tcPr>
            <w:tcW w:w="1142"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020314" w:rsidP="00C85EA3">
            <w:pPr>
              <w:jc w:val="right"/>
              <w:rPr>
                <w:rFonts w:ascii="Arial" w:eastAsia="Times New Roman" w:hAnsi="Arial" w:cs="Arial"/>
                <w:b/>
                <w:bCs/>
                <w:sz w:val="20"/>
                <w:lang w:val="en-GB"/>
              </w:rPr>
            </w:pPr>
            <w:r>
              <w:rPr>
                <w:rFonts w:ascii="Arial" w:eastAsia="Times New Roman" w:hAnsi="Arial" w:cs="Arial"/>
                <w:b/>
                <w:bCs/>
                <w:sz w:val="20"/>
                <w:lang w:val="en-GB"/>
              </w:rPr>
              <w:t xml:space="preserve">                  </w:t>
            </w:r>
            <w:r w:rsidR="00C85EA3">
              <w:rPr>
                <w:rFonts w:ascii="Arial" w:eastAsia="Times New Roman" w:hAnsi="Arial" w:cs="Arial"/>
                <w:b/>
                <w:bCs/>
                <w:sz w:val="20"/>
                <w:lang w:val="en-GB"/>
              </w:rPr>
              <w:t>80</w:t>
            </w:r>
            <w:r w:rsidR="00364E98" w:rsidRPr="00364E98">
              <w:rPr>
                <w:rFonts w:ascii="Arial" w:eastAsia="Times New Roman" w:hAnsi="Arial" w:cs="Arial"/>
                <w:b/>
                <w:bCs/>
                <w:sz w:val="20"/>
                <w:lang w:val="en-GB"/>
              </w:rPr>
              <w:t xml:space="preserve"> </w:t>
            </w:r>
          </w:p>
        </w:tc>
        <w:tc>
          <w:tcPr>
            <w:tcW w:w="1569"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364E98" w:rsidP="00C85EA3">
            <w:pPr>
              <w:jc w:val="right"/>
              <w:rPr>
                <w:rFonts w:ascii="Arial" w:eastAsia="Times New Roman" w:hAnsi="Arial" w:cs="Arial"/>
                <w:b/>
                <w:bCs/>
                <w:sz w:val="20"/>
                <w:lang w:val="en-GB"/>
              </w:rPr>
            </w:pPr>
            <w:r w:rsidRPr="00364E98">
              <w:rPr>
                <w:rFonts w:ascii="Arial" w:eastAsia="Times New Roman" w:hAnsi="Arial" w:cs="Arial"/>
                <w:b/>
                <w:bCs/>
                <w:sz w:val="20"/>
                <w:lang w:val="en-GB"/>
              </w:rPr>
              <w:t>£</w:t>
            </w:r>
            <w:r w:rsidR="00C85EA3">
              <w:rPr>
                <w:rFonts w:ascii="Arial" w:eastAsia="Times New Roman" w:hAnsi="Arial" w:cs="Arial"/>
                <w:b/>
                <w:bCs/>
                <w:sz w:val="20"/>
                <w:lang w:val="en-GB"/>
              </w:rPr>
              <w:t>869,609.17</w:t>
            </w:r>
          </w:p>
        </w:tc>
      </w:tr>
    </w:tbl>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D4173E" w:rsidRDefault="00D4173E" w:rsidP="006B390A">
      <w:pPr>
        <w:rPr>
          <w:rFonts w:ascii="Arial" w:hAnsi="Arial" w:cs="Arial"/>
          <w:b/>
          <w:color w:val="1074CB"/>
          <w:sz w:val="16"/>
          <w:szCs w:val="16"/>
        </w:rPr>
      </w:pPr>
    </w:p>
    <w:p w:rsidR="00D4173E" w:rsidRDefault="00D4173E" w:rsidP="006B390A">
      <w:pPr>
        <w:rPr>
          <w:rFonts w:ascii="Arial" w:hAnsi="Arial" w:cs="Arial"/>
          <w:b/>
          <w:color w:val="1074CB"/>
          <w:sz w:val="16"/>
          <w:szCs w:val="16"/>
        </w:rPr>
      </w:pPr>
    </w:p>
    <w:p w:rsidR="00D4173E" w:rsidRDefault="00D4173E"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ED0DB5">
      <w:pPr>
        <w:widowControl w:val="0"/>
        <w:autoSpaceDE w:val="0"/>
        <w:autoSpaceDN w:val="0"/>
        <w:adjustRightInd w:val="0"/>
        <w:rPr>
          <w:rFonts w:ascii="PFDinDisplayPro-Light" w:eastAsia="Times New Roman" w:hAnsi="PFDinDisplayPro-Light"/>
          <w:sz w:val="22"/>
        </w:rPr>
      </w:pPr>
      <w:r w:rsidRPr="00ED0DB5">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E64F09" w:rsidRPr="00E64F09" w:rsidRDefault="00E64F09" w:rsidP="00E64F09">
      <w:pPr>
        <w:rPr>
          <w:rFonts w:ascii="Arial" w:hAnsi="Arial" w:cs="Arial"/>
          <w:b/>
          <w:bCs/>
          <w:color w:val="1074CB"/>
          <w:sz w:val="16"/>
          <w:szCs w:val="16"/>
        </w:rPr>
      </w:pPr>
      <w:r w:rsidRPr="00E64F09">
        <w:rPr>
          <w:rFonts w:ascii="Arial" w:hAnsi="Arial" w:cs="Arial"/>
          <w:b/>
          <w:bCs/>
          <w:color w:val="1074CB"/>
          <w:sz w:val="16"/>
          <w:szCs w:val="16"/>
        </w:rPr>
        <w:t>About SMMT:</w:t>
      </w: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E64F09" w:rsidRPr="00E64F09" w:rsidRDefault="00E64F09" w:rsidP="00E64F09">
      <w:pPr>
        <w:rPr>
          <w:rFonts w:ascii="Arial" w:hAnsi="Arial" w:cs="Arial"/>
          <w:color w:val="1074CB"/>
          <w:sz w:val="16"/>
          <w:szCs w:val="16"/>
        </w:rPr>
      </w:pP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The automotive industry is a vital part of the UK economy accounting for £49 billion turnover and £10 billion value added. With over 700,000 jobs dependent on the industry, it accounts for more than 10% of total UK exports and invests £1.3 billion each year in automotive R&amp;D. In the last 10 years, huge strides have been made to reduce the environmental impact of its products throughout the life cycle. Since 2000, improvements in production processes mean that per vehicle energy consumption is down 33%, water use has been cut by 40% and 89% less waste enters landfill sites. Average new car tailpipe CO</w:t>
      </w:r>
      <w:r w:rsidRPr="00E64F09">
        <w:rPr>
          <w:rFonts w:ascii="Arial" w:hAnsi="Arial" w:cs="Arial"/>
          <w:color w:val="1074CB"/>
          <w:sz w:val="16"/>
          <w:szCs w:val="16"/>
          <w:vertAlign w:val="subscript"/>
        </w:rPr>
        <w:t>2</w:t>
      </w:r>
      <w:r w:rsidRPr="00E64F09">
        <w:rPr>
          <w:rFonts w:ascii="Arial" w:hAnsi="Arial" w:cs="Arial"/>
          <w:color w:val="1074CB"/>
          <w:sz w:val="16"/>
          <w:szCs w:val="16"/>
        </w:rPr>
        <w:t xml:space="preserve"> emissions have also been slashed and are down to 138.5g/km for the year-to-date, 23.5% lower than in 2000. For more details, see SMMT’s 12th Annual Sustainability Report and Motor Industry Facts at </w:t>
      </w:r>
      <w:hyperlink r:id="rId7" w:history="1">
        <w:r w:rsidRPr="00E64F09">
          <w:rPr>
            <w:rStyle w:val="Hyperlink"/>
            <w:rFonts w:ascii="Arial" w:hAnsi="Arial" w:cs="Arial"/>
            <w:sz w:val="16"/>
            <w:szCs w:val="16"/>
          </w:rPr>
          <w:t>www.smmt.co.uk/publications</w:t>
        </w:r>
      </w:hyperlink>
      <w:r w:rsidRPr="00E64F09">
        <w:rPr>
          <w:rFonts w:ascii="Arial" w:hAnsi="Arial" w:cs="Arial"/>
          <w:color w:val="1074CB"/>
          <w:sz w:val="16"/>
          <w:szCs w:val="16"/>
        </w:rPr>
        <w:t xml:space="preserve">.  </w:t>
      </w:r>
    </w:p>
    <w:p w:rsidR="00844B1F" w:rsidRPr="00E64F09"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E64F09">
        <w:rPr>
          <w:rFonts w:ascii="Arial" w:hAnsi="Arial" w:cs="Arial"/>
          <w:b/>
          <w:bCs/>
          <w:color w:val="1074CB"/>
          <w:sz w:val="16"/>
          <w:szCs w:val="16"/>
        </w:rPr>
        <w:t>Note to broadcasters: SMMT has its own ISDN studio</w:t>
      </w:r>
      <w:r w:rsidRPr="00E64F09">
        <w:rPr>
          <w:rFonts w:ascii="Arial" w:hAnsi="Arial" w:cs="Arial"/>
          <w:b/>
          <w:bCs/>
          <w:color w:val="1074CB"/>
          <w:sz w:val="20"/>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7269B6" w:rsidP="00844B1F">
      <w:pPr>
        <w:jc w:val="both"/>
        <w:rPr>
          <w:rFonts w:ascii="Arial" w:hAnsi="Arial" w:cs="Arial"/>
          <w:color w:val="1074CB"/>
          <w:sz w:val="16"/>
          <w:szCs w:val="16"/>
        </w:rPr>
      </w:pPr>
      <w:r>
        <w:rPr>
          <w:rFonts w:ascii="Arial" w:hAnsi="Arial" w:cs="Arial"/>
          <w:color w:val="1074CB"/>
          <w:sz w:val="16"/>
          <w:szCs w:val="16"/>
        </w:rPr>
        <w:t xml:space="preserve">Dan Montefusco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00D4173E" w:rsidRPr="00794D58">
          <w:rPr>
            <w:rStyle w:val="Hyperlink"/>
            <w:rFonts w:ascii="Arial" w:hAnsi="Arial" w:cs="Arial"/>
            <w:sz w:val="16"/>
            <w:szCs w:val="16"/>
          </w:rPr>
          <w:t>dmontefusco@smmt.co.uk</w:t>
        </w:r>
      </w:hyperlink>
      <w:r w:rsidR="00844B1F"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F6" w:rsidRDefault="00FA46F6">
      <w:r>
        <w:separator/>
      </w:r>
    </w:p>
  </w:endnote>
  <w:endnote w:type="continuationSeparator" w:id="0">
    <w:p w:rsidR="00FA46F6" w:rsidRDefault="00FA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FDinDisplayPro-Bold">
    <w:panose1 w:val="020008060000000200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Default="00FA46F6">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F6" w:rsidRDefault="00FA46F6">
      <w:r>
        <w:separator/>
      </w:r>
    </w:p>
  </w:footnote>
  <w:footnote w:type="continuationSeparator" w:id="0">
    <w:p w:rsidR="00FA46F6" w:rsidRDefault="00FA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Pr="003F5418" w:rsidRDefault="00FA46F6" w:rsidP="003F5418">
    <w:pPr>
      <w:pStyle w:val="Header"/>
      <w:jc w:val="right"/>
      <w:rPr>
        <w:rFonts w:ascii="Arial" w:hAnsi="Arial" w:cs="Arial"/>
        <w:sz w:val="20"/>
      </w:rPr>
    </w:pPr>
  </w:p>
  <w:p w:rsidR="00FA46F6" w:rsidRDefault="00FA46F6" w:rsidP="003F5418">
    <w:pPr>
      <w:pStyle w:val="Header"/>
      <w:jc w:val="right"/>
    </w:pPr>
  </w:p>
  <w:p w:rsidR="00FA46F6" w:rsidRDefault="00FA46F6"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FA46F6" w:rsidRPr="003F5418" w:rsidRDefault="00FA46F6"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7889">
      <o:colormru v:ext="edit" colors="#1074cb"/>
      <o:colormenu v:ext="edit" strokecolor="#1074cb"/>
    </o:shapedefaults>
  </w:hdrShapeDefaults>
  <w:footnotePr>
    <w:footnote w:id="-1"/>
    <w:footnote w:id="0"/>
  </w:footnotePr>
  <w:endnotePr>
    <w:endnote w:id="-1"/>
    <w:endnote w:id="0"/>
  </w:endnotePr>
  <w:compat/>
  <w:rsids>
    <w:rsidRoot w:val="005F33F2"/>
    <w:rsid w:val="000142DE"/>
    <w:rsid w:val="00020314"/>
    <w:rsid w:val="000C3EAE"/>
    <w:rsid w:val="00111673"/>
    <w:rsid w:val="00113108"/>
    <w:rsid w:val="001139BB"/>
    <w:rsid w:val="00131202"/>
    <w:rsid w:val="001B07BF"/>
    <w:rsid w:val="001B7BA7"/>
    <w:rsid w:val="001D6FA4"/>
    <w:rsid w:val="001E1A12"/>
    <w:rsid w:val="001E7811"/>
    <w:rsid w:val="001F3669"/>
    <w:rsid w:val="002426FE"/>
    <w:rsid w:val="002A6119"/>
    <w:rsid w:val="002E62B1"/>
    <w:rsid w:val="00347579"/>
    <w:rsid w:val="00364E98"/>
    <w:rsid w:val="003858AF"/>
    <w:rsid w:val="003D068F"/>
    <w:rsid w:val="003F2A55"/>
    <w:rsid w:val="003F5418"/>
    <w:rsid w:val="00407C9D"/>
    <w:rsid w:val="00442E5A"/>
    <w:rsid w:val="004504E9"/>
    <w:rsid w:val="00487D67"/>
    <w:rsid w:val="004913BC"/>
    <w:rsid w:val="004F012E"/>
    <w:rsid w:val="005164A9"/>
    <w:rsid w:val="0054725E"/>
    <w:rsid w:val="00560962"/>
    <w:rsid w:val="00562BC8"/>
    <w:rsid w:val="00581AD8"/>
    <w:rsid w:val="00583956"/>
    <w:rsid w:val="005A1D1C"/>
    <w:rsid w:val="005A1E0F"/>
    <w:rsid w:val="005C5B7A"/>
    <w:rsid w:val="005F33F2"/>
    <w:rsid w:val="00626BE0"/>
    <w:rsid w:val="00680092"/>
    <w:rsid w:val="006867E8"/>
    <w:rsid w:val="006B390A"/>
    <w:rsid w:val="006D65D8"/>
    <w:rsid w:val="006D6D42"/>
    <w:rsid w:val="007269B6"/>
    <w:rsid w:val="007547E9"/>
    <w:rsid w:val="00767C9E"/>
    <w:rsid w:val="00781871"/>
    <w:rsid w:val="00782344"/>
    <w:rsid w:val="007874FF"/>
    <w:rsid w:val="007A4F88"/>
    <w:rsid w:val="0080157C"/>
    <w:rsid w:val="00844B1F"/>
    <w:rsid w:val="00870427"/>
    <w:rsid w:val="00887B8D"/>
    <w:rsid w:val="008F628E"/>
    <w:rsid w:val="009408BA"/>
    <w:rsid w:val="0095704E"/>
    <w:rsid w:val="009936BA"/>
    <w:rsid w:val="009C68EF"/>
    <w:rsid w:val="00A03B0B"/>
    <w:rsid w:val="00A07714"/>
    <w:rsid w:val="00A76708"/>
    <w:rsid w:val="00AB1AD8"/>
    <w:rsid w:val="00AC362E"/>
    <w:rsid w:val="00AE0CAF"/>
    <w:rsid w:val="00AE5CD1"/>
    <w:rsid w:val="00B82CD6"/>
    <w:rsid w:val="00BA7796"/>
    <w:rsid w:val="00BB0433"/>
    <w:rsid w:val="00BC7D36"/>
    <w:rsid w:val="00BD1E13"/>
    <w:rsid w:val="00C07314"/>
    <w:rsid w:val="00C15E38"/>
    <w:rsid w:val="00C338BB"/>
    <w:rsid w:val="00C34440"/>
    <w:rsid w:val="00C7546E"/>
    <w:rsid w:val="00C85EA3"/>
    <w:rsid w:val="00C95456"/>
    <w:rsid w:val="00D16C3F"/>
    <w:rsid w:val="00D4173E"/>
    <w:rsid w:val="00D46D8B"/>
    <w:rsid w:val="00D64AF0"/>
    <w:rsid w:val="00DC146E"/>
    <w:rsid w:val="00DD7928"/>
    <w:rsid w:val="00E22985"/>
    <w:rsid w:val="00E45916"/>
    <w:rsid w:val="00E54318"/>
    <w:rsid w:val="00E64F09"/>
    <w:rsid w:val="00E92574"/>
    <w:rsid w:val="00EB12C2"/>
    <w:rsid w:val="00ED0DB5"/>
    <w:rsid w:val="00F84062"/>
    <w:rsid w:val="00FA0BC7"/>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ontefusco@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570</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3711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5</cp:revision>
  <cp:lastPrinted>2012-02-07T16:07:00Z</cp:lastPrinted>
  <dcterms:created xsi:type="dcterms:W3CDTF">2012-02-07T16:00:00Z</dcterms:created>
  <dcterms:modified xsi:type="dcterms:W3CDTF">2012-02-07T16:20:00Z</dcterms:modified>
</cp:coreProperties>
</file>