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4953AD">
        <w:rPr>
          <w:rFonts w:ascii="Arial" w:eastAsiaTheme="minorEastAsia" w:hAnsi="Arial" w:cs="Arial"/>
          <w:b w:val="0"/>
          <w:bCs/>
          <w:color w:val="1074CB"/>
          <w:sz w:val="28"/>
          <w:szCs w:val="28"/>
        </w:rPr>
        <w:t>April</w:t>
      </w:r>
      <w:r w:rsidR="00217384">
        <w:rPr>
          <w:rFonts w:ascii="Arial" w:eastAsiaTheme="minorEastAsia" w:hAnsi="Arial" w:cs="Arial"/>
          <w:b w:val="0"/>
          <w:bCs/>
          <w:color w:val="1074CB"/>
          <w:sz w:val="28"/>
          <w:szCs w:val="28"/>
        </w:rPr>
        <w:t xml:space="preserve"> 2015</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2E40F0">
        <w:rPr>
          <w:rFonts w:ascii="Arial" w:eastAsiaTheme="minorEastAsia" w:hAnsi="Arial" w:cs="Arial"/>
          <w:b w:val="0"/>
          <w:bCs/>
          <w:color w:val="FF0000"/>
          <w:sz w:val="44"/>
          <w:szCs w:val="44"/>
        </w:rPr>
        <w:t>2</w:t>
      </w:r>
      <w:r w:rsidR="004953AD">
        <w:rPr>
          <w:rFonts w:ascii="Arial" w:eastAsiaTheme="minorEastAsia" w:hAnsi="Arial" w:cs="Arial"/>
          <w:b w:val="0"/>
          <w:bCs/>
          <w:color w:val="FF0000"/>
          <w:sz w:val="44"/>
          <w:szCs w:val="44"/>
        </w:rPr>
        <w:t>8</w:t>
      </w:r>
      <w:r w:rsidR="002E40F0">
        <w:rPr>
          <w:rFonts w:ascii="Arial" w:eastAsiaTheme="minorEastAsia" w:hAnsi="Arial" w:cs="Arial"/>
          <w:b w:val="0"/>
          <w:bCs/>
          <w:color w:val="FF0000"/>
          <w:sz w:val="44"/>
          <w:szCs w:val="44"/>
        </w:rPr>
        <w:t xml:space="preserve"> </w:t>
      </w:r>
      <w:r w:rsidR="004953AD">
        <w:rPr>
          <w:rFonts w:ascii="Arial" w:eastAsiaTheme="minorEastAsia" w:hAnsi="Arial" w:cs="Arial"/>
          <w:b w:val="0"/>
          <w:bCs/>
          <w:color w:val="FF0000"/>
          <w:sz w:val="44"/>
          <w:szCs w:val="44"/>
        </w:rPr>
        <w:t>May</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BC4EBA">
        <w:rPr>
          <w:rFonts w:ascii="Arial" w:eastAsiaTheme="minorEastAsia" w:hAnsi="Arial" w:cs="Arial"/>
          <w:b w:val="0"/>
          <w:bCs/>
          <w:color w:val="FF0000"/>
          <w:sz w:val="44"/>
          <w:szCs w:val="44"/>
        </w:rPr>
        <w:t>5</w:t>
      </w:r>
      <w:r w:rsidRPr="00A72CAD">
        <w:rPr>
          <w:rFonts w:ascii="Arial" w:eastAsiaTheme="minorEastAsia" w:hAnsi="Arial" w:cs="Arial"/>
          <w:b w:val="0"/>
          <w:bCs/>
          <w:color w:val="FF0000"/>
          <w:szCs w:val="24"/>
        </w:rPr>
        <w:t xml:space="preserve"> </w:t>
      </w:r>
    </w:p>
    <w:p w:rsidR="00C23320" w:rsidRPr="002933CF" w:rsidRDefault="00F2126E" w:rsidP="005E0768">
      <w:pPr>
        <w:tabs>
          <w:tab w:val="left" w:pos="889"/>
        </w:tabs>
        <w:rPr>
          <w:rFonts w:ascii="Arial" w:eastAsiaTheme="minorEastAsia" w:hAnsi="Arial" w:cs="Arial"/>
          <w:bCs/>
          <w:color w:val="1074CB"/>
          <w:sz w:val="20"/>
        </w:rPr>
      </w:pPr>
      <w:r w:rsidRPr="00F2126E">
        <w:rPr>
          <w:rFonts w:ascii="Arial" w:eastAsiaTheme="minorEastAsia" w:hAnsi="Arial" w:cs="Arial"/>
          <w:b/>
          <w:bCs/>
          <w:noProof/>
          <w:color w:val="1074CB"/>
          <w:sz w:val="20"/>
        </w:rPr>
        <w:pict>
          <v:line id="Line 4" o:spid="_x0000_s1026" style="position:absolute;z-index:251664384;visibility:visible;mso-wrap-distance-top:-1e-4mm;mso-wrap-distance-bottom:-1e-4mm"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8959C9" w:rsidRDefault="008959C9" w:rsidP="008959C9">
      <w:pPr>
        <w:pStyle w:val="Heading1"/>
        <w:ind w:left="0" w:right="425" w:firstLine="0"/>
      </w:pPr>
      <w:r>
        <w:rPr>
          <w:rFonts w:ascii="Arial" w:hAnsi="Arial" w:cs="Arial"/>
          <w:color w:val="1074CB"/>
          <w:sz w:val="36"/>
          <w:szCs w:val="36"/>
        </w:rPr>
        <w:t>Strong UK market drives car production past 500k in 2015</w:t>
      </w:r>
    </w:p>
    <w:p w:rsidR="008959C9" w:rsidRDefault="008959C9" w:rsidP="008959C9">
      <w:pPr>
        <w:rPr>
          <w:rFonts w:eastAsiaTheme="minorHAnsi"/>
        </w:rPr>
      </w:pPr>
      <w:r>
        <w:rPr>
          <w:rFonts w:ascii="Arial" w:hAnsi="Arial" w:cs="Arial"/>
          <w:sz w:val="20"/>
        </w:rPr>
        <w:t> </w:t>
      </w:r>
    </w:p>
    <w:p w:rsidR="008959C9" w:rsidRDefault="008959C9" w:rsidP="008959C9">
      <w:pPr>
        <w:pStyle w:val="ListParagraph"/>
        <w:numPr>
          <w:ilvl w:val="0"/>
          <w:numId w:val="8"/>
        </w:numPr>
        <w:spacing w:after="120"/>
        <w:contextualSpacing w:val="0"/>
      </w:pPr>
      <w:r>
        <w:rPr>
          <w:rFonts w:ascii="Arial" w:hAnsi="Arial" w:cs="Arial"/>
          <w:sz w:val="20"/>
        </w:rPr>
        <w:t>April sees UK car production hit 500,000 in 2015, boosted by robust domestic market.</w:t>
      </w:r>
    </w:p>
    <w:p w:rsidR="008959C9" w:rsidRDefault="008959C9" w:rsidP="008959C9">
      <w:pPr>
        <w:pStyle w:val="ListParagraph"/>
        <w:numPr>
          <w:ilvl w:val="0"/>
          <w:numId w:val="8"/>
        </w:numPr>
        <w:spacing w:after="120"/>
        <w:contextualSpacing w:val="0"/>
      </w:pPr>
      <w:r>
        <w:rPr>
          <w:rFonts w:ascii="Arial" w:hAnsi="Arial" w:cs="Arial"/>
          <w:sz w:val="20"/>
        </w:rPr>
        <w:t>Year-to-date output stable, with billions of pounds of investments still to be realised in production volumes.</w:t>
      </w:r>
    </w:p>
    <w:p w:rsidR="008959C9" w:rsidRDefault="008959C9" w:rsidP="008959C9">
      <w:pPr>
        <w:pStyle w:val="ListParagraph"/>
        <w:numPr>
          <w:ilvl w:val="0"/>
          <w:numId w:val="8"/>
        </w:numPr>
        <w:spacing w:after="120"/>
        <w:contextualSpacing w:val="0"/>
      </w:pPr>
      <w:r>
        <w:rPr>
          <w:rFonts w:ascii="Arial" w:hAnsi="Arial" w:cs="Arial"/>
          <w:sz w:val="20"/>
        </w:rPr>
        <w:t>Number of cars produced for British customers up 11.1% in April to 29,930 units.</w:t>
      </w:r>
    </w:p>
    <w:p w:rsidR="008959C9" w:rsidRDefault="008959C9" w:rsidP="008959C9">
      <w:r>
        <w:rPr>
          <w:rFonts w:ascii="Arial" w:hAnsi="Arial" w:cs="Arial"/>
          <w:sz w:val="16"/>
          <w:szCs w:val="16"/>
        </w:rPr>
        <w:t> </w:t>
      </w:r>
    </w:p>
    <w:p w:rsidR="008959C9" w:rsidRDefault="008959C9" w:rsidP="008959C9">
      <w:pPr>
        <w:spacing w:line="276" w:lineRule="auto"/>
        <w:rPr>
          <w:rFonts w:ascii="Arial" w:hAnsi="Arial" w:cs="Arial"/>
          <w:sz w:val="20"/>
        </w:rPr>
      </w:pPr>
      <w:r>
        <w:rPr>
          <w:rFonts w:ascii="Arial" w:hAnsi="Arial" w:cs="Arial"/>
          <w:b/>
          <w:bCs/>
          <w:sz w:val="20"/>
        </w:rPr>
        <w:t>28 May 2015</w:t>
      </w:r>
      <w:r>
        <w:rPr>
          <w:rFonts w:ascii="Arial" w:hAnsi="Arial" w:cs="Arial"/>
          <w:sz w:val="20"/>
        </w:rPr>
        <w:t xml:space="preserve"> New figures released today show the UK surpassed the 500,000 milestone for car production this April, with 530,505 new cars built so far this year.</w:t>
      </w:r>
    </w:p>
    <w:p w:rsidR="008959C9" w:rsidRDefault="008959C9" w:rsidP="008959C9">
      <w:pPr>
        <w:spacing w:line="276" w:lineRule="auto"/>
      </w:pPr>
    </w:p>
    <w:p w:rsidR="008959C9" w:rsidRDefault="008959C9" w:rsidP="008959C9">
      <w:r>
        <w:rPr>
          <w:rFonts w:ascii="Arial" w:hAnsi="Arial" w:cs="Arial"/>
          <w:sz w:val="20"/>
        </w:rPr>
        <w:t>Production for the domestic market is up 19.4% in the first four months of the year</w:t>
      </w:r>
      <w:r w:rsidR="0074351B">
        <w:rPr>
          <w:rFonts w:ascii="Arial" w:hAnsi="Arial" w:cs="Arial"/>
          <w:sz w:val="20"/>
        </w:rPr>
        <w:t>,</w:t>
      </w:r>
      <w:r>
        <w:rPr>
          <w:rFonts w:ascii="Arial" w:hAnsi="Arial" w:cs="Arial"/>
          <w:sz w:val="20"/>
        </w:rPr>
        <w:t xml:space="preserve"> reflecting strong performance in the UK new car market. The figures come as the UK automotive industry gears up for a wave of new models following billions of pounds worth of recent investment into the UK. Among the global manufacturers investing in UK production are Bentley, Honda, Jaguar Land Rover and MINI – all with new products due to roll off production lines in the next few months.</w:t>
      </w:r>
    </w:p>
    <w:p w:rsidR="008959C9" w:rsidRDefault="008959C9" w:rsidP="008959C9">
      <w:pPr>
        <w:spacing w:line="276" w:lineRule="auto"/>
      </w:pPr>
      <w:r>
        <w:rPr>
          <w:rFonts w:ascii="Arial" w:hAnsi="Arial" w:cs="Arial"/>
          <w:sz w:val="20"/>
        </w:rPr>
        <w:t> </w:t>
      </w:r>
    </w:p>
    <w:p w:rsidR="008959C9" w:rsidRDefault="008959C9" w:rsidP="008959C9">
      <w:pPr>
        <w:spacing w:line="276" w:lineRule="auto"/>
      </w:pPr>
      <w:r>
        <w:rPr>
          <w:rFonts w:ascii="Arial" w:hAnsi="Arial" w:cs="Arial"/>
          <w:b/>
          <w:bCs/>
          <w:sz w:val="20"/>
        </w:rPr>
        <w:t>Mike Hawes, SMMT Chief Executive, said,</w:t>
      </w:r>
      <w:r>
        <w:rPr>
          <w:rFonts w:ascii="Arial" w:hAnsi="Arial" w:cs="Arial"/>
          <w:sz w:val="20"/>
        </w:rPr>
        <w:t xml:space="preserve"> “UK car production has escalated in recent years and continues to perform steadily in 2015. Manufacturers across the country are poised to see yet more growth following multi billion pound investments and, providing global markets perform well, output is on track to reach record levels in the next few years.”</w:t>
      </w:r>
    </w:p>
    <w:p w:rsidR="008959C9" w:rsidRDefault="008959C9" w:rsidP="008959C9">
      <w:pPr>
        <w:spacing w:line="276" w:lineRule="auto"/>
      </w:pPr>
      <w:r>
        <w:rPr>
          <w:rFonts w:cs="Times"/>
          <w:szCs w:val="24"/>
        </w:rPr>
        <w:t> </w:t>
      </w:r>
    </w:p>
    <w:tbl>
      <w:tblPr>
        <w:tblW w:w="9318" w:type="dxa"/>
        <w:tblInd w:w="93" w:type="dxa"/>
        <w:tblCellMar>
          <w:left w:w="0" w:type="dxa"/>
          <w:right w:w="0" w:type="dxa"/>
        </w:tblCellMar>
        <w:tblLook w:val="04A0"/>
      </w:tblPr>
      <w:tblGrid>
        <w:gridCol w:w="2142"/>
        <w:gridCol w:w="1134"/>
        <w:gridCol w:w="1134"/>
        <w:gridCol w:w="1275"/>
        <w:gridCol w:w="1311"/>
        <w:gridCol w:w="1106"/>
        <w:gridCol w:w="1216"/>
      </w:tblGrid>
      <w:tr w:rsidR="008959C9" w:rsidTr="008959C9">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Apr-14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Apr-15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8959C9" w:rsidRDefault="008959C9">
            <w:pPr>
              <w:spacing w:line="276" w:lineRule="auto"/>
              <w:jc w:val="center"/>
              <w:rPr>
                <w:rFonts w:ascii="Calibri" w:eastAsiaTheme="minorHAnsi" w:hAnsi="Calibri"/>
                <w:sz w:val="22"/>
                <w:szCs w:val="22"/>
              </w:rPr>
            </w:pPr>
            <w:r>
              <w:rPr>
                <w:rFonts w:ascii="Arial" w:hAnsi="Arial" w:cs="Arial"/>
                <w:b/>
                <w:bCs/>
                <w:color w:val="002060"/>
                <w:sz w:val="20"/>
              </w:rPr>
              <w:t>% Change</w:t>
            </w:r>
          </w:p>
        </w:tc>
      </w:tr>
      <w:tr w:rsidR="008959C9" w:rsidTr="008959C9">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b/>
                <w:bCs/>
                <w:color w:val="002060"/>
                <w:sz w:val="20"/>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133,437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128,312</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-3.8%</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538,240</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530,505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-1.4%</w:t>
            </w:r>
          </w:p>
        </w:tc>
      </w:tr>
      <w:tr w:rsidR="008959C9" w:rsidTr="008959C9">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b/>
                <w:bCs/>
                <w:color w:val="002060"/>
                <w:sz w:val="20"/>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26,930</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29,930</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11.1%</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113,435</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135,445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19.4%</w:t>
            </w:r>
          </w:p>
        </w:tc>
      </w:tr>
      <w:tr w:rsidR="008959C9" w:rsidTr="008959C9">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b/>
                <w:bCs/>
                <w:color w:val="002060"/>
                <w:sz w:val="20"/>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106,507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98,382</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-7.6%</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424,805</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395,060</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18"/>
                <w:szCs w:val="18"/>
              </w:rPr>
              <w:t>-7.0%</w:t>
            </w:r>
          </w:p>
        </w:tc>
      </w:tr>
      <w:tr w:rsidR="008959C9" w:rsidTr="008959C9">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b/>
                <w:bCs/>
                <w:color w:val="002060"/>
                <w:sz w:val="20"/>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79.8%</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76.7%</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78.6%</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74.5%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8959C9" w:rsidRDefault="008959C9">
            <w:pPr>
              <w:spacing w:line="276" w:lineRule="auto"/>
              <w:jc w:val="right"/>
              <w:rPr>
                <w:rFonts w:ascii="Calibri" w:eastAsiaTheme="minorHAnsi" w:hAnsi="Calibri"/>
                <w:sz w:val="22"/>
                <w:szCs w:val="22"/>
              </w:rPr>
            </w:pPr>
            <w:r>
              <w:rPr>
                <w:rFonts w:ascii="Arial" w:hAnsi="Arial" w:cs="Arial"/>
                <w:color w:val="002060"/>
                <w:sz w:val="20"/>
              </w:rPr>
              <w:t> </w:t>
            </w:r>
          </w:p>
        </w:tc>
      </w:tr>
    </w:tbl>
    <w:p w:rsidR="00F77290" w:rsidRDefault="0028787F" w:rsidP="00F77290">
      <w:pPr>
        <w:keepNext/>
        <w:rPr>
          <w:rFonts w:ascii="Arial" w:hAnsi="Arial" w:cs="Arial"/>
          <w:b/>
          <w:color w:val="1F497D" w:themeColor="text2"/>
          <w:sz w:val="20"/>
        </w:rPr>
      </w:pPr>
      <w:r w:rsidRPr="009524D1">
        <w:rPr>
          <w:rFonts w:ascii="Arial" w:hAnsi="Arial" w:cs="Arial"/>
          <w:b/>
          <w:color w:val="1F497D" w:themeColor="text2"/>
          <w:sz w:val="20"/>
        </w:rPr>
        <w:t xml:space="preserve">    </w:t>
      </w:r>
    </w:p>
    <w:p w:rsidR="0080410F" w:rsidRDefault="0080410F" w:rsidP="0080410F">
      <w:pPr>
        <w:tabs>
          <w:tab w:val="right" w:pos="9332"/>
        </w:tabs>
        <w:rPr>
          <w:rFonts w:ascii="Arial" w:hAnsi="Arial" w:cs="Arial"/>
          <w:b/>
          <w:color w:val="0D2255"/>
          <w:sz w:val="20"/>
        </w:rPr>
      </w:pPr>
      <w:bookmarkStart w:id="0" w:name="_GoBack"/>
      <w:r>
        <w:rPr>
          <w:rFonts w:ascii="Arial" w:hAnsi="Arial" w:cs="Arial"/>
          <w:b/>
          <w:color w:val="0D2255"/>
          <w:sz w:val="20"/>
        </w:rPr>
        <w:t xml:space="preserve">Car output – rolling year totals total </w:t>
      </w:r>
      <w:proofErr w:type="spellStart"/>
      <w:r>
        <w:rPr>
          <w:rFonts w:ascii="Arial" w:hAnsi="Arial" w:cs="Arial"/>
          <w:b/>
          <w:color w:val="0D2255"/>
          <w:sz w:val="20"/>
        </w:rPr>
        <w:t>vs</w:t>
      </w:r>
      <w:proofErr w:type="spellEnd"/>
      <w:r>
        <w:rPr>
          <w:rFonts w:ascii="Arial" w:hAnsi="Arial" w:cs="Arial"/>
          <w:b/>
          <w:color w:val="0D2255"/>
          <w:sz w:val="20"/>
        </w:rPr>
        <w:t xml:space="preserve"> </w:t>
      </w:r>
      <w:r w:rsidR="0093005D">
        <w:rPr>
          <w:rFonts w:ascii="Arial" w:hAnsi="Arial" w:cs="Arial"/>
          <w:b/>
          <w:color w:val="0D2255"/>
          <w:sz w:val="20"/>
        </w:rPr>
        <w:t>home</w:t>
      </w:r>
      <w:bookmarkEnd w:id="0"/>
    </w:p>
    <w:p w:rsidR="00134A26" w:rsidRDefault="00134A26" w:rsidP="0080410F">
      <w:pPr>
        <w:tabs>
          <w:tab w:val="right" w:pos="9332"/>
        </w:tabs>
        <w:rPr>
          <w:rFonts w:ascii="Arial" w:hAnsi="Arial" w:cs="Arial"/>
          <w:b/>
          <w:color w:val="0D2255"/>
          <w:sz w:val="20"/>
        </w:rPr>
      </w:pPr>
    </w:p>
    <w:p w:rsidR="00134A26" w:rsidRDefault="00B66FBB" w:rsidP="0080410F">
      <w:pPr>
        <w:tabs>
          <w:tab w:val="right" w:pos="9332"/>
        </w:tabs>
        <w:rPr>
          <w:rFonts w:ascii="Arial" w:hAnsi="Arial" w:cs="Arial"/>
          <w:b/>
          <w:color w:val="0D2255"/>
          <w:sz w:val="20"/>
        </w:rPr>
      </w:pPr>
      <w:r w:rsidRPr="00B66FBB">
        <w:rPr>
          <w:rFonts w:ascii="Arial" w:hAnsi="Arial" w:cs="Arial"/>
          <w:b/>
          <w:color w:val="0D2255"/>
          <w:sz w:val="20"/>
        </w:rPr>
        <w:drawing>
          <wp:inline distT="0" distB="0" distL="0" distR="0">
            <wp:extent cx="5943600" cy="25622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06DA" w:rsidRDefault="004306DA" w:rsidP="004306DA">
      <w:pPr>
        <w:rPr>
          <w:rFonts w:ascii="Arial" w:eastAsia="Times New Roman" w:hAnsi="Arial" w:cs="Arial"/>
          <w:b/>
          <w:color w:val="1074CB"/>
          <w:sz w:val="16"/>
          <w:szCs w:val="16"/>
        </w:rPr>
      </w:pPr>
    </w:p>
    <w:p w:rsidR="004306DA" w:rsidRDefault="004306DA" w:rsidP="004306DA">
      <w:pPr>
        <w:rPr>
          <w:rFonts w:ascii="Arial" w:eastAsia="Times New Roman" w:hAnsi="Arial" w:cs="Arial"/>
          <w:b/>
          <w:color w:val="1074CB"/>
          <w:sz w:val="16"/>
          <w:szCs w:val="16"/>
        </w:rPr>
      </w:pPr>
    </w:p>
    <w:p w:rsidR="004306DA" w:rsidRDefault="004306DA"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w:t>
      </w:r>
      <w:r w:rsidR="004B02AA">
        <w:rPr>
          <w:rFonts w:ascii="Arial" w:eastAsia="Calibri" w:hAnsi="Arial" w:cs="Arial"/>
          <w:b/>
          <w:bCs/>
          <w:color w:val="1074CB"/>
          <w:sz w:val="16"/>
        </w:rPr>
        <w:t>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9"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4306DA" w:rsidRDefault="004306DA"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0" w:history="1">
        <w:r w:rsidRPr="00C6769D">
          <w:rPr>
            <w:rStyle w:val="Hyperlink"/>
            <w:rFonts w:ascii="Arial" w:eastAsia="Times New Roman" w:hAnsi="Arial" w:cs="Arial"/>
            <w:sz w:val="16"/>
            <w:szCs w:val="16"/>
          </w:rPr>
          <w:t>bfoulds@smmt.co.uk</w:t>
        </w:r>
      </w:hyperlink>
    </w:p>
    <w:p w:rsidR="004306DA" w:rsidRPr="0072361D" w:rsidRDefault="004306DA" w:rsidP="004306DA">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E51AE4">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1B" w:rsidRDefault="0074351B" w:rsidP="00C80E70">
      <w:r>
        <w:separator/>
      </w:r>
    </w:p>
  </w:endnote>
  <w:endnote w:type="continuationSeparator" w:id="0">
    <w:p w:rsidR="0074351B" w:rsidRDefault="0074351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1B" w:rsidRPr="004306DA" w:rsidRDefault="0074351B"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1B" w:rsidRDefault="0074351B" w:rsidP="00C80E70">
      <w:r>
        <w:separator/>
      </w:r>
    </w:p>
  </w:footnote>
  <w:footnote w:type="continuationSeparator" w:id="0">
    <w:p w:rsidR="0074351B" w:rsidRDefault="0074351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1B" w:rsidRDefault="0074351B"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1B" w:rsidRDefault="0074351B">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31DB4"/>
    <w:rsid w:val="00033005"/>
    <w:rsid w:val="00046A50"/>
    <w:rsid w:val="00065C4C"/>
    <w:rsid w:val="00066F55"/>
    <w:rsid w:val="00094273"/>
    <w:rsid w:val="000A4DE9"/>
    <w:rsid w:val="000A5DC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5075E"/>
    <w:rsid w:val="00252DCB"/>
    <w:rsid w:val="00264687"/>
    <w:rsid w:val="00266A9A"/>
    <w:rsid w:val="00286B24"/>
    <w:rsid w:val="0028787F"/>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20C83"/>
    <w:rsid w:val="00336064"/>
    <w:rsid w:val="00342547"/>
    <w:rsid w:val="00345B59"/>
    <w:rsid w:val="003552CF"/>
    <w:rsid w:val="00356443"/>
    <w:rsid w:val="00371917"/>
    <w:rsid w:val="00375DF8"/>
    <w:rsid w:val="00377406"/>
    <w:rsid w:val="003824EE"/>
    <w:rsid w:val="003A01D6"/>
    <w:rsid w:val="003A2548"/>
    <w:rsid w:val="003A645F"/>
    <w:rsid w:val="003B1C39"/>
    <w:rsid w:val="003C684D"/>
    <w:rsid w:val="003D08D1"/>
    <w:rsid w:val="003D4A50"/>
    <w:rsid w:val="003D5FBD"/>
    <w:rsid w:val="003D6FB9"/>
    <w:rsid w:val="003E423F"/>
    <w:rsid w:val="003E53DB"/>
    <w:rsid w:val="003E69D3"/>
    <w:rsid w:val="003E784C"/>
    <w:rsid w:val="003F6124"/>
    <w:rsid w:val="004002C5"/>
    <w:rsid w:val="004064E1"/>
    <w:rsid w:val="00410539"/>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5C8C"/>
    <w:rsid w:val="005218AC"/>
    <w:rsid w:val="00525D1A"/>
    <w:rsid w:val="00534F79"/>
    <w:rsid w:val="005407A6"/>
    <w:rsid w:val="00541AF7"/>
    <w:rsid w:val="00542422"/>
    <w:rsid w:val="0055683E"/>
    <w:rsid w:val="005709F5"/>
    <w:rsid w:val="00572907"/>
    <w:rsid w:val="005733CD"/>
    <w:rsid w:val="00577A32"/>
    <w:rsid w:val="005830EF"/>
    <w:rsid w:val="00583B98"/>
    <w:rsid w:val="00583B9B"/>
    <w:rsid w:val="00583E20"/>
    <w:rsid w:val="00585DB0"/>
    <w:rsid w:val="005870B8"/>
    <w:rsid w:val="005A0ACF"/>
    <w:rsid w:val="005A69CE"/>
    <w:rsid w:val="005B33EF"/>
    <w:rsid w:val="005B536B"/>
    <w:rsid w:val="005C4BC2"/>
    <w:rsid w:val="005C668F"/>
    <w:rsid w:val="005C7E78"/>
    <w:rsid w:val="005D34F5"/>
    <w:rsid w:val="005E0768"/>
    <w:rsid w:val="005E2C9D"/>
    <w:rsid w:val="005F44DC"/>
    <w:rsid w:val="005F7C94"/>
    <w:rsid w:val="0060762E"/>
    <w:rsid w:val="00616CD2"/>
    <w:rsid w:val="00625EE5"/>
    <w:rsid w:val="006315A6"/>
    <w:rsid w:val="00642C08"/>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707D9A"/>
    <w:rsid w:val="0071028F"/>
    <w:rsid w:val="0071413A"/>
    <w:rsid w:val="00714EF7"/>
    <w:rsid w:val="0072361D"/>
    <w:rsid w:val="00733542"/>
    <w:rsid w:val="0073709A"/>
    <w:rsid w:val="00741778"/>
    <w:rsid w:val="00741A8B"/>
    <w:rsid w:val="00741B50"/>
    <w:rsid w:val="00742FA5"/>
    <w:rsid w:val="007433FE"/>
    <w:rsid w:val="0074351B"/>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3856"/>
    <w:rsid w:val="007B6A51"/>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52E4"/>
    <w:rsid w:val="00815C6B"/>
    <w:rsid w:val="008234A7"/>
    <w:rsid w:val="00835F96"/>
    <w:rsid w:val="008372BE"/>
    <w:rsid w:val="00846D04"/>
    <w:rsid w:val="00853B7F"/>
    <w:rsid w:val="00853E71"/>
    <w:rsid w:val="00854403"/>
    <w:rsid w:val="00856BDA"/>
    <w:rsid w:val="00861E9C"/>
    <w:rsid w:val="0086619E"/>
    <w:rsid w:val="00866A2F"/>
    <w:rsid w:val="008716AA"/>
    <w:rsid w:val="00871FF2"/>
    <w:rsid w:val="00875A4A"/>
    <w:rsid w:val="00875B47"/>
    <w:rsid w:val="00894038"/>
    <w:rsid w:val="008959C9"/>
    <w:rsid w:val="008A13E6"/>
    <w:rsid w:val="008B04AD"/>
    <w:rsid w:val="008B287D"/>
    <w:rsid w:val="008B39A0"/>
    <w:rsid w:val="008B46EA"/>
    <w:rsid w:val="008B50CB"/>
    <w:rsid w:val="008B5B80"/>
    <w:rsid w:val="008C2E17"/>
    <w:rsid w:val="008C49F7"/>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483C"/>
    <w:rsid w:val="00981DD8"/>
    <w:rsid w:val="00983575"/>
    <w:rsid w:val="009A00FC"/>
    <w:rsid w:val="009B01D2"/>
    <w:rsid w:val="009C2F5C"/>
    <w:rsid w:val="009C6875"/>
    <w:rsid w:val="009C74E7"/>
    <w:rsid w:val="009D2F25"/>
    <w:rsid w:val="009D58F5"/>
    <w:rsid w:val="009D6484"/>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6B80"/>
    <w:rsid w:val="00A46C94"/>
    <w:rsid w:val="00A57889"/>
    <w:rsid w:val="00A65EDE"/>
    <w:rsid w:val="00A67F90"/>
    <w:rsid w:val="00A71401"/>
    <w:rsid w:val="00A77124"/>
    <w:rsid w:val="00A773DB"/>
    <w:rsid w:val="00A85A7A"/>
    <w:rsid w:val="00A86E0E"/>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228C1"/>
    <w:rsid w:val="00B256FB"/>
    <w:rsid w:val="00B2633F"/>
    <w:rsid w:val="00B36DF8"/>
    <w:rsid w:val="00B40BAA"/>
    <w:rsid w:val="00B52EB2"/>
    <w:rsid w:val="00B56116"/>
    <w:rsid w:val="00B66FBB"/>
    <w:rsid w:val="00B67EBD"/>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703F"/>
    <w:rsid w:val="00C07099"/>
    <w:rsid w:val="00C13462"/>
    <w:rsid w:val="00C13883"/>
    <w:rsid w:val="00C16157"/>
    <w:rsid w:val="00C20EC7"/>
    <w:rsid w:val="00C21B7F"/>
    <w:rsid w:val="00C23320"/>
    <w:rsid w:val="00C2402A"/>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E21EA"/>
    <w:rsid w:val="00CE230C"/>
    <w:rsid w:val="00CE3518"/>
    <w:rsid w:val="00CF0876"/>
    <w:rsid w:val="00CF27DB"/>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A0021"/>
    <w:rsid w:val="00DA01A2"/>
    <w:rsid w:val="00DA726D"/>
    <w:rsid w:val="00DB0EAE"/>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43D2"/>
    <w:rsid w:val="00E43D4C"/>
    <w:rsid w:val="00E45A7A"/>
    <w:rsid w:val="00E569E5"/>
    <w:rsid w:val="00E60BCB"/>
    <w:rsid w:val="00E61191"/>
    <w:rsid w:val="00E63248"/>
    <w:rsid w:val="00E634A1"/>
    <w:rsid w:val="00E67C34"/>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F0D80"/>
    <w:rsid w:val="00EF35D8"/>
    <w:rsid w:val="00EF5953"/>
    <w:rsid w:val="00F205F0"/>
    <w:rsid w:val="00F2126E"/>
    <w:rsid w:val="00F24827"/>
    <w:rsid w:val="00F43472"/>
    <w:rsid w:val="00F47600"/>
    <w:rsid w:val="00F50743"/>
    <w:rsid w:val="00F564EF"/>
    <w:rsid w:val="00F66217"/>
    <w:rsid w:val="00F72297"/>
    <w:rsid w:val="00F73D70"/>
    <w:rsid w:val="00F77290"/>
    <w:rsid w:val="00F83C9A"/>
    <w:rsid w:val="00F84115"/>
    <w:rsid w:val="00F84AAC"/>
    <w:rsid w:val="00F850C5"/>
    <w:rsid w:val="00F85A76"/>
    <w:rsid w:val="00F94FE7"/>
    <w:rsid w:val="00F9710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Cars%20Apr-PR%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4849131839289323"/>
          <c:y val="3.1406138472519662E-2"/>
          <c:w val="0.70660660205935799"/>
          <c:h val="0.83761115513665718"/>
        </c:manualLayout>
      </c:layout>
      <c:lineChart>
        <c:grouping val="standard"/>
        <c:ser>
          <c:idx val="0"/>
          <c:order val="0"/>
          <c:tx>
            <c:strRef>
              <c:f>Sheet1!$D$40</c:f>
              <c:strCache>
                <c:ptCount val="1"/>
                <c:pt idx="0">
                  <c:v>Total cars (LH axis)</c:v>
                </c:pt>
              </c:strCache>
            </c:strRef>
          </c:tx>
          <c:spPr>
            <a:ln>
              <a:solidFill>
                <a:srgbClr val="0D2255"/>
              </a:solidFill>
            </a:ln>
          </c:spPr>
          <c:marker>
            <c:symbol val="none"/>
          </c:marker>
          <c:cat>
            <c:numRef>
              <c:f>Sheet1!$E$39:$CN$39</c:f>
              <c:numCache>
                <c:formatCode>mmm\-yy</c:formatCode>
                <c:ptCount val="88"/>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numCache>
            </c:numRef>
          </c:cat>
          <c:val>
            <c:numRef>
              <c:f>Sheet1!$E$40:$CN$40</c:f>
              <c:numCache>
                <c:formatCode>General</c:formatCode>
                <c:ptCount val="88"/>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numCache>
            </c:numRef>
          </c:val>
        </c:ser>
        <c:marker val="1"/>
        <c:axId val="85401600"/>
        <c:axId val="85403136"/>
      </c:lineChart>
      <c:lineChart>
        <c:grouping val="standard"/>
        <c:ser>
          <c:idx val="1"/>
          <c:order val="1"/>
          <c:tx>
            <c:strRef>
              <c:f>Sheet1!$D$41</c:f>
              <c:strCache>
                <c:ptCount val="1"/>
                <c:pt idx="0">
                  <c:v>For UK market (RH axis)</c:v>
                </c:pt>
              </c:strCache>
            </c:strRef>
          </c:tx>
          <c:spPr>
            <a:ln>
              <a:solidFill>
                <a:srgbClr val="1074CB"/>
              </a:solidFill>
            </a:ln>
          </c:spPr>
          <c:marker>
            <c:symbol val="none"/>
          </c:marker>
          <c:cat>
            <c:numRef>
              <c:f>Sheet1!$E$39:$CN$39</c:f>
              <c:numCache>
                <c:formatCode>mmm\-yy</c:formatCode>
                <c:ptCount val="88"/>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numCache>
            </c:numRef>
          </c:cat>
          <c:val>
            <c:numRef>
              <c:f>Sheet1!$E$41:$CN$41</c:f>
              <c:numCache>
                <c:formatCode>General</c:formatCode>
                <c:ptCount val="88"/>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numCache>
            </c:numRef>
          </c:val>
        </c:ser>
        <c:marker val="1"/>
        <c:axId val="85421056"/>
        <c:axId val="85419136"/>
      </c:lineChart>
      <c:dateAx>
        <c:axId val="85401600"/>
        <c:scaling>
          <c:orientation val="minMax"/>
        </c:scaling>
        <c:axPos val="b"/>
        <c:numFmt formatCode="mmm\-yy" sourceLinked="1"/>
        <c:tickLblPos val="nextTo"/>
        <c:txPr>
          <a:bodyPr/>
          <a:lstStyle/>
          <a:p>
            <a:pPr>
              <a:defRPr>
                <a:solidFill>
                  <a:srgbClr val="0D2255"/>
                </a:solidFill>
                <a:latin typeface="Arial" pitchFamily="34" charset="0"/>
                <a:cs typeface="Arial" pitchFamily="34" charset="0"/>
              </a:defRPr>
            </a:pPr>
            <a:endParaRPr lang="en-US"/>
          </a:p>
        </c:txPr>
        <c:crossAx val="85403136"/>
        <c:crosses val="autoZero"/>
        <c:auto val="1"/>
        <c:lblOffset val="100"/>
        <c:majorUnit val="1"/>
        <c:majorTimeUnit val="years"/>
      </c:dateAx>
      <c:valAx>
        <c:axId val="85403136"/>
        <c:scaling>
          <c:orientation val="minMax"/>
          <c:min val="800000"/>
        </c:scaling>
        <c:axPos val="l"/>
        <c:majorGridlines/>
        <c:title>
          <c:tx>
            <c:rich>
              <a:bodyPr rot="-5400000" vert="horz"/>
              <a:lstStyle/>
              <a:p>
                <a:pPr>
                  <a:defRPr sz="1050" i="1">
                    <a:solidFill>
                      <a:srgbClr val="0D2255"/>
                    </a:solidFill>
                    <a:latin typeface="Arial" pitchFamily="34" charset="0"/>
                    <a:cs typeface="Arial" pitchFamily="34" charset="0"/>
                  </a:defRPr>
                </a:pPr>
                <a:r>
                  <a:rPr lang="en-GB" sz="1050" i="1">
                    <a:solidFill>
                      <a:srgbClr val="0D2255"/>
                    </a:solidFill>
                    <a:latin typeface="Arial" pitchFamily="34" charset="0"/>
                    <a:cs typeface="Arial" pitchFamily="34" charset="0"/>
                  </a:rPr>
                  <a:t>Total car manufacturing</a:t>
                </a:r>
              </a:p>
            </c:rich>
          </c:tx>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85401600"/>
        <c:crosses val="autoZero"/>
        <c:crossBetween val="between"/>
      </c:valAx>
      <c:valAx>
        <c:axId val="85419136"/>
        <c:scaling>
          <c:orientation val="minMax"/>
          <c:min val="100000"/>
        </c:scaling>
        <c:axPos val="r"/>
        <c:title>
          <c:tx>
            <c:rich>
              <a:bodyPr rot="-5400000" vert="horz"/>
              <a:lstStyle/>
              <a:p>
                <a:pPr>
                  <a:defRPr sz="1050" i="1">
                    <a:solidFill>
                      <a:srgbClr val="0D2255"/>
                    </a:solidFill>
                  </a:defRPr>
                </a:pPr>
                <a:r>
                  <a:rPr lang="en-GB" sz="1050" i="1">
                    <a:solidFill>
                      <a:srgbClr val="0D2255"/>
                    </a:solidFill>
                  </a:rPr>
                  <a:t>Car manufacturing</a:t>
                </a:r>
                <a:r>
                  <a:rPr lang="en-GB" sz="1050" i="1" baseline="0">
                    <a:solidFill>
                      <a:srgbClr val="0D2255"/>
                    </a:solidFill>
                  </a:rPr>
                  <a:t> for UK market</a:t>
                </a:r>
                <a:endParaRPr lang="en-GB" sz="1050" i="1">
                  <a:solidFill>
                    <a:srgbClr val="0D2255"/>
                  </a:solidFill>
                </a:endParaRPr>
              </a:p>
            </c:rich>
          </c:tx>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85421056"/>
        <c:crosses val="max"/>
        <c:crossBetween val="between"/>
      </c:valAx>
      <c:dateAx>
        <c:axId val="85421056"/>
        <c:scaling>
          <c:orientation val="minMax"/>
        </c:scaling>
        <c:delete val="1"/>
        <c:axPos val="b"/>
        <c:numFmt formatCode="mmm\-yy" sourceLinked="1"/>
        <c:tickLblPos val="none"/>
        <c:crossAx val="85419136"/>
        <c:crosses val="autoZero"/>
        <c:auto val="1"/>
        <c:lblOffset val="100"/>
      </c:dateAx>
    </c:plotArea>
    <c:legend>
      <c:legendPos val="r"/>
      <c:layout>
        <c:manualLayout>
          <c:xMode val="edge"/>
          <c:yMode val="edge"/>
          <c:x val="0.60894323305740616"/>
          <c:y val="0.60500931807315905"/>
          <c:w val="0.22758057935536513"/>
          <c:h val="0.16766911570997867"/>
        </c:manualLayout>
      </c:layout>
      <c:txPr>
        <a:bodyPr/>
        <a:lstStyle/>
        <a:p>
          <a:pPr>
            <a:defRPr sz="800">
              <a:solidFill>
                <a:srgbClr val="0D2255"/>
              </a:solidFill>
              <a:latin typeface="Arial" pitchFamily="34" charset="0"/>
              <a:cs typeface="Arial"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2C7E-82AC-432D-AA8B-BB787D0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6</cp:revision>
  <cp:lastPrinted>2015-05-27T08:40:00Z</cp:lastPrinted>
  <dcterms:created xsi:type="dcterms:W3CDTF">2015-05-26T08:45:00Z</dcterms:created>
  <dcterms:modified xsi:type="dcterms:W3CDTF">2015-05-27T08:48:00Z</dcterms:modified>
</cp:coreProperties>
</file>