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DA" w:rsidRPr="00447CDA" w:rsidRDefault="00447CDA" w:rsidP="00C80E70">
      <w:pPr>
        <w:pStyle w:val="Heading1"/>
        <w:ind w:right="142"/>
        <w:rPr>
          <w:rFonts w:ascii="Arial" w:eastAsiaTheme="minorEastAsia" w:hAnsi="Arial" w:cs="Arial"/>
          <w:bCs/>
          <w:color w:val="1074CB"/>
          <w:sz w:val="20"/>
        </w:rPr>
      </w:pPr>
    </w:p>
    <w:p w:rsidR="00C80E70" w:rsidRPr="00D62A9D" w:rsidRDefault="00C80E70" w:rsidP="00C80E70">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C80E70" w:rsidRDefault="0055683E"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19</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September</w:t>
      </w:r>
      <w:r w:rsidR="008F55A4" w:rsidRPr="0055683E">
        <w:rPr>
          <w:rFonts w:ascii="Arial" w:eastAsiaTheme="minorEastAsia" w:hAnsi="Arial" w:cs="Arial"/>
          <w:b w:val="0"/>
          <w:bCs/>
          <w:color w:val="1074CB"/>
          <w:szCs w:val="24"/>
        </w:rPr>
        <w:t xml:space="preserve"> </w:t>
      </w:r>
      <w:r w:rsidR="00C80E70" w:rsidRPr="00D62A9D">
        <w:rPr>
          <w:rFonts w:ascii="Arial" w:eastAsiaTheme="minorEastAsia" w:hAnsi="Arial" w:cs="Arial"/>
          <w:b w:val="0"/>
          <w:bCs/>
          <w:color w:val="1074CB"/>
          <w:sz w:val="44"/>
          <w:szCs w:val="44"/>
        </w:rPr>
        <w:t>2013</w:t>
      </w:r>
      <w:r w:rsidR="00C80E70" w:rsidRPr="0055683E">
        <w:rPr>
          <w:rFonts w:ascii="Arial" w:eastAsiaTheme="minorEastAsia" w:hAnsi="Arial" w:cs="Arial"/>
          <w:b w:val="0"/>
          <w:bCs/>
          <w:color w:val="1074CB"/>
          <w:szCs w:val="24"/>
        </w:rPr>
        <w:t xml:space="preserve"> </w:t>
      </w:r>
      <w:r w:rsidR="00C80E70"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August</w:t>
      </w:r>
      <w:r w:rsidR="00C80E70">
        <w:rPr>
          <w:rFonts w:ascii="Arial" w:eastAsiaTheme="minorEastAsia" w:hAnsi="Arial" w:cs="Arial"/>
          <w:b w:val="0"/>
          <w:bCs/>
          <w:color w:val="1074CB"/>
          <w:sz w:val="32"/>
          <w:szCs w:val="32"/>
        </w:rPr>
        <w:t xml:space="preserve"> </w:t>
      </w:r>
      <w:r w:rsidR="00C80E70" w:rsidRPr="00D62A9D">
        <w:rPr>
          <w:rFonts w:ascii="Arial" w:eastAsiaTheme="minorEastAsia" w:hAnsi="Arial" w:cs="Arial"/>
          <w:b w:val="0"/>
          <w:bCs/>
          <w:color w:val="1074CB"/>
          <w:sz w:val="32"/>
          <w:szCs w:val="32"/>
        </w:rPr>
        <w:t>2013)</w:t>
      </w:r>
    </w:p>
    <w:p w:rsidR="00C80E70" w:rsidRPr="00C80E70" w:rsidRDefault="00CB674D" w:rsidP="00C80E70">
      <w:pPr>
        <w:tabs>
          <w:tab w:val="left" w:pos="889"/>
        </w:tabs>
        <w:rPr>
          <w:rFonts w:ascii="Arial" w:eastAsiaTheme="minorEastAsia" w:hAnsi="Arial" w:cs="Arial"/>
          <w:bCs/>
          <w:color w:val="1074CB"/>
          <w:sz w:val="10"/>
          <w:szCs w:val="10"/>
        </w:rPr>
      </w:pPr>
      <w:r w:rsidRPr="00CB674D">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C80E70" w:rsidRPr="00D62A9D" w:rsidRDefault="006E5BF9"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UK car manufacturing</w:t>
      </w:r>
      <w:r w:rsidR="0097483C">
        <w:rPr>
          <w:rFonts w:ascii="Arial" w:eastAsiaTheme="minorEastAsia" w:hAnsi="Arial" w:cs="Arial"/>
          <w:bCs/>
          <w:color w:val="1074CB"/>
          <w:sz w:val="36"/>
          <w:szCs w:val="36"/>
        </w:rPr>
        <w:t xml:space="preserve"> </w:t>
      </w:r>
      <w:r w:rsidR="00494E5E">
        <w:rPr>
          <w:rFonts w:ascii="Arial" w:eastAsiaTheme="minorEastAsia" w:hAnsi="Arial" w:cs="Arial"/>
          <w:bCs/>
          <w:color w:val="1074CB"/>
          <w:sz w:val="36"/>
          <w:szCs w:val="36"/>
        </w:rPr>
        <w:t xml:space="preserve">grows </w:t>
      </w:r>
      <w:r w:rsidR="007851A1">
        <w:rPr>
          <w:rFonts w:ascii="Arial" w:eastAsiaTheme="minorEastAsia" w:hAnsi="Arial" w:cs="Arial"/>
          <w:bCs/>
          <w:color w:val="1074CB"/>
          <w:sz w:val="36"/>
          <w:szCs w:val="36"/>
        </w:rPr>
        <w:t>16.2%</w:t>
      </w:r>
      <w:r w:rsidR="00494E5E">
        <w:rPr>
          <w:rFonts w:ascii="Arial" w:eastAsiaTheme="minorEastAsia" w:hAnsi="Arial" w:cs="Arial"/>
          <w:bCs/>
          <w:color w:val="1074CB"/>
          <w:sz w:val="36"/>
          <w:szCs w:val="36"/>
        </w:rPr>
        <w:t xml:space="preserve"> in August</w:t>
      </w:r>
    </w:p>
    <w:p w:rsidR="00C80E70" w:rsidRPr="00E16C76" w:rsidRDefault="00C80E70" w:rsidP="00C80E70">
      <w:pPr>
        <w:rPr>
          <w:rFonts w:ascii="Arial" w:hAnsi="Arial" w:cs="Arial"/>
          <w:sz w:val="10"/>
          <w:szCs w:val="10"/>
        </w:rPr>
      </w:pPr>
    </w:p>
    <w:p w:rsidR="00494E5E" w:rsidRDefault="00C80E70" w:rsidP="00F43472">
      <w:pPr>
        <w:pStyle w:val="ListParagraph"/>
        <w:numPr>
          <w:ilvl w:val="0"/>
          <w:numId w:val="2"/>
        </w:numPr>
        <w:spacing w:line="276" w:lineRule="auto"/>
        <w:rPr>
          <w:rFonts w:ascii="Arial" w:hAnsi="Arial" w:cs="Arial"/>
          <w:sz w:val="20"/>
        </w:rPr>
      </w:pPr>
      <w:r>
        <w:rPr>
          <w:rFonts w:ascii="Arial" w:hAnsi="Arial" w:cs="Arial"/>
          <w:sz w:val="20"/>
        </w:rPr>
        <w:t xml:space="preserve">UK </w:t>
      </w:r>
      <w:r w:rsidR="007851A1">
        <w:rPr>
          <w:rFonts w:ascii="Arial" w:hAnsi="Arial" w:cs="Arial"/>
          <w:sz w:val="20"/>
        </w:rPr>
        <w:t>manufacturers built 91,282 c</w:t>
      </w:r>
      <w:r w:rsidR="007851A1" w:rsidRPr="00DE09BC">
        <w:rPr>
          <w:rFonts w:ascii="Arial" w:hAnsi="Arial" w:cs="Arial"/>
          <w:sz w:val="20"/>
        </w:rPr>
        <w:t>ar</w:t>
      </w:r>
      <w:r w:rsidR="007851A1">
        <w:rPr>
          <w:rFonts w:ascii="Arial" w:hAnsi="Arial" w:cs="Arial"/>
          <w:sz w:val="20"/>
        </w:rPr>
        <w:t xml:space="preserve">s in August, up 12,705 units on 2012. </w:t>
      </w:r>
    </w:p>
    <w:p w:rsidR="00C80E70" w:rsidRPr="00F43472" w:rsidRDefault="00494E5E" w:rsidP="00F43472">
      <w:pPr>
        <w:pStyle w:val="ListParagraph"/>
        <w:numPr>
          <w:ilvl w:val="0"/>
          <w:numId w:val="2"/>
        </w:numPr>
        <w:spacing w:line="276" w:lineRule="auto"/>
        <w:rPr>
          <w:rFonts w:ascii="Arial" w:hAnsi="Arial" w:cs="Arial"/>
          <w:sz w:val="20"/>
        </w:rPr>
      </w:pPr>
      <w:r>
        <w:rPr>
          <w:rFonts w:ascii="Arial" w:hAnsi="Arial" w:cs="Arial"/>
          <w:sz w:val="20"/>
        </w:rPr>
        <w:t>Third successive monthly gain pushes y</w:t>
      </w:r>
      <w:r w:rsidR="008F55A4">
        <w:rPr>
          <w:rFonts w:ascii="Arial" w:hAnsi="Arial" w:cs="Arial"/>
          <w:sz w:val="20"/>
        </w:rPr>
        <w:t xml:space="preserve">ear-to-date volumes up </w:t>
      </w:r>
      <w:r>
        <w:rPr>
          <w:rFonts w:ascii="Arial" w:hAnsi="Arial" w:cs="Arial"/>
          <w:sz w:val="20"/>
        </w:rPr>
        <w:t>3.</w:t>
      </w:r>
      <w:r w:rsidR="008F55A4">
        <w:rPr>
          <w:rFonts w:ascii="Arial" w:hAnsi="Arial" w:cs="Arial"/>
          <w:sz w:val="20"/>
        </w:rPr>
        <w:t xml:space="preserve">1% to </w:t>
      </w:r>
      <w:r>
        <w:rPr>
          <w:rFonts w:ascii="Arial" w:hAnsi="Arial" w:cs="Arial"/>
          <w:sz w:val="20"/>
        </w:rPr>
        <w:t>9</w:t>
      </w:r>
      <w:r w:rsidR="008F55A4">
        <w:rPr>
          <w:rFonts w:ascii="Arial" w:hAnsi="Arial" w:cs="Arial"/>
          <w:sz w:val="20"/>
        </w:rPr>
        <w:t>8</w:t>
      </w:r>
      <w:r>
        <w:rPr>
          <w:rFonts w:ascii="Arial" w:hAnsi="Arial" w:cs="Arial"/>
          <w:sz w:val="20"/>
        </w:rPr>
        <w:t>4,545</w:t>
      </w:r>
      <w:r w:rsidR="008F55A4">
        <w:rPr>
          <w:rFonts w:ascii="Arial" w:hAnsi="Arial" w:cs="Arial"/>
          <w:sz w:val="20"/>
        </w:rPr>
        <w:t xml:space="preserve"> units</w:t>
      </w:r>
      <w:r w:rsidR="007851A1">
        <w:rPr>
          <w:rFonts w:ascii="Arial" w:hAnsi="Arial" w:cs="Arial"/>
          <w:sz w:val="20"/>
        </w:rPr>
        <w:t>.</w:t>
      </w:r>
    </w:p>
    <w:p w:rsidR="007851A1" w:rsidRPr="007851A1" w:rsidRDefault="007851A1" w:rsidP="007851A1">
      <w:pPr>
        <w:pStyle w:val="ListParagraph"/>
        <w:numPr>
          <w:ilvl w:val="0"/>
          <w:numId w:val="2"/>
        </w:numPr>
        <w:spacing w:line="276" w:lineRule="auto"/>
        <w:rPr>
          <w:rFonts w:ascii="Arial" w:hAnsi="Arial" w:cs="Arial"/>
          <w:sz w:val="20"/>
        </w:rPr>
      </w:pPr>
      <w:r>
        <w:rPr>
          <w:rFonts w:ascii="Arial" w:hAnsi="Arial" w:cs="Arial"/>
          <w:sz w:val="20"/>
        </w:rPr>
        <w:t>Month is typically the year's</w:t>
      </w:r>
      <w:r w:rsidR="00133B87">
        <w:rPr>
          <w:rFonts w:ascii="Arial" w:hAnsi="Arial" w:cs="Arial"/>
          <w:sz w:val="20"/>
        </w:rPr>
        <w:t xml:space="preserve"> smallest volume, due to summer/</w:t>
      </w:r>
      <w:r>
        <w:rPr>
          <w:rFonts w:ascii="Arial" w:hAnsi="Arial" w:cs="Arial"/>
          <w:sz w:val="20"/>
        </w:rPr>
        <w:t xml:space="preserve">retooling </w:t>
      </w:r>
      <w:r w:rsidR="00133B87">
        <w:rPr>
          <w:rFonts w:ascii="Arial" w:hAnsi="Arial" w:cs="Arial"/>
          <w:sz w:val="20"/>
        </w:rPr>
        <w:t>breaks in production</w:t>
      </w:r>
      <w:r>
        <w:rPr>
          <w:rFonts w:ascii="Arial" w:hAnsi="Arial" w:cs="Arial"/>
          <w:sz w:val="20"/>
        </w:rPr>
        <w:t xml:space="preserve">.  </w:t>
      </w:r>
    </w:p>
    <w:p w:rsidR="00EB5EA2" w:rsidRDefault="007851A1" w:rsidP="00EB5EA2">
      <w:pPr>
        <w:pStyle w:val="ListParagraph"/>
        <w:numPr>
          <w:ilvl w:val="0"/>
          <w:numId w:val="2"/>
        </w:numPr>
        <w:spacing w:line="276" w:lineRule="auto"/>
        <w:rPr>
          <w:rFonts w:ascii="Arial" w:hAnsi="Arial" w:cs="Arial"/>
          <w:sz w:val="20"/>
        </w:rPr>
      </w:pPr>
      <w:r>
        <w:rPr>
          <w:rFonts w:ascii="Arial" w:hAnsi="Arial" w:cs="Arial"/>
          <w:sz w:val="20"/>
        </w:rPr>
        <w:t xml:space="preserve">Domestic demand </w:t>
      </w:r>
      <w:r w:rsidR="00133B87">
        <w:rPr>
          <w:rFonts w:ascii="Arial" w:hAnsi="Arial" w:cs="Arial"/>
          <w:sz w:val="20"/>
        </w:rPr>
        <w:t>fuelled total increase</w:t>
      </w:r>
      <w:r w:rsidR="00494E5E">
        <w:rPr>
          <w:rFonts w:ascii="Arial" w:hAnsi="Arial" w:cs="Arial"/>
          <w:sz w:val="20"/>
        </w:rPr>
        <w:t>, but export allocation also rose in August</w:t>
      </w:r>
      <w:r>
        <w:rPr>
          <w:rFonts w:ascii="Arial" w:hAnsi="Arial" w:cs="Arial"/>
          <w:sz w:val="20"/>
        </w:rPr>
        <w:t>.</w:t>
      </w:r>
    </w:p>
    <w:p w:rsidR="00D6336B" w:rsidRPr="000D03EA" w:rsidRDefault="00D6336B" w:rsidP="000D03EA">
      <w:pPr>
        <w:tabs>
          <w:tab w:val="left" w:pos="1828"/>
        </w:tabs>
        <w:spacing w:line="276" w:lineRule="auto"/>
        <w:rPr>
          <w:rFonts w:ascii="Arial" w:hAnsi="Arial" w:cs="Arial"/>
          <w:sz w:val="16"/>
          <w:szCs w:val="16"/>
        </w:rPr>
      </w:pPr>
    </w:p>
    <w:p w:rsidR="00D6336B" w:rsidRDefault="002E0BF2" w:rsidP="00C80E70">
      <w:pPr>
        <w:spacing w:line="276" w:lineRule="auto"/>
        <w:rPr>
          <w:rFonts w:ascii="Arial" w:hAnsi="Arial" w:cs="Arial"/>
          <w:sz w:val="20"/>
        </w:rPr>
      </w:pPr>
      <w:r>
        <w:rPr>
          <w:rFonts w:ascii="Arial" w:hAnsi="Arial" w:cs="Arial"/>
          <w:sz w:val="20"/>
        </w:rPr>
        <w:t>"UK car manufacturing is continuing to grow with global automotive brands building on UK-based design, R&amp;D and engineering expertise to produce some of the world's most dynamic, dependable and desirable vehicles,” said Mike Hawes, SMMT Chief Executive. "Despite August typically being one of the year's quietest months due to summer breaks, the past 12 months has been the most productive since late 2008."</w:t>
      </w:r>
    </w:p>
    <w:p w:rsidR="002E0BF2" w:rsidRDefault="002E0BF2" w:rsidP="00C80E70">
      <w:pPr>
        <w:spacing w:line="276" w:lineRule="auto"/>
        <w:rPr>
          <w:rFonts w:ascii="Arial" w:hAnsi="Arial" w:cs="Arial"/>
          <w:sz w:val="20"/>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6D538E" w:rsidRPr="008F55A4" w:rsidTr="00542422">
        <w:trPr>
          <w:trHeight w:val="270"/>
        </w:trPr>
        <w:tc>
          <w:tcPr>
            <w:tcW w:w="1998" w:type="dxa"/>
            <w:shd w:val="clear" w:color="auto" w:fill="auto"/>
            <w:noWrap/>
            <w:vAlign w:val="center"/>
            <w:hideMark/>
          </w:tcPr>
          <w:p w:rsidR="006D538E" w:rsidRPr="00542422" w:rsidRDefault="006D538E" w:rsidP="00505C8C">
            <w:pPr>
              <w:rPr>
                <w:rFonts w:ascii="Arial" w:eastAsia="Times New Roman" w:hAnsi="Arial" w:cs="Arial"/>
                <w:b/>
                <w:color w:val="1F497D" w:themeColor="text2"/>
                <w:sz w:val="20"/>
              </w:rPr>
            </w:pPr>
            <w:r w:rsidRPr="00542422">
              <w:rPr>
                <w:rFonts w:ascii="Arial" w:eastAsia="Times New Roman" w:hAnsi="Arial" w:cs="Arial"/>
                <w:b/>
                <w:color w:val="1F497D" w:themeColor="text2"/>
                <w:sz w:val="20"/>
              </w:rPr>
              <w:t>Car manufacturing</w:t>
            </w:r>
          </w:p>
        </w:tc>
        <w:tc>
          <w:tcPr>
            <w:tcW w:w="1201"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Aug-12</w:t>
            </w:r>
          </w:p>
        </w:tc>
        <w:tc>
          <w:tcPr>
            <w:tcW w:w="939"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Aug-13</w:t>
            </w:r>
          </w:p>
        </w:tc>
        <w:tc>
          <w:tcPr>
            <w:tcW w:w="1262"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 xml:space="preserve">% Change </w:t>
            </w:r>
          </w:p>
        </w:tc>
        <w:tc>
          <w:tcPr>
            <w:tcW w:w="1276"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YTD-12</w:t>
            </w:r>
          </w:p>
        </w:tc>
        <w:tc>
          <w:tcPr>
            <w:tcW w:w="1275"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YTD-13</w:t>
            </w:r>
          </w:p>
        </w:tc>
        <w:tc>
          <w:tcPr>
            <w:tcW w:w="1276"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 Change</w:t>
            </w:r>
          </w:p>
        </w:tc>
      </w:tr>
      <w:tr w:rsidR="006D538E" w:rsidRPr="008F55A4" w:rsidTr="00542422">
        <w:trPr>
          <w:trHeight w:val="270"/>
        </w:trPr>
        <w:tc>
          <w:tcPr>
            <w:tcW w:w="1998" w:type="dxa"/>
            <w:shd w:val="clear" w:color="auto" w:fill="auto"/>
            <w:noWrap/>
            <w:vAlign w:val="center"/>
            <w:hideMark/>
          </w:tcPr>
          <w:p w:rsidR="006D538E" w:rsidRPr="00542422" w:rsidRDefault="006D538E" w:rsidP="00542422">
            <w:pPr>
              <w:jc w:val="right"/>
              <w:rPr>
                <w:rFonts w:ascii="Arial" w:eastAsia="Times New Roman" w:hAnsi="Arial" w:cs="Arial"/>
                <w:b/>
                <w:color w:val="1F497D" w:themeColor="text2"/>
                <w:sz w:val="20"/>
              </w:rPr>
            </w:pPr>
            <w:r w:rsidRPr="00542422">
              <w:rPr>
                <w:rFonts w:ascii="Arial" w:eastAsia="Times New Roman" w:hAnsi="Arial" w:cs="Arial"/>
                <w:b/>
                <w:color w:val="1F497D" w:themeColor="text2"/>
                <w:sz w:val="20"/>
              </w:rPr>
              <w:t>Total</w:t>
            </w:r>
          </w:p>
        </w:tc>
        <w:tc>
          <w:tcPr>
            <w:tcW w:w="1201"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78,577</w:t>
            </w:r>
          </w:p>
        </w:tc>
        <w:tc>
          <w:tcPr>
            <w:tcW w:w="939"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91,282</w:t>
            </w:r>
          </w:p>
        </w:tc>
        <w:tc>
          <w:tcPr>
            <w:tcW w:w="1262"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16.2%</w:t>
            </w:r>
          </w:p>
        </w:tc>
        <w:tc>
          <w:tcPr>
            <w:tcW w:w="1276"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955,084</w:t>
            </w:r>
          </w:p>
        </w:tc>
        <w:tc>
          <w:tcPr>
            <w:tcW w:w="1275"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984,545</w:t>
            </w:r>
          </w:p>
        </w:tc>
        <w:tc>
          <w:tcPr>
            <w:tcW w:w="1276" w:type="dxa"/>
            <w:shd w:val="clear" w:color="auto" w:fill="auto"/>
            <w:noWrap/>
            <w:vAlign w:val="center"/>
            <w:hideMark/>
          </w:tcPr>
          <w:p w:rsidR="006D538E" w:rsidRPr="00542422" w:rsidRDefault="006D538E" w:rsidP="00542422">
            <w:pPr>
              <w:jc w:val="right"/>
              <w:rPr>
                <w:rFonts w:ascii="Arial" w:hAnsi="Arial" w:cs="Arial"/>
                <w:b/>
                <w:color w:val="1F497D"/>
                <w:sz w:val="20"/>
              </w:rPr>
            </w:pPr>
            <w:r w:rsidRPr="00542422">
              <w:rPr>
                <w:rFonts w:ascii="Arial" w:hAnsi="Arial" w:cs="Arial"/>
                <w:b/>
                <w:color w:val="1F497D"/>
                <w:sz w:val="20"/>
              </w:rPr>
              <w:t>3.1%</w:t>
            </w:r>
          </w:p>
        </w:tc>
      </w:tr>
      <w:tr w:rsidR="006D538E" w:rsidRPr="008F55A4" w:rsidTr="00542422">
        <w:trPr>
          <w:trHeight w:val="270"/>
        </w:trPr>
        <w:tc>
          <w:tcPr>
            <w:tcW w:w="1998" w:type="dxa"/>
            <w:shd w:val="clear" w:color="auto" w:fill="auto"/>
            <w:noWrap/>
            <w:vAlign w:val="center"/>
            <w:hideMark/>
          </w:tcPr>
          <w:p w:rsidR="006D538E" w:rsidRPr="00542422" w:rsidRDefault="006D538E" w:rsidP="00542422">
            <w:pPr>
              <w:jc w:val="right"/>
              <w:rPr>
                <w:rFonts w:ascii="Arial" w:eastAsia="Times New Roman" w:hAnsi="Arial" w:cs="Arial"/>
                <w:color w:val="1F497D" w:themeColor="text2"/>
                <w:sz w:val="20"/>
              </w:rPr>
            </w:pPr>
            <w:r w:rsidRPr="00542422">
              <w:rPr>
                <w:rFonts w:ascii="Arial" w:eastAsia="Times New Roman" w:hAnsi="Arial" w:cs="Arial"/>
                <w:color w:val="1F497D" w:themeColor="text2"/>
                <w:sz w:val="20"/>
              </w:rPr>
              <w:t>Home</w:t>
            </w:r>
          </w:p>
        </w:tc>
        <w:tc>
          <w:tcPr>
            <w:tcW w:w="1201"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16,765</w:t>
            </w:r>
          </w:p>
        </w:tc>
        <w:tc>
          <w:tcPr>
            <w:tcW w:w="939"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20,298</w:t>
            </w:r>
          </w:p>
        </w:tc>
        <w:tc>
          <w:tcPr>
            <w:tcW w:w="1262"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21.1%</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168,584</w:t>
            </w:r>
          </w:p>
        </w:tc>
        <w:tc>
          <w:tcPr>
            <w:tcW w:w="1275"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211,947</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25.7%</w:t>
            </w:r>
          </w:p>
        </w:tc>
      </w:tr>
      <w:tr w:rsidR="006D538E" w:rsidRPr="008F55A4" w:rsidTr="00542422">
        <w:trPr>
          <w:trHeight w:val="270"/>
        </w:trPr>
        <w:tc>
          <w:tcPr>
            <w:tcW w:w="1998" w:type="dxa"/>
            <w:shd w:val="clear" w:color="auto" w:fill="auto"/>
            <w:noWrap/>
            <w:vAlign w:val="center"/>
            <w:hideMark/>
          </w:tcPr>
          <w:p w:rsidR="006D538E" w:rsidRPr="00542422" w:rsidRDefault="006D538E" w:rsidP="00542422">
            <w:pPr>
              <w:jc w:val="right"/>
              <w:rPr>
                <w:rFonts w:ascii="Arial" w:eastAsia="Times New Roman" w:hAnsi="Arial" w:cs="Arial"/>
                <w:color w:val="1F497D" w:themeColor="text2"/>
                <w:sz w:val="20"/>
              </w:rPr>
            </w:pPr>
            <w:r w:rsidRPr="00542422">
              <w:rPr>
                <w:rFonts w:ascii="Arial" w:eastAsia="Times New Roman" w:hAnsi="Arial" w:cs="Arial"/>
                <w:color w:val="1F497D" w:themeColor="text2"/>
                <w:sz w:val="20"/>
              </w:rPr>
              <w:t>Export</w:t>
            </w:r>
          </w:p>
        </w:tc>
        <w:tc>
          <w:tcPr>
            <w:tcW w:w="1201"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61,812</w:t>
            </w:r>
          </w:p>
        </w:tc>
        <w:tc>
          <w:tcPr>
            <w:tcW w:w="939"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70,984</w:t>
            </w:r>
          </w:p>
        </w:tc>
        <w:tc>
          <w:tcPr>
            <w:tcW w:w="1262"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14.8%</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786,500</w:t>
            </w:r>
          </w:p>
        </w:tc>
        <w:tc>
          <w:tcPr>
            <w:tcW w:w="1275"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772,598</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-1.8%</w:t>
            </w:r>
          </w:p>
        </w:tc>
      </w:tr>
      <w:tr w:rsidR="006D538E" w:rsidRPr="008F55A4" w:rsidTr="00542422">
        <w:trPr>
          <w:trHeight w:val="270"/>
        </w:trPr>
        <w:tc>
          <w:tcPr>
            <w:tcW w:w="1998" w:type="dxa"/>
            <w:shd w:val="clear" w:color="auto" w:fill="auto"/>
            <w:noWrap/>
            <w:vAlign w:val="center"/>
            <w:hideMark/>
          </w:tcPr>
          <w:p w:rsidR="006D538E" w:rsidRPr="00542422" w:rsidRDefault="006D538E" w:rsidP="00542422">
            <w:pPr>
              <w:jc w:val="right"/>
              <w:rPr>
                <w:rFonts w:ascii="Arial" w:eastAsia="Times New Roman" w:hAnsi="Arial" w:cs="Arial"/>
                <w:color w:val="1F497D" w:themeColor="text2"/>
                <w:sz w:val="20"/>
              </w:rPr>
            </w:pPr>
            <w:r w:rsidRPr="00542422">
              <w:rPr>
                <w:rFonts w:ascii="Arial" w:eastAsia="Times New Roman" w:hAnsi="Arial" w:cs="Arial"/>
                <w:color w:val="1F497D" w:themeColor="text2"/>
                <w:sz w:val="20"/>
              </w:rPr>
              <w:t>% export</w:t>
            </w:r>
          </w:p>
        </w:tc>
        <w:tc>
          <w:tcPr>
            <w:tcW w:w="1201"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78.7%</w:t>
            </w:r>
          </w:p>
        </w:tc>
        <w:tc>
          <w:tcPr>
            <w:tcW w:w="939"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77.8%</w:t>
            </w:r>
          </w:p>
        </w:tc>
        <w:tc>
          <w:tcPr>
            <w:tcW w:w="1262"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 </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82.3%</w:t>
            </w:r>
          </w:p>
        </w:tc>
        <w:tc>
          <w:tcPr>
            <w:tcW w:w="1275"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78.5%</w:t>
            </w:r>
          </w:p>
        </w:tc>
        <w:tc>
          <w:tcPr>
            <w:tcW w:w="1276" w:type="dxa"/>
            <w:shd w:val="clear" w:color="auto" w:fill="auto"/>
            <w:noWrap/>
            <w:vAlign w:val="center"/>
            <w:hideMark/>
          </w:tcPr>
          <w:p w:rsidR="006D538E" w:rsidRPr="00542422" w:rsidRDefault="006D538E" w:rsidP="00542422">
            <w:pPr>
              <w:jc w:val="right"/>
              <w:rPr>
                <w:rFonts w:ascii="Arial" w:hAnsi="Arial" w:cs="Arial"/>
                <w:color w:val="1F497D"/>
                <w:sz w:val="20"/>
              </w:rPr>
            </w:pPr>
            <w:r w:rsidRPr="00542422">
              <w:rPr>
                <w:rFonts w:ascii="Arial" w:hAnsi="Arial" w:cs="Arial"/>
                <w:color w:val="1F497D"/>
                <w:sz w:val="20"/>
              </w:rPr>
              <w:t> </w:t>
            </w:r>
          </w:p>
        </w:tc>
      </w:tr>
    </w:tbl>
    <w:p w:rsidR="00C80E70" w:rsidRDefault="00C80E70" w:rsidP="00C80E70">
      <w:pPr>
        <w:keepNext/>
        <w:spacing w:line="276" w:lineRule="auto"/>
        <w:jc w:val="both"/>
        <w:rPr>
          <w:rFonts w:ascii="Arial" w:hAnsi="Arial" w:cs="Arial"/>
          <w:b/>
          <w:color w:val="0D2255"/>
          <w:sz w:val="10"/>
          <w:szCs w:val="10"/>
        </w:rPr>
      </w:pPr>
    </w:p>
    <w:p w:rsidR="00C80E70" w:rsidRDefault="00D92B21" w:rsidP="00C80E70">
      <w:pPr>
        <w:keepNext/>
        <w:spacing w:line="276" w:lineRule="auto"/>
        <w:jc w:val="both"/>
        <w:rPr>
          <w:rFonts w:ascii="Arial" w:hAnsi="Arial" w:cs="Arial"/>
          <w:b/>
          <w:color w:val="0D2255"/>
          <w:sz w:val="20"/>
        </w:rPr>
      </w:pPr>
      <w:r>
        <w:rPr>
          <w:rFonts w:ascii="Arial" w:hAnsi="Arial" w:cs="Arial"/>
          <w:b/>
          <w:color w:val="0D2255"/>
          <w:sz w:val="20"/>
        </w:rPr>
        <w:br/>
      </w:r>
      <w:r w:rsidR="00C80E70" w:rsidRPr="00D62A9D">
        <w:rPr>
          <w:rFonts w:ascii="Arial" w:hAnsi="Arial" w:cs="Arial"/>
          <w:b/>
          <w:color w:val="0D2255"/>
          <w:sz w:val="20"/>
        </w:rPr>
        <w:t>Car output rolling year total</w:t>
      </w:r>
      <w:r w:rsidR="00C80E70">
        <w:rPr>
          <w:rFonts w:ascii="Arial" w:hAnsi="Arial" w:cs="Arial"/>
          <w:b/>
          <w:color w:val="0D2255"/>
          <w:sz w:val="20"/>
        </w:rPr>
        <w:tab/>
      </w:r>
      <w:r w:rsidR="00C80E70">
        <w:rPr>
          <w:rFonts w:ascii="Arial" w:hAnsi="Arial" w:cs="Arial"/>
          <w:b/>
          <w:color w:val="0D2255"/>
          <w:sz w:val="20"/>
        </w:rPr>
        <w:tab/>
        <w:t xml:space="preserve">      </w:t>
      </w:r>
      <w:r w:rsidR="00EC65AF">
        <w:rPr>
          <w:rFonts w:ascii="Arial" w:hAnsi="Arial" w:cs="Arial"/>
          <w:b/>
          <w:color w:val="0D2255"/>
          <w:sz w:val="20"/>
        </w:rPr>
        <w:tab/>
      </w:r>
      <w:r w:rsidR="00C80E70">
        <w:rPr>
          <w:rFonts w:ascii="Arial" w:hAnsi="Arial" w:cs="Arial"/>
          <w:b/>
          <w:color w:val="0D2255"/>
          <w:sz w:val="20"/>
        </w:rPr>
        <w:t xml:space="preserve">Car </w:t>
      </w:r>
      <w:r w:rsidR="00EC65AF">
        <w:rPr>
          <w:rFonts w:ascii="Arial" w:hAnsi="Arial" w:cs="Arial"/>
          <w:b/>
          <w:color w:val="0D2255"/>
          <w:sz w:val="20"/>
        </w:rPr>
        <w:t>output year-to-date, 2011-2013</w:t>
      </w:r>
    </w:p>
    <w:p w:rsidR="00C80E70" w:rsidRDefault="00CB674D" w:rsidP="00D92B21">
      <w:pPr>
        <w:tabs>
          <w:tab w:val="right" w:pos="9332"/>
        </w:tabs>
        <w:spacing w:line="360" w:lineRule="auto"/>
        <w:rPr>
          <w:rFonts w:ascii="Arial" w:hAnsi="Arial" w:cs="Arial"/>
          <w:sz w:val="16"/>
          <w:szCs w:val="16"/>
        </w:rPr>
      </w:pPr>
      <w:r w:rsidRPr="00CB674D">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210.35pt;margin-top:8.95pt;width:232.9pt;height:194.2pt;z-index:251673600;mso-width-relative:margin;mso-height-relative:margin" stroked="f">
            <v:textbox style="mso-next-textbox:#_x0000_s1031">
              <w:txbxContent>
                <w:p w:rsidR="00494E5E" w:rsidRDefault="00494E5E" w:rsidP="005407A6">
                  <w:r w:rsidRPr="0055683E">
                    <w:rPr>
                      <w:noProof/>
                    </w:rPr>
                    <w:drawing>
                      <wp:inline distT="0" distB="0" distL="0" distR="0">
                        <wp:extent cx="2774950" cy="236445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55683E" w:rsidRPr="0055683E">
        <w:rPr>
          <w:rFonts w:ascii="Arial" w:hAnsi="Arial" w:cs="Arial"/>
          <w:noProof/>
          <w:sz w:val="16"/>
          <w:szCs w:val="16"/>
        </w:rPr>
        <w:drawing>
          <wp:inline distT="0" distB="0" distL="0" distR="0">
            <wp:extent cx="2886075" cy="2667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92B21">
        <w:rPr>
          <w:rFonts w:ascii="Arial" w:hAnsi="Arial" w:cs="Arial"/>
          <w:sz w:val="16"/>
          <w:szCs w:val="16"/>
        </w:rPr>
        <w:tab/>
      </w:r>
    </w:p>
    <w:p w:rsidR="00447CDA" w:rsidRPr="00447CDA" w:rsidRDefault="00447CDA" w:rsidP="00C80E70">
      <w:pPr>
        <w:pStyle w:val="Heading1"/>
        <w:ind w:right="142"/>
        <w:rPr>
          <w:rFonts w:ascii="Arial" w:eastAsiaTheme="minorEastAsia" w:hAnsi="Arial" w:cs="Arial"/>
          <w:bCs/>
          <w:color w:val="1074CB"/>
          <w:sz w:val="20"/>
        </w:rPr>
      </w:pPr>
    </w:p>
    <w:p w:rsidR="00C80E70" w:rsidRPr="00C80E70" w:rsidRDefault="00C80E70" w:rsidP="00C80E70">
      <w:pPr>
        <w:pStyle w:val="Heading1"/>
        <w:ind w:right="142"/>
        <w:rPr>
          <w:rFonts w:ascii="Arial" w:eastAsiaTheme="minorEastAsia" w:hAnsi="Arial" w:cs="Arial"/>
          <w:bCs/>
          <w:color w:val="1074CB"/>
          <w:sz w:val="38"/>
          <w:szCs w:val="38"/>
        </w:rPr>
      </w:pPr>
      <w:r w:rsidRPr="00C80E70">
        <w:rPr>
          <w:rFonts w:ascii="Arial" w:eastAsiaTheme="minorEastAsia" w:hAnsi="Arial" w:cs="Arial"/>
          <w:bCs/>
          <w:color w:val="1074CB"/>
          <w:sz w:val="38"/>
          <w:szCs w:val="38"/>
        </w:rPr>
        <w:t>UK COMMERCIAL VEHICLE MANUFACTURING</w:t>
      </w:r>
    </w:p>
    <w:p w:rsidR="00C80E70" w:rsidRDefault="0055683E"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19</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September</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44"/>
          <w:szCs w:val="44"/>
        </w:rPr>
        <w:t>2013</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August </w:t>
      </w:r>
      <w:r w:rsidRPr="00D62A9D">
        <w:rPr>
          <w:rFonts w:ascii="Arial" w:eastAsiaTheme="minorEastAsia" w:hAnsi="Arial" w:cs="Arial"/>
          <w:b w:val="0"/>
          <w:bCs/>
          <w:color w:val="1074CB"/>
          <w:sz w:val="32"/>
          <w:szCs w:val="32"/>
        </w:rPr>
        <w:t>2013)</w:t>
      </w:r>
    </w:p>
    <w:p w:rsidR="00C80E70" w:rsidRPr="007B7D91" w:rsidRDefault="00CB674D" w:rsidP="00C80E70">
      <w:r w:rsidRPr="00CB674D">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A773DB"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Weak EU demand and domestic restructuring continues </w:t>
      </w:r>
      <w:r w:rsidR="005407A6">
        <w:rPr>
          <w:rFonts w:ascii="Arial" w:eastAsiaTheme="minorEastAsia" w:hAnsi="Arial" w:cs="Arial"/>
          <w:bCs/>
          <w:color w:val="1074CB"/>
          <w:sz w:val="36"/>
          <w:szCs w:val="36"/>
        </w:rPr>
        <w:t>CV</w:t>
      </w:r>
      <w:r w:rsidR="00761183">
        <w:rPr>
          <w:rFonts w:ascii="Arial" w:eastAsiaTheme="minorEastAsia" w:hAnsi="Arial" w:cs="Arial"/>
          <w:bCs/>
          <w:color w:val="1074CB"/>
          <w:sz w:val="36"/>
          <w:szCs w:val="36"/>
        </w:rPr>
        <w:t xml:space="preserve"> manufacturing</w:t>
      </w:r>
      <w:r w:rsidR="005407A6">
        <w:rPr>
          <w:rFonts w:ascii="Arial" w:eastAsiaTheme="minorEastAsia" w:hAnsi="Arial" w:cs="Arial"/>
          <w:bCs/>
          <w:color w:val="1074CB"/>
          <w:sz w:val="36"/>
          <w:szCs w:val="36"/>
        </w:rPr>
        <w:t xml:space="preserve"> </w:t>
      </w:r>
      <w:r>
        <w:rPr>
          <w:rFonts w:ascii="Arial" w:eastAsiaTheme="minorEastAsia" w:hAnsi="Arial" w:cs="Arial"/>
          <w:bCs/>
          <w:color w:val="1074CB"/>
          <w:sz w:val="36"/>
          <w:szCs w:val="36"/>
        </w:rPr>
        <w:t xml:space="preserve">decline </w:t>
      </w:r>
      <w:r w:rsidR="00494E5E">
        <w:rPr>
          <w:rFonts w:ascii="Arial" w:eastAsiaTheme="minorEastAsia" w:hAnsi="Arial" w:cs="Arial"/>
          <w:bCs/>
          <w:color w:val="1074CB"/>
          <w:sz w:val="36"/>
          <w:szCs w:val="36"/>
        </w:rPr>
        <w:t>in August</w:t>
      </w:r>
    </w:p>
    <w:p w:rsidR="00C80E70" w:rsidRPr="00C80E70" w:rsidRDefault="00C80E70" w:rsidP="00C80E70">
      <w:pPr>
        <w:rPr>
          <w:sz w:val="10"/>
          <w:szCs w:val="10"/>
        </w:rPr>
      </w:pPr>
    </w:p>
    <w:p w:rsidR="00494E5E" w:rsidRDefault="005407A6" w:rsidP="005407A6">
      <w:pPr>
        <w:numPr>
          <w:ilvl w:val="0"/>
          <w:numId w:val="3"/>
        </w:numPr>
        <w:spacing w:line="276" w:lineRule="auto"/>
        <w:rPr>
          <w:rFonts w:ascii="Arial" w:hAnsi="Arial" w:cs="Arial"/>
          <w:sz w:val="20"/>
        </w:rPr>
      </w:pPr>
      <w:r>
        <w:rPr>
          <w:rFonts w:ascii="Arial" w:hAnsi="Arial" w:cs="Arial"/>
          <w:sz w:val="20"/>
        </w:rPr>
        <w:t xml:space="preserve">Commercial vehicle (CV) output </w:t>
      </w:r>
      <w:r w:rsidR="00A773DB">
        <w:rPr>
          <w:rFonts w:ascii="Arial" w:hAnsi="Arial" w:cs="Arial"/>
          <w:sz w:val="20"/>
        </w:rPr>
        <w:t>continued to fa</w:t>
      </w:r>
      <w:r w:rsidR="00761183">
        <w:rPr>
          <w:rFonts w:ascii="Arial" w:hAnsi="Arial" w:cs="Arial"/>
          <w:sz w:val="20"/>
        </w:rPr>
        <w:t xml:space="preserve">ll </w:t>
      </w:r>
      <w:r w:rsidR="00A773DB">
        <w:rPr>
          <w:rFonts w:ascii="Arial" w:hAnsi="Arial" w:cs="Arial"/>
          <w:sz w:val="20"/>
        </w:rPr>
        <w:t>in August</w:t>
      </w:r>
      <w:r w:rsidR="00DB3768">
        <w:rPr>
          <w:rFonts w:ascii="Arial" w:hAnsi="Arial" w:cs="Arial"/>
          <w:sz w:val="20"/>
        </w:rPr>
        <w:t>,</w:t>
      </w:r>
      <w:r w:rsidR="00A773DB">
        <w:rPr>
          <w:rFonts w:ascii="Arial" w:hAnsi="Arial" w:cs="Arial"/>
          <w:sz w:val="20"/>
        </w:rPr>
        <w:t xml:space="preserve"> down </w:t>
      </w:r>
      <w:r w:rsidR="00494E5E">
        <w:rPr>
          <w:rFonts w:ascii="Arial" w:hAnsi="Arial" w:cs="Arial"/>
          <w:sz w:val="20"/>
        </w:rPr>
        <w:t>51.1</w:t>
      </w:r>
      <w:r w:rsidR="00761183">
        <w:rPr>
          <w:rFonts w:ascii="Arial" w:hAnsi="Arial" w:cs="Arial"/>
          <w:sz w:val="20"/>
        </w:rPr>
        <w:t xml:space="preserve">% </w:t>
      </w:r>
      <w:r w:rsidR="00A67F90">
        <w:rPr>
          <w:rFonts w:ascii="Arial" w:hAnsi="Arial" w:cs="Arial"/>
          <w:sz w:val="20"/>
        </w:rPr>
        <w:t xml:space="preserve">to </w:t>
      </w:r>
      <w:r w:rsidR="00494E5E">
        <w:rPr>
          <w:rFonts w:ascii="Arial" w:hAnsi="Arial" w:cs="Arial"/>
          <w:sz w:val="20"/>
        </w:rPr>
        <w:t>3,694 units</w:t>
      </w:r>
      <w:r w:rsidR="00A773DB">
        <w:rPr>
          <w:rFonts w:ascii="Arial" w:hAnsi="Arial" w:cs="Arial"/>
          <w:sz w:val="20"/>
        </w:rPr>
        <w:t>.</w:t>
      </w:r>
    </w:p>
    <w:p w:rsidR="00A67F90" w:rsidRDefault="00761183" w:rsidP="00A67F90">
      <w:pPr>
        <w:numPr>
          <w:ilvl w:val="0"/>
          <w:numId w:val="3"/>
        </w:numPr>
        <w:spacing w:line="276" w:lineRule="auto"/>
        <w:rPr>
          <w:rFonts w:ascii="Arial" w:hAnsi="Arial" w:cs="Arial"/>
          <w:sz w:val="20"/>
        </w:rPr>
      </w:pPr>
      <w:r>
        <w:rPr>
          <w:rFonts w:ascii="Arial" w:hAnsi="Arial" w:cs="Arial"/>
          <w:sz w:val="20"/>
        </w:rPr>
        <w:t xml:space="preserve">Year-to-date </w:t>
      </w:r>
      <w:r w:rsidR="00494E5E">
        <w:rPr>
          <w:rFonts w:ascii="Arial" w:hAnsi="Arial" w:cs="Arial"/>
          <w:sz w:val="20"/>
        </w:rPr>
        <w:t>output down 16.6</w:t>
      </w:r>
      <w:r w:rsidR="00A67F90">
        <w:rPr>
          <w:rFonts w:ascii="Arial" w:hAnsi="Arial" w:cs="Arial"/>
          <w:sz w:val="20"/>
        </w:rPr>
        <w:t>% in</w:t>
      </w:r>
      <w:r w:rsidR="00C80E70">
        <w:rPr>
          <w:rFonts w:ascii="Arial" w:hAnsi="Arial" w:cs="Arial"/>
          <w:sz w:val="20"/>
        </w:rPr>
        <w:t xml:space="preserve"> the first </w:t>
      </w:r>
      <w:r>
        <w:rPr>
          <w:rFonts w:ascii="Arial" w:hAnsi="Arial" w:cs="Arial"/>
          <w:sz w:val="20"/>
        </w:rPr>
        <w:t>e</w:t>
      </w:r>
      <w:r w:rsidR="00494E5E">
        <w:rPr>
          <w:rFonts w:ascii="Arial" w:hAnsi="Arial" w:cs="Arial"/>
          <w:sz w:val="20"/>
        </w:rPr>
        <w:t>ight</w:t>
      </w:r>
      <w:r>
        <w:rPr>
          <w:rFonts w:ascii="Arial" w:hAnsi="Arial" w:cs="Arial"/>
          <w:sz w:val="20"/>
        </w:rPr>
        <w:t xml:space="preserve"> months </w:t>
      </w:r>
      <w:r w:rsidR="00C80E70">
        <w:rPr>
          <w:rFonts w:ascii="Arial" w:hAnsi="Arial" w:cs="Arial"/>
          <w:sz w:val="20"/>
        </w:rPr>
        <w:t xml:space="preserve">of 2013 to </w:t>
      </w:r>
      <w:r w:rsidR="00494E5E">
        <w:rPr>
          <w:rFonts w:ascii="Arial" w:hAnsi="Arial" w:cs="Arial"/>
          <w:sz w:val="20"/>
        </w:rPr>
        <w:t>60,646</w:t>
      </w:r>
      <w:r w:rsidR="00C80E70">
        <w:rPr>
          <w:rFonts w:ascii="Arial" w:hAnsi="Arial" w:cs="Arial"/>
          <w:sz w:val="20"/>
        </w:rPr>
        <w:t xml:space="preserve"> units.</w:t>
      </w:r>
    </w:p>
    <w:p w:rsidR="005218AC" w:rsidRDefault="005218AC" w:rsidP="00A67F90">
      <w:pPr>
        <w:numPr>
          <w:ilvl w:val="0"/>
          <w:numId w:val="3"/>
        </w:numPr>
        <w:spacing w:line="276" w:lineRule="auto"/>
        <w:rPr>
          <w:rFonts w:ascii="Arial" w:hAnsi="Arial" w:cs="Arial"/>
          <w:sz w:val="20"/>
        </w:rPr>
      </w:pPr>
      <w:r>
        <w:rPr>
          <w:rFonts w:ascii="Arial" w:hAnsi="Arial" w:cs="Arial"/>
          <w:sz w:val="20"/>
        </w:rPr>
        <w:t>Output expected to remain subdued throughout 2013.</w:t>
      </w:r>
    </w:p>
    <w:p w:rsidR="00A67F90" w:rsidRDefault="00A67F90" w:rsidP="00C80E70">
      <w:pPr>
        <w:spacing w:line="276" w:lineRule="auto"/>
        <w:rPr>
          <w:rFonts w:ascii="Arial" w:hAnsi="Arial" w:cs="Arial"/>
          <w:sz w:val="20"/>
        </w:rPr>
      </w:pPr>
    </w:p>
    <w:p w:rsidR="002E0BF2" w:rsidRDefault="002E0BF2" w:rsidP="002E0BF2">
      <w:pPr>
        <w:rPr>
          <w:rFonts w:ascii="Arial" w:hAnsi="Arial" w:cs="Arial"/>
          <w:sz w:val="20"/>
        </w:rPr>
      </w:pPr>
      <w:r>
        <w:rPr>
          <w:rFonts w:ascii="Arial" w:hAnsi="Arial" w:cs="Arial"/>
          <w:sz w:val="20"/>
        </w:rPr>
        <w:t xml:space="preserve">"Focused almost entirely on the European market, UK commercial vehicle manufacturing has been impacted by ongoing uncertainly in Eurozone countries, model changes and restructuring of some domestic operations," said Mike Hawes, SMMT Chief Executive. "We expect overall commercial vehicle output to remain negative through the rest of the year, but </w:t>
      </w:r>
      <w:bookmarkStart w:id="0" w:name="_GoBack"/>
      <w:bookmarkEnd w:id="0"/>
      <w:r>
        <w:rPr>
          <w:rFonts w:ascii="Arial" w:hAnsi="Arial" w:cs="Arial"/>
          <w:sz w:val="20"/>
        </w:rPr>
        <w:t>some sectors may fare better with recent increases in demand for UK-built trucks and buses."</w:t>
      </w:r>
    </w:p>
    <w:p w:rsidR="00D6336B" w:rsidRDefault="00D6336B" w:rsidP="00C80E70">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6D538E" w:rsidRPr="00761183" w:rsidTr="00505C8C">
        <w:trPr>
          <w:trHeight w:val="270"/>
        </w:trPr>
        <w:tc>
          <w:tcPr>
            <w:tcW w:w="2093" w:type="dxa"/>
            <w:noWrap/>
            <w:vAlign w:val="center"/>
            <w:hideMark/>
          </w:tcPr>
          <w:p w:rsidR="006D538E" w:rsidRPr="00761183" w:rsidRDefault="006D538E" w:rsidP="00505C8C">
            <w:pPr>
              <w:spacing w:line="276" w:lineRule="auto"/>
              <w:rPr>
                <w:rFonts w:ascii="Arial" w:hAnsi="Arial" w:cs="Arial"/>
                <w:b/>
                <w:color w:val="1F497D" w:themeColor="text2"/>
                <w:sz w:val="20"/>
              </w:rPr>
            </w:pPr>
            <w:r w:rsidRPr="00761183">
              <w:rPr>
                <w:rFonts w:ascii="Arial" w:hAnsi="Arial" w:cs="Arial"/>
                <w:b/>
                <w:color w:val="1F497D" w:themeColor="text2"/>
                <w:sz w:val="20"/>
              </w:rPr>
              <w:t>CV manufacturing</w:t>
            </w:r>
          </w:p>
        </w:tc>
        <w:tc>
          <w:tcPr>
            <w:tcW w:w="1276"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Aug-12</w:t>
            </w:r>
          </w:p>
        </w:tc>
        <w:tc>
          <w:tcPr>
            <w:tcW w:w="1134"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Aug-13</w:t>
            </w:r>
          </w:p>
        </w:tc>
        <w:tc>
          <w:tcPr>
            <w:tcW w:w="1275"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 xml:space="preserve">% Change </w:t>
            </w:r>
          </w:p>
        </w:tc>
        <w:tc>
          <w:tcPr>
            <w:tcW w:w="1276"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YTD-12</w:t>
            </w:r>
          </w:p>
        </w:tc>
        <w:tc>
          <w:tcPr>
            <w:tcW w:w="1134"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YTD-13</w:t>
            </w:r>
          </w:p>
        </w:tc>
        <w:tc>
          <w:tcPr>
            <w:tcW w:w="1276"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 Change</w:t>
            </w:r>
          </w:p>
        </w:tc>
      </w:tr>
      <w:tr w:rsidR="006D538E" w:rsidRPr="00761183" w:rsidTr="00505C8C">
        <w:trPr>
          <w:trHeight w:val="270"/>
        </w:trPr>
        <w:tc>
          <w:tcPr>
            <w:tcW w:w="2093" w:type="dxa"/>
            <w:noWrap/>
            <w:vAlign w:val="center"/>
            <w:hideMark/>
          </w:tcPr>
          <w:p w:rsidR="006D538E" w:rsidRPr="00761183" w:rsidRDefault="006D538E" w:rsidP="00505C8C">
            <w:pPr>
              <w:spacing w:line="276" w:lineRule="auto"/>
              <w:jc w:val="right"/>
              <w:rPr>
                <w:rFonts w:ascii="Arial" w:hAnsi="Arial" w:cs="Arial"/>
                <w:b/>
                <w:color w:val="1F497D" w:themeColor="text2"/>
                <w:sz w:val="20"/>
              </w:rPr>
            </w:pPr>
            <w:r w:rsidRPr="00761183">
              <w:rPr>
                <w:rFonts w:ascii="Arial" w:hAnsi="Arial" w:cs="Arial"/>
                <w:b/>
                <w:color w:val="1F497D" w:themeColor="text2"/>
                <w:sz w:val="20"/>
              </w:rPr>
              <w:t>Total</w:t>
            </w:r>
          </w:p>
        </w:tc>
        <w:tc>
          <w:tcPr>
            <w:tcW w:w="1276"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7,608</w:t>
            </w:r>
          </w:p>
        </w:tc>
        <w:tc>
          <w:tcPr>
            <w:tcW w:w="1134"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3,694</w:t>
            </w:r>
          </w:p>
        </w:tc>
        <w:tc>
          <w:tcPr>
            <w:tcW w:w="1275" w:type="dxa"/>
            <w:noWrap/>
            <w:vAlign w:val="center"/>
            <w:hideMark/>
          </w:tcPr>
          <w:p w:rsidR="006D538E" w:rsidRPr="00494E5E" w:rsidRDefault="006D538E" w:rsidP="00505C8C">
            <w:pPr>
              <w:jc w:val="right"/>
              <w:rPr>
                <w:rFonts w:ascii="Arial" w:hAnsi="Arial" w:cs="Arial"/>
                <w:b/>
                <w:color w:val="1F497D"/>
                <w:sz w:val="18"/>
                <w:szCs w:val="18"/>
              </w:rPr>
            </w:pPr>
            <w:r w:rsidRPr="00494E5E">
              <w:rPr>
                <w:rFonts w:ascii="Arial" w:hAnsi="Arial" w:cs="Arial"/>
                <w:b/>
                <w:color w:val="1F497D"/>
                <w:sz w:val="18"/>
                <w:szCs w:val="18"/>
              </w:rPr>
              <w:t>-51.4%</w:t>
            </w:r>
          </w:p>
        </w:tc>
        <w:tc>
          <w:tcPr>
            <w:tcW w:w="1276"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72,708</w:t>
            </w:r>
          </w:p>
        </w:tc>
        <w:tc>
          <w:tcPr>
            <w:tcW w:w="1134" w:type="dxa"/>
            <w:noWrap/>
            <w:vAlign w:val="center"/>
            <w:hideMark/>
          </w:tcPr>
          <w:p w:rsidR="006D538E" w:rsidRPr="00494E5E" w:rsidRDefault="006D538E" w:rsidP="00505C8C">
            <w:pPr>
              <w:jc w:val="right"/>
              <w:rPr>
                <w:rFonts w:ascii="Arial" w:hAnsi="Arial" w:cs="Arial"/>
                <w:b/>
                <w:color w:val="1F497D"/>
                <w:sz w:val="20"/>
              </w:rPr>
            </w:pPr>
            <w:r w:rsidRPr="00494E5E">
              <w:rPr>
                <w:rFonts w:ascii="Arial" w:hAnsi="Arial" w:cs="Arial"/>
                <w:b/>
                <w:color w:val="1F497D"/>
                <w:sz w:val="20"/>
              </w:rPr>
              <w:t>60,646</w:t>
            </w:r>
          </w:p>
        </w:tc>
        <w:tc>
          <w:tcPr>
            <w:tcW w:w="1276" w:type="dxa"/>
            <w:noWrap/>
            <w:vAlign w:val="center"/>
            <w:hideMark/>
          </w:tcPr>
          <w:p w:rsidR="006D538E" w:rsidRPr="00494E5E" w:rsidRDefault="006D538E" w:rsidP="00505C8C">
            <w:pPr>
              <w:jc w:val="right"/>
              <w:rPr>
                <w:rFonts w:ascii="Arial" w:hAnsi="Arial" w:cs="Arial"/>
                <w:b/>
                <w:color w:val="1F497D"/>
                <w:sz w:val="18"/>
                <w:szCs w:val="18"/>
              </w:rPr>
            </w:pPr>
            <w:r w:rsidRPr="00494E5E">
              <w:rPr>
                <w:rFonts w:ascii="Arial" w:hAnsi="Arial" w:cs="Arial"/>
                <w:b/>
                <w:color w:val="1F497D"/>
                <w:sz w:val="18"/>
                <w:szCs w:val="18"/>
              </w:rPr>
              <w:t>-16.6%</w:t>
            </w:r>
          </w:p>
        </w:tc>
      </w:tr>
      <w:tr w:rsidR="006D538E" w:rsidRPr="00761183" w:rsidTr="00505C8C">
        <w:trPr>
          <w:trHeight w:val="270"/>
        </w:trPr>
        <w:tc>
          <w:tcPr>
            <w:tcW w:w="2093" w:type="dxa"/>
            <w:noWrap/>
            <w:vAlign w:val="center"/>
            <w:hideMark/>
          </w:tcPr>
          <w:p w:rsidR="006D538E" w:rsidRPr="00761183" w:rsidRDefault="006D538E" w:rsidP="00505C8C">
            <w:pPr>
              <w:spacing w:line="276" w:lineRule="auto"/>
              <w:jc w:val="right"/>
              <w:rPr>
                <w:rFonts w:ascii="Arial" w:hAnsi="Arial" w:cs="Arial"/>
                <w:color w:val="1F497D" w:themeColor="text2"/>
                <w:sz w:val="20"/>
              </w:rPr>
            </w:pPr>
            <w:r w:rsidRPr="00761183">
              <w:rPr>
                <w:rFonts w:ascii="Arial" w:hAnsi="Arial" w:cs="Arial"/>
                <w:color w:val="1F497D" w:themeColor="text2"/>
                <w:sz w:val="20"/>
              </w:rPr>
              <w:t>Home</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3,648</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1,338</w:t>
            </w:r>
          </w:p>
        </w:tc>
        <w:tc>
          <w:tcPr>
            <w:tcW w:w="1275" w:type="dxa"/>
            <w:noWrap/>
            <w:vAlign w:val="center"/>
            <w:hideMark/>
          </w:tcPr>
          <w:p w:rsidR="006D538E" w:rsidRPr="00494E5E" w:rsidRDefault="006D538E" w:rsidP="00505C8C">
            <w:pPr>
              <w:jc w:val="right"/>
              <w:rPr>
                <w:rFonts w:ascii="Arial" w:hAnsi="Arial" w:cs="Arial"/>
                <w:color w:val="1F497D"/>
                <w:sz w:val="18"/>
                <w:szCs w:val="18"/>
              </w:rPr>
            </w:pPr>
            <w:r w:rsidRPr="00494E5E">
              <w:rPr>
                <w:rFonts w:ascii="Arial" w:hAnsi="Arial" w:cs="Arial"/>
                <w:color w:val="1F497D"/>
                <w:sz w:val="18"/>
                <w:szCs w:val="18"/>
              </w:rPr>
              <w:t>-63.3%</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29,918</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27,539</w:t>
            </w:r>
          </w:p>
        </w:tc>
        <w:tc>
          <w:tcPr>
            <w:tcW w:w="1276" w:type="dxa"/>
            <w:noWrap/>
            <w:vAlign w:val="center"/>
            <w:hideMark/>
          </w:tcPr>
          <w:p w:rsidR="006D538E" w:rsidRPr="00494E5E" w:rsidRDefault="006D538E" w:rsidP="00505C8C">
            <w:pPr>
              <w:jc w:val="right"/>
              <w:rPr>
                <w:rFonts w:ascii="Arial" w:hAnsi="Arial" w:cs="Arial"/>
                <w:color w:val="1F497D"/>
                <w:sz w:val="18"/>
                <w:szCs w:val="18"/>
              </w:rPr>
            </w:pPr>
            <w:r w:rsidRPr="00494E5E">
              <w:rPr>
                <w:rFonts w:ascii="Arial" w:hAnsi="Arial" w:cs="Arial"/>
                <w:color w:val="1F497D"/>
                <w:sz w:val="18"/>
                <w:szCs w:val="18"/>
              </w:rPr>
              <w:t>-8.0%</w:t>
            </w:r>
          </w:p>
        </w:tc>
      </w:tr>
      <w:tr w:rsidR="006D538E" w:rsidRPr="00761183" w:rsidTr="00505C8C">
        <w:trPr>
          <w:trHeight w:val="270"/>
        </w:trPr>
        <w:tc>
          <w:tcPr>
            <w:tcW w:w="2093" w:type="dxa"/>
            <w:noWrap/>
            <w:vAlign w:val="center"/>
            <w:hideMark/>
          </w:tcPr>
          <w:p w:rsidR="006D538E" w:rsidRPr="00761183" w:rsidRDefault="006D538E" w:rsidP="00505C8C">
            <w:pPr>
              <w:spacing w:line="276" w:lineRule="auto"/>
              <w:jc w:val="right"/>
              <w:rPr>
                <w:rFonts w:ascii="Arial" w:hAnsi="Arial" w:cs="Arial"/>
                <w:color w:val="1F497D" w:themeColor="text2"/>
                <w:sz w:val="20"/>
              </w:rPr>
            </w:pPr>
            <w:r w:rsidRPr="00761183">
              <w:rPr>
                <w:rFonts w:ascii="Arial" w:hAnsi="Arial" w:cs="Arial"/>
                <w:color w:val="1F497D" w:themeColor="text2"/>
                <w:sz w:val="20"/>
              </w:rPr>
              <w:t>Export</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3,960</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2,356</w:t>
            </w:r>
          </w:p>
        </w:tc>
        <w:tc>
          <w:tcPr>
            <w:tcW w:w="1275" w:type="dxa"/>
            <w:noWrap/>
            <w:vAlign w:val="center"/>
            <w:hideMark/>
          </w:tcPr>
          <w:p w:rsidR="006D538E" w:rsidRPr="00494E5E" w:rsidRDefault="006D538E" w:rsidP="00505C8C">
            <w:pPr>
              <w:jc w:val="right"/>
              <w:rPr>
                <w:rFonts w:ascii="Arial" w:hAnsi="Arial" w:cs="Arial"/>
                <w:color w:val="1F497D"/>
                <w:sz w:val="18"/>
                <w:szCs w:val="18"/>
              </w:rPr>
            </w:pPr>
            <w:r w:rsidRPr="00494E5E">
              <w:rPr>
                <w:rFonts w:ascii="Arial" w:hAnsi="Arial" w:cs="Arial"/>
                <w:color w:val="1F497D"/>
                <w:sz w:val="18"/>
                <w:szCs w:val="18"/>
              </w:rPr>
              <w:t>-40.5%</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42,790</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33,107</w:t>
            </w:r>
          </w:p>
        </w:tc>
        <w:tc>
          <w:tcPr>
            <w:tcW w:w="1276" w:type="dxa"/>
            <w:noWrap/>
            <w:vAlign w:val="center"/>
            <w:hideMark/>
          </w:tcPr>
          <w:p w:rsidR="006D538E" w:rsidRPr="00494E5E" w:rsidRDefault="006D538E" w:rsidP="00505C8C">
            <w:pPr>
              <w:jc w:val="right"/>
              <w:rPr>
                <w:rFonts w:ascii="Arial" w:hAnsi="Arial" w:cs="Arial"/>
                <w:color w:val="1F497D"/>
                <w:sz w:val="18"/>
                <w:szCs w:val="18"/>
              </w:rPr>
            </w:pPr>
            <w:r w:rsidRPr="00494E5E">
              <w:rPr>
                <w:rFonts w:ascii="Arial" w:hAnsi="Arial" w:cs="Arial"/>
                <w:color w:val="1F497D"/>
                <w:sz w:val="18"/>
                <w:szCs w:val="18"/>
              </w:rPr>
              <w:t>-22.6%</w:t>
            </w:r>
          </w:p>
        </w:tc>
      </w:tr>
      <w:tr w:rsidR="006D538E" w:rsidRPr="00761183" w:rsidTr="00505C8C">
        <w:trPr>
          <w:trHeight w:val="270"/>
        </w:trPr>
        <w:tc>
          <w:tcPr>
            <w:tcW w:w="2093" w:type="dxa"/>
            <w:noWrap/>
            <w:vAlign w:val="center"/>
            <w:hideMark/>
          </w:tcPr>
          <w:p w:rsidR="006D538E" w:rsidRPr="00761183" w:rsidRDefault="006D538E" w:rsidP="00505C8C">
            <w:pPr>
              <w:spacing w:line="276" w:lineRule="auto"/>
              <w:jc w:val="right"/>
              <w:rPr>
                <w:rFonts w:ascii="Arial" w:hAnsi="Arial" w:cs="Arial"/>
                <w:color w:val="1F497D" w:themeColor="text2"/>
                <w:sz w:val="20"/>
              </w:rPr>
            </w:pPr>
            <w:r w:rsidRPr="00761183">
              <w:rPr>
                <w:rFonts w:ascii="Arial" w:hAnsi="Arial" w:cs="Arial"/>
                <w:color w:val="1F497D" w:themeColor="text2"/>
                <w:sz w:val="20"/>
              </w:rPr>
              <w:t>% export</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52.1%</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63.8%</w:t>
            </w:r>
          </w:p>
        </w:tc>
        <w:tc>
          <w:tcPr>
            <w:tcW w:w="1275"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 </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58.9%</w:t>
            </w:r>
          </w:p>
        </w:tc>
        <w:tc>
          <w:tcPr>
            <w:tcW w:w="1134"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54.6%</w:t>
            </w:r>
          </w:p>
        </w:tc>
        <w:tc>
          <w:tcPr>
            <w:tcW w:w="1276" w:type="dxa"/>
            <w:noWrap/>
            <w:vAlign w:val="center"/>
            <w:hideMark/>
          </w:tcPr>
          <w:p w:rsidR="006D538E" w:rsidRPr="00494E5E" w:rsidRDefault="006D538E" w:rsidP="00505C8C">
            <w:pPr>
              <w:jc w:val="right"/>
              <w:rPr>
                <w:rFonts w:ascii="Arial" w:hAnsi="Arial" w:cs="Arial"/>
                <w:color w:val="1F497D"/>
                <w:sz w:val="20"/>
              </w:rPr>
            </w:pPr>
            <w:r w:rsidRPr="00494E5E">
              <w:rPr>
                <w:rFonts w:ascii="Arial" w:hAnsi="Arial" w:cs="Arial"/>
                <w:color w:val="1F497D"/>
                <w:sz w:val="20"/>
              </w:rPr>
              <w:t> </w:t>
            </w:r>
          </w:p>
        </w:tc>
      </w:tr>
    </w:tbl>
    <w:p w:rsidR="0055683E" w:rsidRDefault="0055683E" w:rsidP="00C80E70">
      <w:pPr>
        <w:rPr>
          <w:rFonts w:ascii="Arial" w:hAnsi="Arial" w:cs="Arial"/>
          <w:b/>
          <w:color w:val="0D2255"/>
          <w:sz w:val="20"/>
        </w:rPr>
      </w:pPr>
    </w:p>
    <w:p w:rsidR="00C80E70" w:rsidRDefault="00C80E70" w:rsidP="00C80E70">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output year-to-date, 2011-2013</w:t>
      </w:r>
    </w:p>
    <w:p w:rsidR="00C80E70" w:rsidRDefault="00CB674D" w:rsidP="00C80E70">
      <w:r w:rsidRPr="00CB674D">
        <w:rPr>
          <w:noProof/>
          <w:lang w:val="en-US" w:eastAsia="zh-TW"/>
        </w:rPr>
        <w:pict>
          <v:shape id="_x0000_s1030" type="#_x0000_t202" style="position:absolute;margin-left:229.75pt;margin-top:3.75pt;width:231pt;height:192.5pt;z-index:251672576;mso-width-relative:margin;mso-height-relative:margin" stroked="f">
            <v:textbox style="mso-next-textbox:#_x0000_s1030">
              <w:txbxContent>
                <w:p w:rsidR="00494E5E" w:rsidRDefault="00494E5E">
                  <w:r w:rsidRPr="0055683E">
                    <w:rPr>
                      <w:noProof/>
                    </w:rPr>
                    <w:drawing>
                      <wp:inline distT="0" distB="0" distL="0" distR="0">
                        <wp:extent cx="2751151" cy="2218414"/>
                        <wp:effectExtent l="0" t="0" r="0" b="0"/>
                        <wp:docPr id="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55683E" w:rsidRPr="0055683E">
        <w:rPr>
          <w:noProof/>
        </w:rPr>
        <w:drawing>
          <wp:inline distT="0" distB="0" distL="0" distR="0">
            <wp:extent cx="2775005" cy="2441051"/>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5C8C" w:rsidRPr="00505C8C" w:rsidRDefault="00505C8C" w:rsidP="00C80E70">
      <w:pPr>
        <w:pStyle w:val="Heading1"/>
        <w:ind w:left="0" w:right="142" w:firstLine="0"/>
        <w:rPr>
          <w:rFonts w:ascii="Arial" w:eastAsiaTheme="minorEastAsia" w:hAnsi="Arial" w:cs="Arial"/>
          <w:bCs/>
          <w:color w:val="1074CB"/>
          <w:sz w:val="20"/>
        </w:rPr>
      </w:pPr>
    </w:p>
    <w:p w:rsidR="00C80E70" w:rsidRPr="00D62A9D" w:rsidRDefault="00C80E70" w:rsidP="00C80E70">
      <w:pPr>
        <w:pStyle w:val="Heading1"/>
        <w:ind w:left="0" w:right="142" w:firstLine="0"/>
        <w:rPr>
          <w:rFonts w:ascii="Arial" w:eastAsiaTheme="minorEastAsia" w:hAnsi="Arial" w:cs="Arial"/>
          <w:bCs/>
          <w:color w:val="1074CB"/>
          <w:sz w:val="44"/>
          <w:szCs w:val="4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Default="0055683E" w:rsidP="00C80E70">
      <w:pPr>
        <w:pStyle w:val="Heading1"/>
        <w:ind w:right="142"/>
        <w:rPr>
          <w:rFonts w:ascii="Arial" w:eastAsiaTheme="minorEastAsia" w:hAnsi="Arial" w:cs="Arial"/>
          <w:b w:val="0"/>
          <w:bCs/>
          <w:color w:val="1074CB"/>
        </w:rPr>
      </w:pPr>
      <w:r>
        <w:rPr>
          <w:rFonts w:ascii="Arial" w:eastAsiaTheme="minorEastAsia" w:hAnsi="Arial" w:cs="Arial"/>
          <w:b w:val="0"/>
          <w:bCs/>
          <w:color w:val="1074CB"/>
          <w:sz w:val="44"/>
          <w:szCs w:val="44"/>
        </w:rPr>
        <w:t>19</w:t>
      </w:r>
      <w:r w:rsidRPr="00486897">
        <w:rPr>
          <w:rFonts w:ascii="Arial" w:eastAsiaTheme="minorEastAsia" w:hAnsi="Arial" w:cs="Arial"/>
          <w:b w:val="0"/>
          <w:bCs/>
          <w:color w:val="1074CB"/>
          <w:szCs w:val="24"/>
        </w:rPr>
        <w:t xml:space="preserve"> </w:t>
      </w:r>
      <w:r>
        <w:rPr>
          <w:rFonts w:ascii="Arial" w:eastAsiaTheme="minorEastAsia" w:hAnsi="Arial" w:cs="Arial"/>
          <w:b w:val="0"/>
          <w:bCs/>
          <w:color w:val="1074CB"/>
          <w:sz w:val="44"/>
          <w:szCs w:val="44"/>
        </w:rPr>
        <w:t>September</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44"/>
          <w:szCs w:val="44"/>
        </w:rPr>
        <w:t>2013</w:t>
      </w:r>
      <w:r w:rsidRPr="0055683E">
        <w:rPr>
          <w:rFonts w:ascii="Arial" w:eastAsiaTheme="minorEastAsia" w:hAnsi="Arial" w:cs="Arial"/>
          <w:b w:val="0"/>
          <w:bCs/>
          <w:color w:val="1074CB"/>
          <w:szCs w:val="24"/>
        </w:rPr>
        <w:t xml:space="preserve">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 xml:space="preserve">August </w:t>
      </w:r>
      <w:r w:rsidRPr="00D62A9D">
        <w:rPr>
          <w:rFonts w:ascii="Arial" w:eastAsiaTheme="minorEastAsia" w:hAnsi="Arial" w:cs="Arial"/>
          <w:b w:val="0"/>
          <w:bCs/>
          <w:color w:val="1074CB"/>
          <w:sz w:val="32"/>
          <w:szCs w:val="32"/>
        </w:rPr>
        <w:t>2013)</w:t>
      </w:r>
    </w:p>
    <w:p w:rsidR="00C80E70" w:rsidRPr="007B7D91" w:rsidRDefault="00CB674D" w:rsidP="00C80E70">
      <w:r w:rsidRPr="00CB674D">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505C8C"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Year's robust </w:t>
      </w:r>
      <w:r w:rsidR="00467D20">
        <w:rPr>
          <w:rFonts w:ascii="Arial" w:eastAsiaTheme="minorEastAsia" w:hAnsi="Arial" w:cs="Arial"/>
          <w:bCs/>
          <w:color w:val="1074CB"/>
          <w:sz w:val="36"/>
          <w:szCs w:val="36"/>
        </w:rPr>
        <w:t xml:space="preserve">engine </w:t>
      </w:r>
      <w:r w:rsidR="00494E5E">
        <w:rPr>
          <w:rFonts w:ascii="Arial" w:eastAsiaTheme="minorEastAsia" w:hAnsi="Arial" w:cs="Arial"/>
          <w:bCs/>
          <w:color w:val="1074CB"/>
          <w:sz w:val="36"/>
          <w:szCs w:val="36"/>
        </w:rPr>
        <w:t>output</w:t>
      </w:r>
      <w:r w:rsidR="00467D20">
        <w:rPr>
          <w:rFonts w:ascii="Arial" w:eastAsiaTheme="minorEastAsia" w:hAnsi="Arial" w:cs="Arial"/>
          <w:bCs/>
          <w:color w:val="1074CB"/>
          <w:sz w:val="36"/>
          <w:szCs w:val="36"/>
        </w:rPr>
        <w:t xml:space="preserve"> </w:t>
      </w:r>
      <w:r w:rsidR="00DB3768">
        <w:rPr>
          <w:rFonts w:ascii="Arial" w:eastAsiaTheme="minorEastAsia" w:hAnsi="Arial" w:cs="Arial"/>
          <w:bCs/>
          <w:color w:val="1074CB"/>
          <w:sz w:val="36"/>
          <w:szCs w:val="36"/>
        </w:rPr>
        <w:t>over</w:t>
      </w:r>
      <w:r w:rsidR="008F32E6">
        <w:rPr>
          <w:rFonts w:ascii="Arial" w:eastAsiaTheme="minorEastAsia" w:hAnsi="Arial" w:cs="Arial"/>
          <w:bCs/>
          <w:color w:val="1074CB"/>
          <w:sz w:val="36"/>
          <w:szCs w:val="36"/>
        </w:rPr>
        <w:t>come</w:t>
      </w:r>
      <w:r w:rsidR="00DB3768">
        <w:rPr>
          <w:rFonts w:ascii="Arial" w:eastAsiaTheme="minorEastAsia" w:hAnsi="Arial" w:cs="Arial"/>
          <w:bCs/>
          <w:color w:val="1074CB"/>
          <w:sz w:val="36"/>
          <w:szCs w:val="36"/>
        </w:rPr>
        <w:t>s</w:t>
      </w:r>
      <w:r w:rsidR="00924274">
        <w:rPr>
          <w:rFonts w:ascii="Arial" w:eastAsiaTheme="minorEastAsia" w:hAnsi="Arial" w:cs="Arial"/>
          <w:bCs/>
          <w:color w:val="1074CB"/>
          <w:sz w:val="36"/>
          <w:szCs w:val="36"/>
        </w:rPr>
        <w:t xml:space="preserve"> </w:t>
      </w:r>
      <w:r w:rsidR="00DB3768">
        <w:rPr>
          <w:rFonts w:ascii="Arial" w:eastAsiaTheme="minorEastAsia" w:hAnsi="Arial" w:cs="Arial"/>
          <w:bCs/>
          <w:color w:val="1074CB"/>
          <w:sz w:val="36"/>
          <w:szCs w:val="36"/>
        </w:rPr>
        <w:t xml:space="preserve">weak </w:t>
      </w:r>
      <w:r w:rsidR="00924274">
        <w:rPr>
          <w:rFonts w:ascii="Arial" w:eastAsiaTheme="minorEastAsia" w:hAnsi="Arial" w:cs="Arial"/>
          <w:bCs/>
          <w:color w:val="1074CB"/>
          <w:sz w:val="36"/>
          <w:szCs w:val="36"/>
        </w:rPr>
        <w:t>August</w:t>
      </w:r>
    </w:p>
    <w:p w:rsidR="00C80E70" w:rsidRDefault="00C80E70" w:rsidP="00C80E70">
      <w:pPr>
        <w:spacing w:line="276" w:lineRule="auto"/>
        <w:rPr>
          <w:rFonts w:ascii="Verdana" w:hAnsi="Verdana"/>
          <w:sz w:val="20"/>
        </w:rPr>
      </w:pPr>
    </w:p>
    <w:p w:rsidR="00494E5E" w:rsidRDefault="00C80E70" w:rsidP="00924274">
      <w:pPr>
        <w:pStyle w:val="ListParagraph"/>
        <w:numPr>
          <w:ilvl w:val="0"/>
          <w:numId w:val="1"/>
        </w:numPr>
        <w:spacing w:line="360" w:lineRule="auto"/>
        <w:rPr>
          <w:rFonts w:ascii="Arial" w:hAnsi="Arial" w:cs="Arial"/>
          <w:sz w:val="20"/>
        </w:rPr>
      </w:pPr>
      <w:r w:rsidRPr="00300A48">
        <w:rPr>
          <w:rFonts w:ascii="Arial" w:hAnsi="Arial" w:cs="Arial"/>
          <w:sz w:val="20"/>
        </w:rPr>
        <w:t>U</w:t>
      </w:r>
      <w:r w:rsidR="00467D20">
        <w:rPr>
          <w:rFonts w:ascii="Arial" w:hAnsi="Arial" w:cs="Arial"/>
          <w:sz w:val="20"/>
        </w:rPr>
        <w:t xml:space="preserve">K engine manufacturing </w:t>
      </w:r>
      <w:r w:rsidR="00924274">
        <w:rPr>
          <w:rFonts w:ascii="Arial" w:hAnsi="Arial" w:cs="Arial"/>
          <w:sz w:val="20"/>
        </w:rPr>
        <w:t>remained stable</w:t>
      </w:r>
      <w:r w:rsidR="00494E5E">
        <w:rPr>
          <w:rFonts w:ascii="Arial" w:hAnsi="Arial" w:cs="Arial"/>
          <w:sz w:val="20"/>
        </w:rPr>
        <w:t xml:space="preserve"> over the first eight months of 2013</w:t>
      </w:r>
      <w:r w:rsidR="00924274">
        <w:rPr>
          <w:rFonts w:ascii="Arial" w:hAnsi="Arial" w:cs="Arial"/>
          <w:sz w:val="20"/>
        </w:rPr>
        <w:t>,</w:t>
      </w:r>
      <w:r w:rsidR="00924274" w:rsidRPr="00924274">
        <w:rPr>
          <w:rFonts w:ascii="Arial" w:hAnsi="Arial" w:cs="Arial"/>
          <w:sz w:val="20"/>
        </w:rPr>
        <w:t xml:space="preserve"> </w:t>
      </w:r>
      <w:r w:rsidR="00924274">
        <w:rPr>
          <w:rFonts w:ascii="Arial" w:hAnsi="Arial" w:cs="Arial"/>
          <w:sz w:val="20"/>
        </w:rPr>
        <w:t>up 0.3%.</w:t>
      </w:r>
    </w:p>
    <w:p w:rsidR="00C80E70" w:rsidRPr="00300A48" w:rsidRDefault="00DB3768" w:rsidP="00924274">
      <w:pPr>
        <w:pStyle w:val="ListParagraph"/>
        <w:numPr>
          <w:ilvl w:val="0"/>
          <w:numId w:val="1"/>
        </w:numPr>
        <w:spacing w:line="360" w:lineRule="auto"/>
        <w:rPr>
          <w:rFonts w:ascii="Arial" w:hAnsi="Arial" w:cs="Arial"/>
          <w:sz w:val="20"/>
        </w:rPr>
      </w:pPr>
      <w:r>
        <w:rPr>
          <w:rFonts w:ascii="Arial" w:hAnsi="Arial" w:cs="Arial"/>
          <w:sz w:val="20"/>
        </w:rPr>
        <w:t>Typically subdued A</w:t>
      </w:r>
      <w:r w:rsidR="00924274">
        <w:rPr>
          <w:rFonts w:ascii="Arial" w:hAnsi="Arial" w:cs="Arial"/>
          <w:sz w:val="20"/>
        </w:rPr>
        <w:t>ugust volumes s</w:t>
      </w:r>
      <w:r>
        <w:rPr>
          <w:rFonts w:ascii="Arial" w:hAnsi="Arial" w:cs="Arial"/>
          <w:sz w:val="20"/>
        </w:rPr>
        <w:t>aw</w:t>
      </w:r>
      <w:r w:rsidR="00924274">
        <w:rPr>
          <w:rFonts w:ascii="Arial" w:hAnsi="Arial" w:cs="Arial"/>
          <w:sz w:val="20"/>
        </w:rPr>
        <w:t xml:space="preserve"> output </w:t>
      </w:r>
      <w:r>
        <w:rPr>
          <w:rFonts w:ascii="Arial" w:hAnsi="Arial" w:cs="Arial"/>
          <w:sz w:val="20"/>
        </w:rPr>
        <w:t>d</w:t>
      </w:r>
      <w:r w:rsidR="00924274">
        <w:rPr>
          <w:rFonts w:ascii="Arial" w:hAnsi="Arial" w:cs="Arial"/>
          <w:sz w:val="20"/>
        </w:rPr>
        <w:t>own</w:t>
      </w:r>
      <w:r w:rsidR="00494E5E">
        <w:rPr>
          <w:rFonts w:ascii="Arial" w:hAnsi="Arial" w:cs="Arial"/>
          <w:sz w:val="20"/>
        </w:rPr>
        <w:t xml:space="preserve"> 16.4% </w:t>
      </w:r>
      <w:r w:rsidR="00924274">
        <w:rPr>
          <w:rFonts w:ascii="Arial" w:hAnsi="Arial" w:cs="Arial"/>
          <w:sz w:val="20"/>
        </w:rPr>
        <w:t xml:space="preserve">in the month </w:t>
      </w:r>
      <w:r w:rsidR="00494E5E">
        <w:rPr>
          <w:rFonts w:ascii="Arial" w:hAnsi="Arial" w:cs="Arial"/>
          <w:sz w:val="20"/>
        </w:rPr>
        <w:t>to 124,614 units</w:t>
      </w:r>
      <w:r w:rsidR="00924274">
        <w:rPr>
          <w:rFonts w:ascii="Arial" w:hAnsi="Arial" w:cs="Arial"/>
          <w:sz w:val="20"/>
        </w:rPr>
        <w:t>.</w:t>
      </w:r>
    </w:p>
    <w:p w:rsidR="00C80E70" w:rsidRPr="00924274" w:rsidRDefault="00494E5E" w:rsidP="00924274">
      <w:pPr>
        <w:numPr>
          <w:ilvl w:val="0"/>
          <w:numId w:val="1"/>
        </w:numPr>
        <w:spacing w:line="360" w:lineRule="auto"/>
        <w:rPr>
          <w:rFonts w:ascii="Arial" w:hAnsi="Arial" w:cs="Arial"/>
          <w:sz w:val="20"/>
        </w:rPr>
      </w:pPr>
      <w:r>
        <w:rPr>
          <w:rFonts w:ascii="Arial" w:hAnsi="Arial" w:cs="Arial"/>
          <w:sz w:val="20"/>
        </w:rPr>
        <w:t xml:space="preserve">In both month and year-to-date production for home market improved, </w:t>
      </w:r>
      <w:r w:rsidR="00924274">
        <w:rPr>
          <w:rFonts w:ascii="Arial" w:hAnsi="Arial" w:cs="Arial"/>
          <w:sz w:val="20"/>
        </w:rPr>
        <w:t>while</w:t>
      </w:r>
      <w:r>
        <w:rPr>
          <w:rFonts w:ascii="Arial" w:hAnsi="Arial" w:cs="Arial"/>
          <w:sz w:val="20"/>
        </w:rPr>
        <w:t xml:space="preserve"> exports declined</w:t>
      </w:r>
      <w:r w:rsidR="00924274">
        <w:rPr>
          <w:rFonts w:ascii="Arial" w:hAnsi="Arial" w:cs="Arial"/>
          <w:sz w:val="20"/>
        </w:rPr>
        <w:t>.</w:t>
      </w:r>
    </w:p>
    <w:p w:rsidR="00C80E70" w:rsidRDefault="00C80E70" w:rsidP="00C80E70">
      <w:pPr>
        <w:ind w:left="360"/>
        <w:rPr>
          <w:rFonts w:ascii="Arial" w:hAnsi="Arial" w:cs="Arial"/>
          <w:sz w:val="20"/>
        </w:rPr>
      </w:pPr>
    </w:p>
    <w:p w:rsidR="00924274" w:rsidRDefault="00924274" w:rsidP="00C80E70">
      <w:pPr>
        <w:ind w:left="360"/>
        <w:rPr>
          <w:rFonts w:ascii="Arial" w:hAnsi="Arial" w:cs="Arial"/>
          <w:sz w:val="20"/>
        </w:rPr>
      </w:pPr>
    </w:p>
    <w:tbl>
      <w:tblPr>
        <w:tblW w:w="9453"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714EF7" w:rsidRPr="00761183" w:rsidTr="00924274">
        <w:trPr>
          <w:trHeight w:val="270"/>
        </w:trPr>
        <w:tc>
          <w:tcPr>
            <w:tcW w:w="2565" w:type="dxa"/>
            <w:shd w:val="clear" w:color="auto" w:fill="auto"/>
            <w:noWrap/>
            <w:vAlign w:val="center"/>
            <w:hideMark/>
          </w:tcPr>
          <w:p w:rsidR="006D538E" w:rsidRPr="00761183" w:rsidRDefault="006D538E" w:rsidP="00924274">
            <w:pPr>
              <w:rPr>
                <w:rFonts w:ascii="Arial" w:eastAsia="Times New Roman" w:hAnsi="Arial" w:cs="Arial"/>
                <w:b/>
                <w:color w:val="1F497D" w:themeColor="text2"/>
                <w:sz w:val="20"/>
              </w:rPr>
            </w:pPr>
            <w:r w:rsidRPr="00761183">
              <w:rPr>
                <w:rFonts w:ascii="Arial" w:eastAsia="Times New Roman" w:hAnsi="Arial" w:cs="Arial"/>
                <w:b/>
                <w:color w:val="1F497D" w:themeColor="text2"/>
                <w:sz w:val="20"/>
              </w:rPr>
              <w:t>Engine manufacturing</w:t>
            </w:r>
          </w:p>
        </w:tc>
        <w:tc>
          <w:tcPr>
            <w:tcW w:w="992"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Aug-12</w:t>
            </w:r>
          </w:p>
        </w:tc>
        <w:tc>
          <w:tcPr>
            <w:tcW w:w="992"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Aug-13</w:t>
            </w:r>
          </w:p>
        </w:tc>
        <w:tc>
          <w:tcPr>
            <w:tcW w:w="1276"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 xml:space="preserve">% Change </w:t>
            </w:r>
          </w:p>
        </w:tc>
        <w:tc>
          <w:tcPr>
            <w:tcW w:w="1134"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YTD-12</w:t>
            </w:r>
          </w:p>
        </w:tc>
        <w:tc>
          <w:tcPr>
            <w:tcW w:w="1140"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YTD-13</w:t>
            </w:r>
          </w:p>
        </w:tc>
        <w:tc>
          <w:tcPr>
            <w:tcW w:w="1354"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 Change</w:t>
            </w:r>
          </w:p>
        </w:tc>
      </w:tr>
      <w:tr w:rsidR="00714EF7" w:rsidRPr="00761183" w:rsidTr="00714EF7">
        <w:trPr>
          <w:trHeight w:val="270"/>
        </w:trPr>
        <w:tc>
          <w:tcPr>
            <w:tcW w:w="2565" w:type="dxa"/>
            <w:shd w:val="clear" w:color="auto" w:fill="auto"/>
            <w:noWrap/>
            <w:vAlign w:val="bottom"/>
            <w:hideMark/>
          </w:tcPr>
          <w:p w:rsidR="006D538E" w:rsidRPr="00761183" w:rsidRDefault="006D538E" w:rsidP="00761183">
            <w:pPr>
              <w:jc w:val="right"/>
              <w:rPr>
                <w:rFonts w:ascii="Arial" w:eastAsia="Times New Roman" w:hAnsi="Arial" w:cs="Arial"/>
                <w:b/>
                <w:color w:val="1F497D" w:themeColor="text2"/>
                <w:sz w:val="20"/>
              </w:rPr>
            </w:pPr>
            <w:r w:rsidRPr="00761183">
              <w:rPr>
                <w:rFonts w:ascii="Arial" w:eastAsia="Times New Roman" w:hAnsi="Arial" w:cs="Arial"/>
                <w:b/>
                <w:color w:val="1F497D" w:themeColor="text2"/>
                <w:sz w:val="20"/>
              </w:rPr>
              <w:t>Total</w:t>
            </w:r>
          </w:p>
        </w:tc>
        <w:tc>
          <w:tcPr>
            <w:tcW w:w="992"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149,024</w:t>
            </w:r>
          </w:p>
        </w:tc>
        <w:tc>
          <w:tcPr>
            <w:tcW w:w="992"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124,614</w:t>
            </w:r>
          </w:p>
        </w:tc>
        <w:tc>
          <w:tcPr>
            <w:tcW w:w="1276" w:type="dxa"/>
            <w:shd w:val="clear" w:color="auto" w:fill="auto"/>
            <w:noWrap/>
            <w:vAlign w:val="bottom"/>
            <w:hideMark/>
          </w:tcPr>
          <w:p w:rsidR="006D538E" w:rsidRPr="00494E5E" w:rsidRDefault="006D538E">
            <w:pPr>
              <w:jc w:val="right"/>
              <w:rPr>
                <w:rFonts w:ascii="Arial" w:hAnsi="Arial" w:cs="Arial"/>
                <w:b/>
                <w:color w:val="1F497D"/>
                <w:sz w:val="18"/>
                <w:szCs w:val="18"/>
              </w:rPr>
            </w:pPr>
            <w:r w:rsidRPr="00494E5E">
              <w:rPr>
                <w:rFonts w:ascii="Arial" w:hAnsi="Arial" w:cs="Arial"/>
                <w:b/>
                <w:color w:val="1F497D"/>
                <w:sz w:val="18"/>
                <w:szCs w:val="18"/>
              </w:rPr>
              <w:t>-16.4%</w:t>
            </w:r>
          </w:p>
        </w:tc>
        <w:tc>
          <w:tcPr>
            <w:tcW w:w="1134"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1,669,251</w:t>
            </w:r>
          </w:p>
        </w:tc>
        <w:tc>
          <w:tcPr>
            <w:tcW w:w="1140" w:type="dxa"/>
            <w:shd w:val="clear" w:color="auto" w:fill="auto"/>
            <w:noWrap/>
            <w:vAlign w:val="bottom"/>
            <w:hideMark/>
          </w:tcPr>
          <w:p w:rsidR="006D538E" w:rsidRPr="00494E5E" w:rsidRDefault="006D538E">
            <w:pPr>
              <w:jc w:val="right"/>
              <w:rPr>
                <w:rFonts w:ascii="Arial" w:hAnsi="Arial" w:cs="Arial"/>
                <w:b/>
                <w:color w:val="1F497D"/>
                <w:sz w:val="20"/>
              </w:rPr>
            </w:pPr>
            <w:r w:rsidRPr="00494E5E">
              <w:rPr>
                <w:rFonts w:ascii="Arial" w:hAnsi="Arial" w:cs="Arial"/>
                <w:b/>
                <w:color w:val="1F497D"/>
                <w:sz w:val="20"/>
              </w:rPr>
              <w:t>1,673,886</w:t>
            </w:r>
          </w:p>
        </w:tc>
        <w:tc>
          <w:tcPr>
            <w:tcW w:w="1354" w:type="dxa"/>
            <w:shd w:val="clear" w:color="auto" w:fill="auto"/>
            <w:noWrap/>
            <w:vAlign w:val="bottom"/>
            <w:hideMark/>
          </w:tcPr>
          <w:p w:rsidR="006D538E" w:rsidRPr="00494E5E" w:rsidRDefault="006D538E">
            <w:pPr>
              <w:jc w:val="right"/>
              <w:rPr>
                <w:rFonts w:ascii="Arial" w:hAnsi="Arial" w:cs="Arial"/>
                <w:b/>
                <w:color w:val="1F497D"/>
                <w:sz w:val="18"/>
                <w:szCs w:val="18"/>
              </w:rPr>
            </w:pPr>
            <w:r w:rsidRPr="00494E5E">
              <w:rPr>
                <w:rFonts w:ascii="Arial" w:hAnsi="Arial" w:cs="Arial"/>
                <w:b/>
                <w:color w:val="1F497D"/>
                <w:sz w:val="18"/>
                <w:szCs w:val="18"/>
              </w:rPr>
              <w:t>0.3%</w:t>
            </w:r>
          </w:p>
        </w:tc>
      </w:tr>
      <w:tr w:rsidR="00714EF7" w:rsidRPr="00761183" w:rsidTr="00714EF7">
        <w:trPr>
          <w:trHeight w:val="270"/>
        </w:trPr>
        <w:tc>
          <w:tcPr>
            <w:tcW w:w="2565" w:type="dxa"/>
            <w:shd w:val="clear" w:color="auto" w:fill="auto"/>
            <w:noWrap/>
            <w:vAlign w:val="bottom"/>
            <w:hideMark/>
          </w:tcPr>
          <w:p w:rsidR="006D538E" w:rsidRPr="00761183" w:rsidRDefault="006D538E"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Home</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61,738</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62,543</w:t>
            </w:r>
          </w:p>
        </w:tc>
        <w:tc>
          <w:tcPr>
            <w:tcW w:w="1276" w:type="dxa"/>
            <w:shd w:val="clear" w:color="auto" w:fill="auto"/>
            <w:noWrap/>
            <w:vAlign w:val="bottom"/>
            <w:hideMark/>
          </w:tcPr>
          <w:p w:rsidR="006D538E" w:rsidRPr="00494E5E" w:rsidRDefault="006D538E">
            <w:pPr>
              <w:jc w:val="right"/>
              <w:rPr>
                <w:rFonts w:ascii="Arial" w:hAnsi="Arial" w:cs="Arial"/>
                <w:color w:val="1F497D"/>
                <w:sz w:val="18"/>
                <w:szCs w:val="18"/>
              </w:rPr>
            </w:pPr>
            <w:r w:rsidRPr="00494E5E">
              <w:rPr>
                <w:rFonts w:ascii="Arial" w:hAnsi="Arial" w:cs="Arial"/>
                <w:color w:val="1F497D"/>
                <w:sz w:val="18"/>
                <w:szCs w:val="18"/>
              </w:rPr>
              <w:t>1.3%</w:t>
            </w:r>
          </w:p>
        </w:tc>
        <w:tc>
          <w:tcPr>
            <w:tcW w:w="1134"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616,282</w:t>
            </w:r>
          </w:p>
        </w:tc>
        <w:tc>
          <w:tcPr>
            <w:tcW w:w="1140"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677,991</w:t>
            </w:r>
          </w:p>
        </w:tc>
        <w:tc>
          <w:tcPr>
            <w:tcW w:w="1354" w:type="dxa"/>
            <w:shd w:val="clear" w:color="auto" w:fill="auto"/>
            <w:noWrap/>
            <w:vAlign w:val="bottom"/>
            <w:hideMark/>
          </w:tcPr>
          <w:p w:rsidR="006D538E" w:rsidRPr="00494E5E" w:rsidRDefault="006D538E">
            <w:pPr>
              <w:jc w:val="right"/>
              <w:rPr>
                <w:rFonts w:ascii="Arial" w:hAnsi="Arial" w:cs="Arial"/>
                <w:color w:val="1F497D"/>
                <w:sz w:val="18"/>
                <w:szCs w:val="18"/>
              </w:rPr>
            </w:pPr>
            <w:r w:rsidRPr="00494E5E">
              <w:rPr>
                <w:rFonts w:ascii="Arial" w:hAnsi="Arial" w:cs="Arial"/>
                <w:color w:val="1F497D"/>
                <w:sz w:val="18"/>
                <w:szCs w:val="18"/>
              </w:rPr>
              <w:t>10.0%</w:t>
            </w:r>
          </w:p>
        </w:tc>
      </w:tr>
      <w:tr w:rsidR="00714EF7" w:rsidRPr="00761183" w:rsidTr="00714EF7">
        <w:trPr>
          <w:trHeight w:val="270"/>
        </w:trPr>
        <w:tc>
          <w:tcPr>
            <w:tcW w:w="2565" w:type="dxa"/>
            <w:shd w:val="clear" w:color="auto" w:fill="auto"/>
            <w:noWrap/>
            <w:vAlign w:val="bottom"/>
            <w:hideMark/>
          </w:tcPr>
          <w:p w:rsidR="006D538E" w:rsidRPr="00761183" w:rsidRDefault="006D538E"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Export</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87,286</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62,071</w:t>
            </w:r>
          </w:p>
        </w:tc>
        <w:tc>
          <w:tcPr>
            <w:tcW w:w="1276" w:type="dxa"/>
            <w:shd w:val="clear" w:color="auto" w:fill="auto"/>
            <w:noWrap/>
            <w:vAlign w:val="bottom"/>
            <w:hideMark/>
          </w:tcPr>
          <w:p w:rsidR="006D538E" w:rsidRPr="00494E5E" w:rsidRDefault="006D538E">
            <w:pPr>
              <w:jc w:val="right"/>
              <w:rPr>
                <w:rFonts w:ascii="Arial" w:hAnsi="Arial" w:cs="Arial"/>
                <w:color w:val="1F497D"/>
                <w:sz w:val="18"/>
                <w:szCs w:val="18"/>
              </w:rPr>
            </w:pPr>
            <w:r w:rsidRPr="00494E5E">
              <w:rPr>
                <w:rFonts w:ascii="Arial" w:hAnsi="Arial" w:cs="Arial"/>
                <w:color w:val="1F497D"/>
                <w:sz w:val="18"/>
                <w:szCs w:val="18"/>
              </w:rPr>
              <w:t>-28.9%</w:t>
            </w:r>
          </w:p>
        </w:tc>
        <w:tc>
          <w:tcPr>
            <w:tcW w:w="1134"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1,052,969</w:t>
            </w:r>
          </w:p>
        </w:tc>
        <w:tc>
          <w:tcPr>
            <w:tcW w:w="1140"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995,895</w:t>
            </w:r>
          </w:p>
        </w:tc>
        <w:tc>
          <w:tcPr>
            <w:tcW w:w="1354" w:type="dxa"/>
            <w:shd w:val="clear" w:color="auto" w:fill="auto"/>
            <w:noWrap/>
            <w:vAlign w:val="bottom"/>
            <w:hideMark/>
          </w:tcPr>
          <w:p w:rsidR="006D538E" w:rsidRPr="00494E5E" w:rsidRDefault="006D538E">
            <w:pPr>
              <w:jc w:val="right"/>
              <w:rPr>
                <w:rFonts w:ascii="Arial" w:hAnsi="Arial" w:cs="Arial"/>
                <w:color w:val="1F497D"/>
                <w:sz w:val="18"/>
                <w:szCs w:val="18"/>
              </w:rPr>
            </w:pPr>
            <w:r w:rsidRPr="00494E5E">
              <w:rPr>
                <w:rFonts w:ascii="Arial" w:hAnsi="Arial" w:cs="Arial"/>
                <w:color w:val="1F497D"/>
                <w:sz w:val="18"/>
                <w:szCs w:val="18"/>
              </w:rPr>
              <w:t>-5.4%</w:t>
            </w:r>
          </w:p>
        </w:tc>
      </w:tr>
      <w:tr w:rsidR="00714EF7" w:rsidRPr="00761183" w:rsidTr="00714EF7">
        <w:trPr>
          <w:trHeight w:val="270"/>
        </w:trPr>
        <w:tc>
          <w:tcPr>
            <w:tcW w:w="2565" w:type="dxa"/>
            <w:shd w:val="clear" w:color="auto" w:fill="auto"/>
            <w:noWrap/>
            <w:vAlign w:val="bottom"/>
            <w:hideMark/>
          </w:tcPr>
          <w:p w:rsidR="006D538E" w:rsidRPr="00761183" w:rsidRDefault="006D538E" w:rsidP="00761183">
            <w:pPr>
              <w:jc w:val="right"/>
              <w:rPr>
                <w:rFonts w:ascii="Arial" w:eastAsia="Times New Roman" w:hAnsi="Arial" w:cs="Arial"/>
                <w:color w:val="1F497D" w:themeColor="text2"/>
                <w:sz w:val="20"/>
              </w:rPr>
            </w:pPr>
            <w:r w:rsidRPr="00761183">
              <w:rPr>
                <w:rFonts w:ascii="Arial" w:eastAsia="Times New Roman" w:hAnsi="Arial" w:cs="Arial"/>
                <w:color w:val="1F497D" w:themeColor="text2"/>
                <w:sz w:val="20"/>
              </w:rPr>
              <w:t>% export</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58.6%</w:t>
            </w:r>
          </w:p>
        </w:tc>
        <w:tc>
          <w:tcPr>
            <w:tcW w:w="992"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49.8%</w:t>
            </w:r>
          </w:p>
        </w:tc>
        <w:tc>
          <w:tcPr>
            <w:tcW w:w="1276"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 </w:t>
            </w:r>
          </w:p>
        </w:tc>
        <w:tc>
          <w:tcPr>
            <w:tcW w:w="1134"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63.1%</w:t>
            </w:r>
          </w:p>
        </w:tc>
        <w:tc>
          <w:tcPr>
            <w:tcW w:w="1140"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59.5%</w:t>
            </w:r>
          </w:p>
        </w:tc>
        <w:tc>
          <w:tcPr>
            <w:tcW w:w="1354" w:type="dxa"/>
            <w:shd w:val="clear" w:color="auto" w:fill="auto"/>
            <w:noWrap/>
            <w:vAlign w:val="bottom"/>
            <w:hideMark/>
          </w:tcPr>
          <w:p w:rsidR="006D538E" w:rsidRPr="00494E5E" w:rsidRDefault="006D538E">
            <w:pPr>
              <w:jc w:val="right"/>
              <w:rPr>
                <w:rFonts w:ascii="Arial" w:hAnsi="Arial" w:cs="Arial"/>
                <w:color w:val="1F497D"/>
                <w:sz w:val="20"/>
              </w:rPr>
            </w:pPr>
            <w:r w:rsidRPr="00494E5E">
              <w:rPr>
                <w:rFonts w:ascii="Arial" w:hAnsi="Arial" w:cs="Arial"/>
                <w:color w:val="1F497D"/>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EC65AF">
        <w:rPr>
          <w:rFonts w:ascii="Arial" w:hAnsi="Arial" w:cs="Arial"/>
          <w:b/>
          <w:color w:val="0D2255"/>
          <w:sz w:val="20"/>
        </w:rPr>
        <w:tab/>
      </w:r>
      <w:r w:rsidR="00EC65AF">
        <w:rPr>
          <w:rFonts w:ascii="Arial" w:hAnsi="Arial" w:cs="Arial"/>
          <w:b/>
          <w:color w:val="0D2255"/>
          <w:sz w:val="20"/>
        </w:rPr>
        <w:tab/>
        <w:t>Engine output year-to-date, 2011-2013</w:t>
      </w:r>
    </w:p>
    <w:p w:rsidR="000B47D6" w:rsidRDefault="0055683E" w:rsidP="00C80E70">
      <w:r w:rsidRPr="0055683E">
        <w:rPr>
          <w:noProof/>
        </w:rPr>
        <w:drawing>
          <wp:inline distT="0" distB="0" distL="0" distR="0">
            <wp:extent cx="2902226" cy="241719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B674D" w:rsidRPr="00CB674D">
        <w:rPr>
          <w:noProof/>
          <w:lang w:val="en-US" w:eastAsia="zh-TW"/>
        </w:rPr>
        <w:pict>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494E5E" w:rsidRDefault="00494E5E">
                  <w:r w:rsidRPr="0055683E">
                    <w:rPr>
                      <w:noProof/>
                    </w:rPr>
                    <w:drawing>
                      <wp:inline distT="0" distB="0" distL="0" distR="0">
                        <wp:extent cx="2846705" cy="282986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0B47D6" w:rsidRPr="000B47D6" w:rsidRDefault="000B47D6" w:rsidP="000B47D6"/>
    <w:p w:rsidR="000B47D6" w:rsidRPr="000B47D6" w:rsidRDefault="000B47D6" w:rsidP="000B47D6"/>
    <w:p w:rsidR="000B47D6" w:rsidRPr="000B47D6" w:rsidRDefault="000B47D6" w:rsidP="000B47D6"/>
    <w:sectPr w:rsidR="000B47D6" w:rsidRPr="000B47D6" w:rsidSect="00EB2FB8">
      <w:headerReference w:type="default"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0D" w:rsidRDefault="0038600D" w:rsidP="00C80E70">
      <w:r>
        <w:separator/>
      </w:r>
    </w:p>
  </w:endnote>
  <w:endnote w:type="continuationSeparator" w:id="0">
    <w:p w:rsidR="0038600D" w:rsidRDefault="0038600D"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5E" w:rsidRDefault="00494E5E" w:rsidP="00C80E7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494E5E" w:rsidRDefault="00494E5E" w:rsidP="00447CDA">
    <w:pPr>
      <w:rPr>
        <w:rFonts w:ascii="Arial" w:hAnsi="Arial" w:cs="Arial"/>
      </w:rPr>
    </w:pPr>
    <w:r>
      <w:rPr>
        <w:rFonts w:ascii="Arial" w:hAnsi="Arial" w:cs="Arial"/>
        <w:b/>
        <w:bCs/>
        <w:color w:val="1074CB"/>
        <w:sz w:val="16"/>
        <w:szCs w:val="16"/>
      </w:rPr>
      <w:t>About SMMT and UK the automotive industry:</w:t>
    </w:r>
  </w:p>
  <w:p w:rsidR="00447CDA" w:rsidRDefault="00447CDA" w:rsidP="00447CDA">
    <w:pPr>
      <w:pStyle w:val="NormalWeb"/>
      <w:spacing w:before="0" w:beforeAutospacing="0" w:after="0" w:afterAutospacing="0"/>
    </w:pPr>
    <w:r>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47CDA" w:rsidRDefault="00447CDA" w:rsidP="00447CDA">
    <w:pPr>
      <w:pStyle w:val="NormalWeb"/>
      <w:spacing w:before="0" w:beforeAutospacing="0" w:after="0" w:afterAutospacing="0"/>
      <w:rPr>
        <w:rFonts w:ascii="Arial" w:hAnsi="Arial" w:cs="Arial"/>
        <w:color w:val="1074CB"/>
        <w:sz w:val="15"/>
        <w:szCs w:val="15"/>
      </w:rPr>
    </w:pPr>
  </w:p>
  <w:p w:rsidR="00447CDA" w:rsidRDefault="00447CDA" w:rsidP="00447CDA">
    <w:pPr>
      <w:pStyle w:val="NormalWeb"/>
      <w:spacing w:before="0" w:beforeAutospacing="0" w:after="0" w:afterAutospacing="0"/>
      <w:rPr>
        <w:rFonts w:ascii="Arial" w:hAnsi="Arial" w:cs="Arial"/>
        <w:color w:val="1074CB"/>
        <w:sz w:val="15"/>
        <w:szCs w:val="15"/>
      </w:rPr>
    </w:pPr>
    <w:r>
      <w:rPr>
        <w:rFonts w:ascii="Arial" w:hAnsi="Arial" w:cs="Arial"/>
        <w:color w:val="1074CB"/>
        <w:sz w:val="15"/>
        <w:szCs w:val="15"/>
      </w:rPr>
      <w:t xml:space="preserve">The automotive industry is a vital part of the UK economy accounting for </w:t>
    </w:r>
    <w:r>
      <w:rPr>
        <w:rStyle w:val="Strong"/>
        <w:rFonts w:ascii="Arial" w:hAnsi="Arial" w:cs="Arial"/>
        <w:color w:val="1074CB"/>
        <w:sz w:val="15"/>
        <w:szCs w:val="15"/>
      </w:rPr>
      <w:t>£59 billion turnover</w:t>
    </w:r>
    <w:r>
      <w:rPr>
        <w:rFonts w:ascii="Arial" w:hAnsi="Arial" w:cs="Arial"/>
        <w:color w:val="1074CB"/>
        <w:sz w:val="15"/>
        <w:szCs w:val="15"/>
      </w:rPr>
      <w:t xml:space="preserve"> and </w:t>
    </w:r>
    <w:r>
      <w:rPr>
        <w:rStyle w:val="Strong"/>
        <w:rFonts w:ascii="Arial" w:hAnsi="Arial" w:cs="Arial"/>
        <w:color w:val="1074CB"/>
        <w:sz w:val="15"/>
        <w:szCs w:val="15"/>
      </w:rPr>
      <w:t>£12 billion value added</w:t>
    </w:r>
    <w:r>
      <w:rPr>
        <w:rFonts w:ascii="Arial" w:hAnsi="Arial" w:cs="Arial"/>
        <w:color w:val="1074CB"/>
        <w:sz w:val="15"/>
        <w:szCs w:val="15"/>
      </w:rPr>
      <w:t xml:space="preserve">. With more than </w:t>
    </w:r>
    <w:r>
      <w:rPr>
        <w:rStyle w:val="Strong"/>
        <w:rFonts w:ascii="Arial" w:hAnsi="Arial" w:cs="Arial"/>
        <w:color w:val="1074CB"/>
        <w:sz w:val="15"/>
        <w:szCs w:val="15"/>
      </w:rPr>
      <w:t>700,000 jobs</w:t>
    </w:r>
    <w:r>
      <w:rPr>
        <w:rFonts w:ascii="Arial" w:hAnsi="Arial" w:cs="Arial"/>
        <w:color w:val="1074CB"/>
        <w:sz w:val="15"/>
        <w:szCs w:val="15"/>
      </w:rPr>
      <w:t xml:space="preserve"> dependent on the industry, it accounts for </w:t>
    </w:r>
    <w:r>
      <w:rPr>
        <w:rStyle w:val="Strong"/>
        <w:rFonts w:ascii="Arial" w:hAnsi="Arial" w:cs="Arial"/>
        <w:color w:val="1074CB"/>
        <w:sz w:val="15"/>
        <w:szCs w:val="15"/>
      </w:rPr>
      <w:t>10% of total UK exports</w:t>
    </w:r>
    <w:r>
      <w:rPr>
        <w:rFonts w:ascii="Arial" w:hAnsi="Arial" w:cs="Arial"/>
        <w:color w:val="1074CB"/>
        <w:sz w:val="15"/>
        <w:szCs w:val="15"/>
      </w:rPr>
      <w:t xml:space="preserve"> and invests </w:t>
    </w:r>
    <w:r>
      <w:rPr>
        <w:rStyle w:val="Strong"/>
        <w:rFonts w:ascii="Arial" w:hAnsi="Arial" w:cs="Arial"/>
        <w:color w:val="1074CB"/>
        <w:sz w:val="15"/>
        <w:szCs w:val="15"/>
      </w:rPr>
      <w:t>£1.7 billion</w:t>
    </w:r>
    <w:r>
      <w:rPr>
        <w:rFonts w:ascii="Arial" w:hAnsi="Arial" w:cs="Arial"/>
        <w:color w:val="1074CB"/>
        <w:sz w:val="15"/>
        <w:szCs w:val="15"/>
      </w:rPr>
      <w:t xml:space="preserve"> each year in automotive R&amp;D. More than </w:t>
    </w:r>
    <w:r>
      <w:rPr>
        <w:rStyle w:val="Strong"/>
        <w:rFonts w:ascii="Arial" w:hAnsi="Arial" w:cs="Arial"/>
        <w:color w:val="1074CB"/>
        <w:sz w:val="15"/>
        <w:szCs w:val="15"/>
      </w:rPr>
      <w:t>30 manufacturers</w:t>
    </w:r>
    <w:r>
      <w:rPr>
        <w:rFonts w:ascii="Arial" w:hAnsi="Arial" w:cs="Arial"/>
        <w:color w:val="1074CB"/>
        <w:sz w:val="15"/>
        <w:szCs w:val="15"/>
      </w:rPr>
      <w:t xml:space="preserve"> build in excess of </w:t>
    </w:r>
    <w:r>
      <w:rPr>
        <w:rStyle w:val="Strong"/>
        <w:rFonts w:ascii="Arial" w:hAnsi="Arial" w:cs="Arial"/>
        <w:color w:val="1074CB"/>
        <w:sz w:val="15"/>
        <w:szCs w:val="15"/>
      </w:rPr>
      <w:t>70 models</w:t>
    </w:r>
    <w:r>
      <w:rPr>
        <w:rFonts w:ascii="Arial" w:hAnsi="Arial" w:cs="Arial"/>
        <w:color w:val="1074CB"/>
        <w:sz w:val="15"/>
        <w:szCs w:val="15"/>
      </w:rPr>
      <w:t xml:space="preserve"> of vehicle in the UK supported by around </w:t>
    </w:r>
    <w:r>
      <w:rPr>
        <w:rStyle w:val="Strong"/>
        <w:rFonts w:ascii="Arial" w:hAnsi="Arial" w:cs="Arial"/>
        <w:color w:val="1074CB"/>
        <w:sz w:val="15"/>
        <w:szCs w:val="15"/>
      </w:rPr>
      <w:t>2,500 component providers</w:t>
    </w:r>
    <w:r>
      <w:rPr>
        <w:rFonts w:ascii="Arial" w:hAnsi="Arial" w:cs="Arial"/>
        <w:color w:val="1074CB"/>
        <w:sz w:val="15"/>
        <w:szCs w:val="15"/>
      </w:rPr>
      <w:t xml:space="preserve"> and some of the world's most </w:t>
    </w:r>
    <w:r>
      <w:rPr>
        <w:rStyle w:val="Strong"/>
        <w:rFonts w:ascii="Arial" w:hAnsi="Arial" w:cs="Arial"/>
        <w:color w:val="1074CB"/>
        <w:sz w:val="15"/>
        <w:szCs w:val="15"/>
      </w:rPr>
      <w:t>skilled engineers</w:t>
    </w:r>
    <w:r>
      <w:rPr>
        <w:rFonts w:ascii="Arial" w:hAnsi="Arial" w:cs="Arial"/>
        <w:color w:val="1074CB"/>
        <w:sz w:val="15"/>
        <w:szCs w:val="15"/>
      </w:rPr>
      <w:t>.</w:t>
    </w:r>
    <w:r>
      <w:t xml:space="preserve"> </w:t>
    </w:r>
    <w:r w:rsidRPr="00447CDA">
      <w:rPr>
        <w:rFonts w:ascii="Arial" w:hAnsi="Arial" w:cs="Arial"/>
        <w:color w:val="1074CB"/>
        <w:sz w:val="15"/>
        <w:szCs w:val="15"/>
      </w:rPr>
      <w:t xml:space="preserve">More detail on UK automotive available in SMMT's </w:t>
    </w:r>
    <w:r>
      <w:rPr>
        <w:rFonts w:ascii="Arial" w:hAnsi="Arial" w:cs="Arial"/>
        <w:color w:val="1074CB"/>
        <w:sz w:val="15"/>
        <w:szCs w:val="15"/>
      </w:rPr>
      <w:t xml:space="preserve">Motor Industry Facts 2013 publication at </w:t>
    </w:r>
    <w:hyperlink r:id="rId1" w:history="1">
      <w:r>
        <w:rPr>
          <w:rStyle w:val="Hyperlink"/>
          <w:rFonts w:ascii="Arial" w:hAnsi="Arial" w:cs="Arial"/>
          <w:color w:val="1074CB"/>
          <w:sz w:val="15"/>
          <w:szCs w:val="15"/>
        </w:rPr>
        <w:t>www.smmt.co.uk/publications</w:t>
      </w:r>
    </w:hyperlink>
    <w:r>
      <w:rPr>
        <w:rFonts w:ascii="Arial" w:hAnsi="Arial" w:cs="Arial"/>
        <w:color w:val="1074CB"/>
        <w:sz w:val="15"/>
        <w:szCs w:val="15"/>
      </w:rPr>
      <w:t>.</w:t>
    </w:r>
  </w:p>
  <w:p w:rsidR="00447CDA" w:rsidRDefault="00447CDA" w:rsidP="00447CDA">
    <w:pPr>
      <w:pStyle w:val="NormalWeb"/>
      <w:spacing w:before="0" w:beforeAutospacing="0" w:after="0" w:afterAutospacing="0"/>
    </w:pPr>
  </w:p>
  <w:p w:rsidR="00447CDA" w:rsidRDefault="00447CDA" w:rsidP="00447CDA">
    <w:pPr>
      <w:pStyle w:val="NormalWeb"/>
      <w:spacing w:before="0" w:beforeAutospacing="0" w:after="0" w:afterAutospacing="0"/>
    </w:pPr>
    <w:r w:rsidRPr="00447CDA">
      <w:rPr>
        <w:rStyle w:val="Strong"/>
        <w:rFonts w:ascii="Arial" w:hAnsi="Arial" w:cs="Arial"/>
        <w:color w:val="1074CB"/>
        <w:sz w:val="15"/>
        <w:szCs w:val="15"/>
        <w:u w:val="single"/>
      </w:rPr>
      <w:t>Broadcasters</w:t>
    </w:r>
    <w:r>
      <w:rPr>
        <w:rStyle w:val="Strong"/>
        <w:rFonts w:ascii="Arial" w:hAnsi="Arial" w:cs="Arial"/>
        <w:color w:val="1074CB"/>
        <w:sz w:val="15"/>
        <w:szCs w:val="15"/>
      </w:rPr>
      <w:t>: SMMT has an ISDN studio and access to expert spokespeople, case studies and regional representatives.</w:t>
    </w:r>
  </w:p>
  <w:p w:rsidR="00494E5E" w:rsidRPr="00EA17B0" w:rsidRDefault="00494E5E" w:rsidP="00447CDA">
    <w:pPr>
      <w:tabs>
        <w:tab w:val="left" w:pos="1978"/>
      </w:tabs>
      <w:rPr>
        <w:rFonts w:ascii="Arial" w:hAnsi="Arial" w:cs="Arial"/>
        <w:b/>
        <w:color w:val="1074CB"/>
        <w:sz w:val="12"/>
        <w:szCs w:val="12"/>
      </w:rPr>
    </w:pPr>
  </w:p>
  <w:p w:rsidR="00494E5E" w:rsidRPr="00C80E70" w:rsidRDefault="00494E5E" w:rsidP="00447CDA">
    <w:pPr>
      <w:rPr>
        <w:rFonts w:ascii="Arial" w:hAnsi="Arial" w:cs="Arial"/>
        <w:b/>
        <w:color w:val="1074CB"/>
        <w:sz w:val="16"/>
        <w:szCs w:val="16"/>
      </w:rPr>
    </w:pPr>
    <w:r w:rsidRPr="00C80E70">
      <w:rPr>
        <w:rFonts w:ascii="Arial" w:hAnsi="Arial" w:cs="Arial"/>
        <w:b/>
        <w:color w:val="1074CB"/>
        <w:sz w:val="16"/>
        <w:szCs w:val="16"/>
      </w:rPr>
      <w:t>Media contacts:</w:t>
    </w:r>
  </w:p>
  <w:p w:rsidR="003B1C39" w:rsidRDefault="003B1C39" w:rsidP="00C80E70">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r>
    <w:r w:rsidR="00CC1656">
      <w:rPr>
        <w:rFonts w:ascii="Arial" w:hAnsi="Arial" w:cs="Arial"/>
        <w:color w:val="1074CB"/>
        <w:sz w:val="16"/>
        <w:szCs w:val="16"/>
      </w:rPr>
      <w:t>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3B1C39" w:rsidRDefault="003B1C39" w:rsidP="00C80E7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494E5E" w:rsidRDefault="00494E5E" w:rsidP="00C80E70">
    <w:pPr>
      <w:rPr>
        <w:rFonts w:ascii="Arial" w:hAnsi="Arial" w:cs="Arial"/>
        <w:color w:val="1074CB"/>
        <w:sz w:val="16"/>
        <w:szCs w:val="16"/>
      </w:rPr>
    </w:pPr>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sidR="00CC1656">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0D" w:rsidRDefault="0038600D" w:rsidP="00C80E70">
      <w:r>
        <w:separator/>
      </w:r>
    </w:p>
  </w:footnote>
  <w:footnote w:type="continuationSeparator" w:id="0">
    <w:p w:rsidR="0038600D" w:rsidRDefault="0038600D"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5E" w:rsidRDefault="00494E5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66F55"/>
    <w:rsid w:val="000B47D6"/>
    <w:rsid w:val="000D03EA"/>
    <w:rsid w:val="00116666"/>
    <w:rsid w:val="00133B87"/>
    <w:rsid w:val="001737CD"/>
    <w:rsid w:val="00192CE4"/>
    <w:rsid w:val="001A67B5"/>
    <w:rsid w:val="001C389E"/>
    <w:rsid w:val="001D6CB9"/>
    <w:rsid w:val="001E2487"/>
    <w:rsid w:val="001E33CE"/>
    <w:rsid w:val="00200F65"/>
    <w:rsid w:val="0020649D"/>
    <w:rsid w:val="00266A9A"/>
    <w:rsid w:val="002A5934"/>
    <w:rsid w:val="002B4F7D"/>
    <w:rsid w:val="002E0BF2"/>
    <w:rsid w:val="00375DF8"/>
    <w:rsid w:val="0038600D"/>
    <w:rsid w:val="003B1C39"/>
    <w:rsid w:val="003E69D3"/>
    <w:rsid w:val="00410539"/>
    <w:rsid w:val="00447CDA"/>
    <w:rsid w:val="00456EBB"/>
    <w:rsid w:val="00467D20"/>
    <w:rsid w:val="00482D22"/>
    <w:rsid w:val="00486897"/>
    <w:rsid w:val="00494E5E"/>
    <w:rsid w:val="004B727E"/>
    <w:rsid w:val="004F0899"/>
    <w:rsid w:val="00505C8C"/>
    <w:rsid w:val="005218AC"/>
    <w:rsid w:val="005407A6"/>
    <w:rsid w:val="00542422"/>
    <w:rsid w:val="0055683E"/>
    <w:rsid w:val="00577A32"/>
    <w:rsid w:val="005B33EF"/>
    <w:rsid w:val="005B536B"/>
    <w:rsid w:val="005C668F"/>
    <w:rsid w:val="005E2C9D"/>
    <w:rsid w:val="005F44DC"/>
    <w:rsid w:val="0060762E"/>
    <w:rsid w:val="006315A6"/>
    <w:rsid w:val="006623D6"/>
    <w:rsid w:val="00686576"/>
    <w:rsid w:val="006A23D5"/>
    <w:rsid w:val="006B4C72"/>
    <w:rsid w:val="006B7F8A"/>
    <w:rsid w:val="006D538E"/>
    <w:rsid w:val="006E5BF9"/>
    <w:rsid w:val="00714EF7"/>
    <w:rsid w:val="0073709A"/>
    <w:rsid w:val="007433FE"/>
    <w:rsid w:val="00761183"/>
    <w:rsid w:val="007851A1"/>
    <w:rsid w:val="00787B6E"/>
    <w:rsid w:val="00791C3D"/>
    <w:rsid w:val="007B7669"/>
    <w:rsid w:val="008030A3"/>
    <w:rsid w:val="00804C47"/>
    <w:rsid w:val="00806662"/>
    <w:rsid w:val="008509FD"/>
    <w:rsid w:val="008B50CB"/>
    <w:rsid w:val="008E4462"/>
    <w:rsid w:val="008F32E6"/>
    <w:rsid w:val="008F55A4"/>
    <w:rsid w:val="00924274"/>
    <w:rsid w:val="00931C26"/>
    <w:rsid w:val="00964455"/>
    <w:rsid w:val="0097483C"/>
    <w:rsid w:val="009E1AED"/>
    <w:rsid w:val="009F5D30"/>
    <w:rsid w:val="00A2060E"/>
    <w:rsid w:val="00A24EC9"/>
    <w:rsid w:val="00A67F90"/>
    <w:rsid w:val="00A773DB"/>
    <w:rsid w:val="00A93DE9"/>
    <w:rsid w:val="00A94474"/>
    <w:rsid w:val="00AA2084"/>
    <w:rsid w:val="00AB33BB"/>
    <w:rsid w:val="00B36DF8"/>
    <w:rsid w:val="00BC7B6B"/>
    <w:rsid w:val="00BF4C94"/>
    <w:rsid w:val="00C07099"/>
    <w:rsid w:val="00C657AB"/>
    <w:rsid w:val="00C80E70"/>
    <w:rsid w:val="00CB674D"/>
    <w:rsid w:val="00CC1656"/>
    <w:rsid w:val="00CE3518"/>
    <w:rsid w:val="00D446D8"/>
    <w:rsid w:val="00D6067E"/>
    <w:rsid w:val="00D6336B"/>
    <w:rsid w:val="00D86627"/>
    <w:rsid w:val="00D911A4"/>
    <w:rsid w:val="00D92B21"/>
    <w:rsid w:val="00DB3768"/>
    <w:rsid w:val="00DE5D6C"/>
    <w:rsid w:val="00DF19D9"/>
    <w:rsid w:val="00E343D2"/>
    <w:rsid w:val="00E634A1"/>
    <w:rsid w:val="00EB2FB8"/>
    <w:rsid w:val="00EB5EA2"/>
    <w:rsid w:val="00EC65AF"/>
    <w:rsid w:val="00EF35D8"/>
    <w:rsid w:val="00F205F0"/>
    <w:rsid w:val="00F43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6683546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AU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AU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AUG).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AUG).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Aug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Aug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1490008828987944"/>
          <c:y val="5.3619302949061684E-2"/>
          <c:w val="0.68844771977873453"/>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'11</c:v>
                </c:pt>
                <c:pt idx="1">
                  <c:v>'12</c:v>
                </c:pt>
                <c:pt idx="2">
                  <c:v>'13</c:v>
                </c:pt>
              </c:strCache>
            </c:strRef>
          </c:cat>
          <c:val>
            <c:numRef>
              <c:f>'PR chart 2 A'!$C$52:$E$52</c:f>
              <c:numCache>
                <c:formatCode>General</c:formatCode>
                <c:ptCount val="3"/>
                <c:pt idx="0">
                  <c:v>847196</c:v>
                </c:pt>
                <c:pt idx="1">
                  <c:v>955084</c:v>
                </c:pt>
                <c:pt idx="2">
                  <c:v>984545</c:v>
                </c:pt>
              </c:numCache>
            </c:numRef>
          </c:val>
        </c:ser>
        <c:dLbls/>
        <c:gapWidth val="48"/>
        <c:axId val="86911616"/>
        <c:axId val="87470848"/>
      </c:barChart>
      <c:catAx>
        <c:axId val="8691161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7470848"/>
        <c:crosses val="autoZero"/>
        <c:auto val="1"/>
        <c:lblAlgn val="ctr"/>
        <c:lblOffset val="100"/>
      </c:catAx>
      <c:valAx>
        <c:axId val="87470848"/>
        <c:scaling>
          <c:orientation val="minMax"/>
          <c:max val="1000000"/>
          <c:min val="80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6911616"/>
        <c:crosses val="autoZero"/>
        <c:crossBetween val="between"/>
        <c:majorUnit val="50000"/>
        <c:dispUnits>
          <c:builtInUnit val="thousands"/>
          <c:dispUnitsLbl>
            <c:layout>
              <c:manualLayout>
                <c:xMode val="edge"/>
                <c:yMode val="edge"/>
                <c:x val="2.121191372817538E-2"/>
                <c:y val="0.34366496451189182"/>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1002714866827221"/>
          <c:y val="0.13010425780110821"/>
          <c:w val="0.67037481700926216"/>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'PR&amp;12MONTHROLL-CHARTS'!$C$4:$CH$4</c:f>
              <c:numCache>
                <c:formatCode>General</c:formatCode>
                <c:ptCount val="84"/>
                <c:pt idx="0">
                  <c:v>1447.1529999999998</c:v>
                </c:pt>
                <c:pt idx="1">
                  <c:v>1431.6109999999999</c:v>
                </c:pt>
                <c:pt idx="2">
                  <c:v>1410.6589999999999</c:v>
                </c:pt>
                <c:pt idx="3">
                  <c:v>1412.5039999999999</c:v>
                </c:pt>
                <c:pt idx="4">
                  <c:v>1408.6849999999968</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1009.3649999999984</c:v>
                </c:pt>
                <c:pt idx="31">
                  <c:v>983.24400000000003</c:v>
                </c:pt>
                <c:pt idx="32">
                  <c:v>960.25400000000002</c:v>
                </c:pt>
                <c:pt idx="33">
                  <c:v>952.62300000000005</c:v>
                </c:pt>
                <c:pt idx="34">
                  <c:v>967.96699999999817</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1443.876</c:v>
                </c:pt>
                <c:pt idx="69">
                  <c:v>1452.25</c:v>
                </c:pt>
                <c:pt idx="70">
                  <c:v>1458.9639999999999</c:v>
                </c:pt>
                <c:pt idx="71">
                  <c:v>1464.9060000000011</c:v>
                </c:pt>
                <c:pt idx="72">
                  <c:v>1466.4050000000011</c:v>
                </c:pt>
                <c:pt idx="73">
                  <c:v>1465.3799999999999</c:v>
                </c:pt>
                <c:pt idx="74">
                  <c:v>1456.8969999999999</c:v>
                </c:pt>
                <c:pt idx="75">
                  <c:v>1472.578</c:v>
                </c:pt>
                <c:pt idx="76">
                  <c:v>1460.787</c:v>
                </c:pt>
                <c:pt idx="77">
                  <c:v>1473.1799999999998</c:v>
                </c:pt>
                <c:pt idx="78">
                  <c:v>1481.6619999999998</c:v>
                </c:pt>
                <c:pt idx="79">
                  <c:v>1494.367</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'PR&amp;12MONTHROLL-CHARTS'!$C$5:$CH$5</c:f>
              <c:numCache>
                <c:formatCode>General</c:formatCode>
                <c:ptCount val="84"/>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1167.6849999999968</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1003.4599999999994</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905.96299999999792</c:v>
                </c:pt>
                <c:pt idx="44">
                  <c:v>922.69299999999998</c:v>
                </c:pt>
                <c:pt idx="45">
                  <c:v>928.33599999999842</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1199.9050000000011</c:v>
                </c:pt>
                <c:pt idx="66">
                  <c:v>1217.319</c:v>
                </c:pt>
                <c:pt idx="67">
                  <c:v>1211.8429999999998</c:v>
                </c:pt>
                <c:pt idx="68">
                  <c:v>1201.8389999999999</c:v>
                </c:pt>
                <c:pt idx="69">
                  <c:v>1207.1309999999999</c:v>
                </c:pt>
                <c:pt idx="70">
                  <c:v>1208.587</c:v>
                </c:pt>
                <c:pt idx="71">
                  <c:v>1211.7660000000001</c:v>
                </c:pt>
                <c:pt idx="72">
                  <c:v>1207.7139999999999</c:v>
                </c:pt>
                <c:pt idx="73">
                  <c:v>1196.6659999999999</c:v>
                </c:pt>
                <c:pt idx="74">
                  <c:v>1187.7809999999999</c:v>
                </c:pt>
                <c:pt idx="75">
                  <c:v>1194.5999999999999</c:v>
                </c:pt>
                <c:pt idx="76">
                  <c:v>1179.8239999999998</c:v>
                </c:pt>
                <c:pt idx="77">
                  <c:v>1188.088</c:v>
                </c:pt>
                <c:pt idx="78">
                  <c:v>1188.6919999999998</c:v>
                </c:pt>
                <c:pt idx="79">
                  <c:v>1197.8639999999998</c:v>
                </c:pt>
              </c:numCache>
            </c:numRef>
          </c:val>
        </c:ser>
        <c:dLbls/>
        <c:marker val="1"/>
        <c:axId val="90312064"/>
        <c:axId val="90715264"/>
      </c:lineChart>
      <c:catAx>
        <c:axId val="9031206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0715264"/>
        <c:crosses val="autoZero"/>
        <c:auto val="1"/>
        <c:lblAlgn val="ctr"/>
        <c:lblOffset val="100"/>
        <c:tickMarkSkip val="12"/>
      </c:catAx>
      <c:valAx>
        <c:axId val="90715264"/>
        <c:scaling>
          <c:orientation val="minMax"/>
          <c:min val="60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0312064"/>
        <c:crosses val="autoZero"/>
        <c:crossBetween val="between"/>
      </c:valAx>
    </c:plotArea>
    <c:legend>
      <c:legendPos val="r"/>
      <c:layout>
        <c:manualLayout>
          <c:xMode val="edge"/>
          <c:yMode val="edge"/>
          <c:x val="4.6204769379026719E-2"/>
          <c:y val="1.7857173997583065E-2"/>
          <c:w val="0.93729675026025638"/>
          <c:h val="0.10000017438646502"/>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6708431292060055"/>
          <c:y val="5.3619302949061684E-2"/>
          <c:w val="0.73626333690537205"/>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'11</c:v>
                </c:pt>
                <c:pt idx="1">
                  <c:v>'12</c:v>
                </c:pt>
                <c:pt idx="2">
                  <c:v>'13</c:v>
                </c:pt>
              </c:strCache>
            </c:strRef>
          </c:cat>
          <c:val>
            <c:numRef>
              <c:f>'PR chart 2 A'!$J$52:$L$52</c:f>
              <c:numCache>
                <c:formatCode>General</c:formatCode>
                <c:ptCount val="3"/>
                <c:pt idx="0">
                  <c:v>76980</c:v>
                </c:pt>
                <c:pt idx="1">
                  <c:v>72708</c:v>
                </c:pt>
                <c:pt idx="2">
                  <c:v>60646</c:v>
                </c:pt>
              </c:numCache>
            </c:numRef>
          </c:val>
        </c:ser>
        <c:dLbls/>
        <c:gapWidth val="48"/>
        <c:axId val="91262336"/>
        <c:axId val="91313280"/>
      </c:barChart>
      <c:catAx>
        <c:axId val="91262336"/>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1313280"/>
        <c:crosses val="autoZero"/>
        <c:auto val="1"/>
        <c:lblAlgn val="ctr"/>
        <c:lblOffset val="100"/>
      </c:catAx>
      <c:valAx>
        <c:axId val="91313280"/>
        <c:scaling>
          <c:orientation val="minMax"/>
          <c:max val="80000"/>
          <c:min val="5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91262336"/>
        <c:crosses val="autoZero"/>
        <c:crossBetween val="between"/>
        <c:majorUnit val="10000"/>
        <c:dispUnits>
          <c:builtInUnit val="thousands"/>
          <c:dispUnitsLbl>
            <c:layout>
              <c:manualLayout>
                <c:xMode val="edge"/>
                <c:yMode val="edge"/>
                <c:x val="1.280518590219148E-2"/>
                <c:y val="0.36275916037313144"/>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7543884334045926"/>
          <c:y val="0.13010425780110821"/>
          <c:w val="0.70004527784542614"/>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207.38600000000037</c:v>
                </c:pt>
                <c:pt idx="3">
                  <c:v>207.62</c:v>
                </c:pt>
                <c:pt idx="4">
                  <c:v>209.48000000000027</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164.89700000000036</c:v>
                </c:pt>
                <c:pt idx="27">
                  <c:v>150.56800000000001</c:v>
                </c:pt>
                <c:pt idx="28">
                  <c:v>137.55800000000036</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103.93400000000018</c:v>
                </c:pt>
                <c:pt idx="40">
                  <c:v>109.98699999999999</c:v>
                </c:pt>
                <c:pt idx="41">
                  <c:v>112.111</c:v>
                </c:pt>
                <c:pt idx="42">
                  <c:v>113.232</c:v>
                </c:pt>
                <c:pt idx="43">
                  <c:v>114.29600000000002</c:v>
                </c:pt>
                <c:pt idx="44">
                  <c:v>115.91900000000012</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115.91700000000019</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103.89100000000002</c:v>
                </c:pt>
                <c:pt idx="79">
                  <c:v>99.977000000000004</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136.85100000000037</c:v>
                </c:pt>
                <c:pt idx="22">
                  <c:v>130.52600000000001</c:v>
                </c:pt>
                <c:pt idx="23">
                  <c:v>125.611</c:v>
                </c:pt>
                <c:pt idx="24">
                  <c:v>119.71899999999999</c:v>
                </c:pt>
                <c:pt idx="25">
                  <c:v>112.473</c:v>
                </c:pt>
                <c:pt idx="26">
                  <c:v>106.93700000000018</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69.414000000000215</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61.580999999999996</c:v>
                </c:pt>
                <c:pt idx="73">
                  <c:v>59.826000000000001</c:v>
                </c:pt>
                <c:pt idx="74">
                  <c:v>57.596000000000011</c:v>
                </c:pt>
                <c:pt idx="75">
                  <c:v>56.54</c:v>
                </c:pt>
                <c:pt idx="76">
                  <c:v>54.606000000000002</c:v>
                </c:pt>
                <c:pt idx="77">
                  <c:v>54.188000000000002</c:v>
                </c:pt>
                <c:pt idx="78">
                  <c:v>55.653999999999996</c:v>
                </c:pt>
                <c:pt idx="79">
                  <c:v>54.05</c:v>
                </c:pt>
              </c:numCache>
            </c:numRef>
          </c:val>
        </c:ser>
        <c:dLbls/>
        <c:marker val="1"/>
        <c:axId val="91538560"/>
        <c:axId val="91602944"/>
      </c:lineChart>
      <c:catAx>
        <c:axId val="9153856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1602944"/>
        <c:crosses val="autoZero"/>
        <c:auto val="1"/>
        <c:lblAlgn val="ctr"/>
        <c:lblOffset val="100"/>
        <c:tickMarkSkip val="12"/>
      </c:catAx>
      <c:valAx>
        <c:axId val="91602944"/>
        <c:scaling>
          <c:orientation val="minMax"/>
          <c:max val="250"/>
          <c:min val="5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1538560"/>
        <c:crosses val="autoZero"/>
        <c:crossBetween val="between"/>
        <c:majorUnit val="50"/>
      </c:valAx>
    </c:plotArea>
    <c:legend>
      <c:legendPos val="r"/>
      <c:layout>
        <c:manualLayout>
          <c:xMode val="edge"/>
          <c:yMode val="edge"/>
          <c:x val="4.8110127087786884E-2"/>
          <c:y val="2.8571478396132787E-2"/>
          <c:w val="0.93814747821184463"/>
          <c:h val="0.10000017438646502"/>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7435995680556923"/>
          <c:y val="0.15788203557888641"/>
          <c:w val="0.76069299909793353"/>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2.0936689999999967</c:v>
                </c:pt>
                <c:pt idx="1">
                  <c:v>2.1673529999999999</c:v>
                </c:pt>
                <c:pt idx="2">
                  <c:v>2.2385760000000001</c:v>
                </c:pt>
                <c:pt idx="3">
                  <c:v>2.2937710000000062</c:v>
                </c:pt>
                <c:pt idx="4">
                  <c:v>2.3481730000000001</c:v>
                </c:pt>
                <c:pt idx="5">
                  <c:v>2.3845499999999977</c:v>
                </c:pt>
                <c:pt idx="6">
                  <c:v>2.3782029999999934</c:v>
                </c:pt>
                <c:pt idx="7">
                  <c:v>2.3936139999999977</c:v>
                </c:pt>
                <c:pt idx="8">
                  <c:v>2.3966309999999944</c:v>
                </c:pt>
                <c:pt idx="9">
                  <c:v>2.3848429999999934</c:v>
                </c:pt>
                <c:pt idx="10">
                  <c:v>2.388887</c:v>
                </c:pt>
                <c:pt idx="11">
                  <c:v>2.386717</c:v>
                </c:pt>
                <c:pt idx="12">
                  <c:v>2.4098589999999924</c:v>
                </c:pt>
                <c:pt idx="13">
                  <c:v>2.4301189999999977</c:v>
                </c:pt>
                <c:pt idx="14">
                  <c:v>2.44537</c:v>
                </c:pt>
                <c:pt idx="15">
                  <c:v>2.4359329999999977</c:v>
                </c:pt>
                <c:pt idx="16">
                  <c:v>2.4441280000000001</c:v>
                </c:pt>
                <c:pt idx="17">
                  <c:v>2.445913</c:v>
                </c:pt>
                <c:pt idx="18">
                  <c:v>2.44516</c:v>
                </c:pt>
                <c:pt idx="19">
                  <c:v>2.4618569999999944</c:v>
                </c:pt>
                <c:pt idx="20">
                  <c:v>2.4769179999999977</c:v>
                </c:pt>
                <c:pt idx="21">
                  <c:v>2.5022799999999967</c:v>
                </c:pt>
                <c:pt idx="22">
                  <c:v>2.5061089999999977</c:v>
                </c:pt>
                <c:pt idx="23">
                  <c:v>2.504054</c:v>
                </c:pt>
                <c:pt idx="24">
                  <c:v>2.5191719999999997</c:v>
                </c:pt>
                <c:pt idx="25">
                  <c:v>2.5322879999999977</c:v>
                </c:pt>
                <c:pt idx="26">
                  <c:v>2.5165689999999934</c:v>
                </c:pt>
                <c:pt idx="27">
                  <c:v>2.518845999999991</c:v>
                </c:pt>
                <c:pt idx="28">
                  <c:v>2.5475650000000001</c:v>
                </c:pt>
                <c:pt idx="29">
                  <c:v>2.5113129999999977</c:v>
                </c:pt>
                <c:pt idx="30">
                  <c:v>2.5116759999999925</c:v>
                </c:pt>
                <c:pt idx="31">
                  <c:v>2.5281989999999999</c:v>
                </c:pt>
                <c:pt idx="32">
                  <c:v>2.4969809999999977</c:v>
                </c:pt>
                <c:pt idx="33">
                  <c:v>2.4997439999999944</c:v>
                </c:pt>
                <c:pt idx="34">
                  <c:v>2.4965789999999934</c:v>
                </c:pt>
                <c:pt idx="35">
                  <c:v>2.495371</c:v>
                </c:pt>
                <c:pt idx="36">
                  <c:v>2.483603</c:v>
                </c:pt>
                <c:pt idx="37">
                  <c:v>2.4718859999999934</c:v>
                </c:pt>
                <c:pt idx="38">
                  <c:v>2.4578799999999967</c:v>
                </c:pt>
                <c:pt idx="39">
                  <c:v>2.4769239999999977</c:v>
                </c:pt>
                <c:pt idx="40">
                  <c:v>2.4564809999999939</c:v>
                </c:pt>
                <c:pt idx="41">
                  <c:v>2.4789699999999977</c:v>
                </c:pt>
                <c:pt idx="42">
                  <c:v>2.524416</c:v>
                </c:pt>
                <c:pt idx="43">
                  <c:v>2.500006</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1.6457299999999968</c:v>
                </c:pt>
                <c:pt idx="3">
                  <c:v>1.681225</c:v>
                </c:pt>
                <c:pt idx="4">
                  <c:v>1.709573999999997</c:v>
                </c:pt>
                <c:pt idx="5">
                  <c:v>1.7311929999999998</c:v>
                </c:pt>
                <c:pt idx="6">
                  <c:v>1.7318269999999953</c:v>
                </c:pt>
                <c:pt idx="7">
                  <c:v>1.7392089999999998</c:v>
                </c:pt>
                <c:pt idx="8">
                  <c:v>1.738567</c:v>
                </c:pt>
                <c:pt idx="9">
                  <c:v>1.728032</c:v>
                </c:pt>
                <c:pt idx="10">
                  <c:v>1.7272879999999999</c:v>
                </c:pt>
                <c:pt idx="11">
                  <c:v>1.7214899999999971</c:v>
                </c:pt>
                <c:pt idx="12">
                  <c:v>1.7377219999999951</c:v>
                </c:pt>
                <c:pt idx="13">
                  <c:v>1.7388399999999971</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1.7459959999999966</c:v>
                </c:pt>
                <c:pt idx="26">
                  <c:v>1.7228899999999998</c:v>
                </c:pt>
                <c:pt idx="27">
                  <c:v>1.697802</c:v>
                </c:pt>
                <c:pt idx="28">
                  <c:v>1.686644</c:v>
                </c:pt>
                <c:pt idx="29">
                  <c:v>1.6401820000000034</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1.5116649999999958</c:v>
                </c:pt>
                <c:pt idx="40">
                  <c:v>1.4891399999999968</c:v>
                </c:pt>
                <c:pt idx="41">
                  <c:v>1.4975239999999963</c:v>
                </c:pt>
                <c:pt idx="42">
                  <c:v>1.522349</c:v>
                </c:pt>
                <c:pt idx="43">
                  <c:v>1.4971339999999971</c:v>
                </c:pt>
              </c:numCache>
            </c:numRef>
          </c:val>
        </c:ser>
        <c:dLbls/>
        <c:marker val="1"/>
        <c:axId val="93419776"/>
        <c:axId val="94290304"/>
      </c:lineChart>
      <c:catAx>
        <c:axId val="93419776"/>
        <c:scaling>
          <c:orientation val="minMax"/>
        </c:scaling>
        <c:axPos val="b"/>
        <c:tickLblPos val="nextTo"/>
        <c:crossAx val="94290304"/>
        <c:crosses val="autoZero"/>
        <c:auto val="1"/>
        <c:lblAlgn val="ctr"/>
        <c:lblOffset val="100"/>
        <c:tickLblSkip val="12"/>
        <c:tickMarkSkip val="12"/>
      </c:catAx>
      <c:valAx>
        <c:axId val="94290304"/>
        <c:scaling>
          <c:orientation val="minMax"/>
          <c:max val="2.6"/>
          <c:min val="1.4"/>
        </c:scaling>
        <c:axPos val="l"/>
        <c:majorGridlines/>
        <c:title>
          <c:tx>
            <c:rich>
              <a:bodyPr rot="-5400000" vert="horz"/>
              <a:lstStyle/>
              <a:p>
                <a:pPr>
                  <a:defRPr sz="800" b="0"/>
                </a:pPr>
                <a:r>
                  <a:rPr lang="en-US" sz="800" b="0"/>
                  <a:t>Millions</a:t>
                </a:r>
              </a:p>
            </c:rich>
          </c:tx>
          <c:layout>
            <c:manualLayout>
              <c:xMode val="edge"/>
              <c:yMode val="edge"/>
              <c:x val="1.0541557305336938E-2"/>
              <c:y val="0.40222404491105285"/>
            </c:manualLayout>
          </c:layout>
        </c:title>
        <c:numFmt formatCode="#,##0.0" sourceLinked="0"/>
        <c:tickLblPos val="nextTo"/>
        <c:crossAx val="93419776"/>
        <c:crosses val="autoZero"/>
        <c:crossBetween val="between"/>
        <c:majorUnit val="0.2"/>
      </c:valAx>
    </c:plotArea>
    <c:legend>
      <c:legendPos val="r"/>
      <c:layout>
        <c:manualLayout>
          <c:xMode val="edge"/>
          <c:yMode val="edge"/>
          <c:x val="0.23450000000000004"/>
          <c:y val="3.2023549139690875E-2"/>
          <c:w val="0.48494444444444651"/>
          <c:h val="9.7989938757655284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161586817039349"/>
          <c:y val="5.3619302949061684E-2"/>
          <c:w val="0.74518610112393058"/>
          <c:h val="0.64822335796705199"/>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'11</c:v>
                </c:pt>
                <c:pt idx="1">
                  <c:v>'12</c:v>
                </c:pt>
                <c:pt idx="2">
                  <c:v>'13</c:v>
                </c:pt>
              </c:strCache>
            </c:strRef>
          </c:cat>
          <c:val>
            <c:numRef>
              <c:f>'PR chart 2'!$D$47:$F$47</c:f>
              <c:numCache>
                <c:formatCode>#,##0</c:formatCode>
                <c:ptCount val="3"/>
                <c:pt idx="0">
                  <c:v>1645.106</c:v>
                </c:pt>
                <c:pt idx="1">
                  <c:v>1669.251</c:v>
                </c:pt>
                <c:pt idx="2">
                  <c:v>1673.886</c:v>
                </c:pt>
              </c:numCache>
            </c:numRef>
          </c:val>
        </c:ser>
        <c:dLbls/>
        <c:gapWidth val="48"/>
        <c:axId val="95452544"/>
        <c:axId val="74384512"/>
      </c:barChart>
      <c:catAx>
        <c:axId val="95452544"/>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4384512"/>
        <c:crosses val="autoZero"/>
        <c:auto val="1"/>
        <c:lblAlgn val="ctr"/>
        <c:lblOffset val="100"/>
      </c:catAx>
      <c:valAx>
        <c:axId val="74384512"/>
        <c:scaling>
          <c:orientation val="minMax"/>
          <c:max val="1675"/>
          <c:min val="1600"/>
        </c:scaling>
        <c:axPos val="l"/>
        <c:majorGridlines/>
        <c:title>
          <c:tx>
            <c:rich>
              <a:bodyPr rot="-5400000" vert="horz"/>
              <a:lstStyle/>
              <a:p>
                <a:pPr>
                  <a:defRPr sz="800"/>
                </a:pPr>
                <a:r>
                  <a:rPr lang="en-US" sz="800"/>
                  <a:t>Thousands</a:t>
                </a:r>
              </a:p>
            </c:rich>
          </c:tx>
          <c:layout>
            <c:manualLayout>
              <c:xMode val="edge"/>
              <c:yMode val="edge"/>
              <c:x val="0"/>
              <c:y val="0.25774799539624038"/>
            </c:manualLayout>
          </c:layout>
        </c:title>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95452544"/>
        <c:crosses val="autoZero"/>
        <c:crossBetween val="between"/>
        <c:majorUnit val="25"/>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visscj</cp:lastModifiedBy>
  <cp:revision>3</cp:revision>
  <cp:lastPrinted>2013-08-21T14:06:00Z</cp:lastPrinted>
  <dcterms:created xsi:type="dcterms:W3CDTF">2013-09-18T16:54:00Z</dcterms:created>
  <dcterms:modified xsi:type="dcterms:W3CDTF">2013-09-18T16:54:00Z</dcterms:modified>
</cp:coreProperties>
</file>