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E75134" w:rsidRPr="00D62A9D" w:rsidRDefault="00A76181" w:rsidP="00E75134">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21 March</w:t>
      </w:r>
      <w:r w:rsidR="00E75134" w:rsidRPr="00D62A9D">
        <w:rPr>
          <w:rFonts w:ascii="Arial" w:eastAsiaTheme="minorEastAsia" w:hAnsi="Arial" w:cs="Arial"/>
          <w:b w:val="0"/>
          <w:bCs/>
          <w:color w:val="1074CB"/>
          <w:sz w:val="44"/>
          <w:szCs w:val="44"/>
        </w:rPr>
        <w:t xml:space="preserve"> 2013 </w:t>
      </w:r>
      <w:r w:rsidR="00E75134"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February</w:t>
      </w:r>
      <w:r w:rsidR="00E75134" w:rsidRPr="00D62A9D">
        <w:rPr>
          <w:rFonts w:ascii="Arial" w:eastAsiaTheme="minorEastAsia" w:hAnsi="Arial" w:cs="Arial"/>
          <w:b w:val="0"/>
          <w:bCs/>
          <w:color w:val="1074CB"/>
          <w:sz w:val="32"/>
          <w:szCs w:val="32"/>
        </w:rPr>
        <w:t xml:space="preserve">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EA17B0" w:rsidRDefault="0054686B" w:rsidP="00EA17B0">
      <w:pPr>
        <w:tabs>
          <w:tab w:val="left" w:pos="889"/>
        </w:tabs>
        <w:rPr>
          <w:rFonts w:ascii="Arial" w:hAnsi="Arial" w:cs="Arial"/>
          <w:sz w:val="20"/>
        </w:rPr>
      </w:pPr>
      <w:r w:rsidRPr="0054686B">
        <w:rPr>
          <w:rFonts w:ascii="Arial" w:eastAsiaTheme="minorEastAsia" w:hAnsi="Arial" w:cs="Arial"/>
          <w:b/>
          <w:bCs/>
          <w:noProof/>
          <w:color w:val="1074CB"/>
          <w:sz w:val="20"/>
        </w:rPr>
        <w:pict>
          <v:line id="_x0000_s1028" style="position:absolute;z-index:251658752" from=".55pt,.6pt" to="464.4pt,.6pt" strokecolor="#1074cb"/>
        </w:pict>
      </w:r>
      <w:r w:rsidR="00EA17B0" w:rsidRPr="00EA17B0">
        <w:rPr>
          <w:rFonts w:ascii="Arial" w:hAnsi="Arial" w:cs="Arial"/>
          <w:sz w:val="20"/>
        </w:rPr>
        <w:tab/>
      </w:r>
    </w:p>
    <w:p w:rsidR="00E75134" w:rsidRPr="00D62A9D" w:rsidRDefault="00A625A6" w:rsidP="00EA17B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Car output stable in February, 2013</w:t>
      </w:r>
      <w:r w:rsidR="00A76181">
        <w:rPr>
          <w:rFonts w:ascii="Arial" w:eastAsiaTheme="minorEastAsia" w:hAnsi="Arial" w:cs="Arial"/>
          <w:bCs/>
          <w:color w:val="1074CB"/>
          <w:sz w:val="36"/>
          <w:szCs w:val="36"/>
        </w:rPr>
        <w:t xml:space="preserve"> prospects positive</w:t>
      </w:r>
    </w:p>
    <w:p w:rsidR="00E75134" w:rsidRDefault="00E75134" w:rsidP="00EA17B0">
      <w:pPr>
        <w:rPr>
          <w:rFonts w:ascii="Arial" w:hAnsi="Arial" w:cs="Arial"/>
          <w:sz w:val="20"/>
        </w:rPr>
      </w:pPr>
    </w:p>
    <w:p w:rsidR="00A76181" w:rsidRDefault="00E75134" w:rsidP="004C0D6C">
      <w:pPr>
        <w:pStyle w:val="ListParagraph"/>
        <w:numPr>
          <w:ilvl w:val="0"/>
          <w:numId w:val="1"/>
        </w:numPr>
        <w:spacing w:line="360" w:lineRule="auto"/>
        <w:rPr>
          <w:rFonts w:ascii="Arial" w:hAnsi="Arial" w:cs="Arial"/>
          <w:sz w:val="20"/>
        </w:rPr>
      </w:pPr>
      <w:r w:rsidRPr="00DE09BC">
        <w:rPr>
          <w:rFonts w:ascii="Arial" w:hAnsi="Arial" w:cs="Arial"/>
          <w:sz w:val="20"/>
        </w:rPr>
        <w:t xml:space="preserve">Car manufacturing </w:t>
      </w:r>
      <w:r w:rsidR="00A76181">
        <w:rPr>
          <w:rFonts w:ascii="Arial" w:hAnsi="Arial" w:cs="Arial"/>
          <w:sz w:val="20"/>
        </w:rPr>
        <w:t>dipped 0.7%</w:t>
      </w:r>
      <w:r w:rsidR="00FA3BC3">
        <w:rPr>
          <w:rFonts w:ascii="Arial" w:hAnsi="Arial" w:cs="Arial"/>
          <w:sz w:val="20"/>
        </w:rPr>
        <w:t xml:space="preserve"> </w:t>
      </w:r>
      <w:r w:rsidR="00A76181">
        <w:rPr>
          <w:rFonts w:ascii="Arial" w:hAnsi="Arial" w:cs="Arial"/>
          <w:sz w:val="20"/>
        </w:rPr>
        <w:t>in February to 137,458 units.</w:t>
      </w:r>
    </w:p>
    <w:p w:rsidR="0056012A" w:rsidRPr="0056012A" w:rsidRDefault="00084E61" w:rsidP="004C0D6C">
      <w:pPr>
        <w:pStyle w:val="ListParagraph"/>
        <w:numPr>
          <w:ilvl w:val="0"/>
          <w:numId w:val="1"/>
        </w:numPr>
        <w:spacing w:line="360" w:lineRule="auto"/>
        <w:rPr>
          <w:rFonts w:ascii="Arial" w:hAnsi="Arial" w:cs="Arial"/>
          <w:sz w:val="20"/>
        </w:rPr>
      </w:pPr>
      <w:r>
        <w:rPr>
          <w:rFonts w:ascii="Arial" w:hAnsi="Arial" w:cs="Arial"/>
          <w:sz w:val="20"/>
        </w:rPr>
        <w:t xml:space="preserve">However, </w:t>
      </w:r>
      <w:r w:rsidR="0056012A">
        <w:rPr>
          <w:rFonts w:ascii="Arial" w:hAnsi="Arial" w:cs="Arial"/>
          <w:sz w:val="20"/>
        </w:rPr>
        <w:t>February</w:t>
      </w:r>
      <w:r w:rsidR="004C0D6C">
        <w:rPr>
          <w:rFonts w:ascii="Arial" w:hAnsi="Arial" w:cs="Arial"/>
          <w:sz w:val="20"/>
        </w:rPr>
        <w:t xml:space="preserve"> 2012</w:t>
      </w:r>
      <w:r w:rsidR="0056012A">
        <w:rPr>
          <w:rFonts w:ascii="Arial" w:hAnsi="Arial" w:cs="Arial"/>
          <w:sz w:val="20"/>
        </w:rPr>
        <w:t xml:space="preserve"> saw </w:t>
      </w:r>
      <w:r w:rsidR="0056012A" w:rsidRPr="0056012A">
        <w:rPr>
          <w:rFonts w:ascii="Arial" w:hAnsi="Arial" w:cs="Arial"/>
          <w:sz w:val="20"/>
        </w:rPr>
        <w:t>a 26% increase</w:t>
      </w:r>
      <w:r w:rsidR="0056012A">
        <w:rPr>
          <w:rFonts w:ascii="Arial" w:hAnsi="Arial" w:cs="Arial"/>
          <w:sz w:val="20"/>
        </w:rPr>
        <w:t xml:space="preserve"> on 2011</w:t>
      </w:r>
      <w:r w:rsidR="00A625A6">
        <w:rPr>
          <w:rFonts w:ascii="Arial" w:hAnsi="Arial" w:cs="Arial"/>
          <w:sz w:val="20"/>
        </w:rPr>
        <w:t>.</w:t>
      </w:r>
    </w:p>
    <w:p w:rsidR="00E75134" w:rsidRPr="00A76181" w:rsidRDefault="00A76181" w:rsidP="004C0D6C">
      <w:pPr>
        <w:pStyle w:val="ListParagraph"/>
        <w:numPr>
          <w:ilvl w:val="0"/>
          <w:numId w:val="1"/>
        </w:numPr>
        <w:spacing w:line="360" w:lineRule="auto"/>
        <w:rPr>
          <w:rFonts w:ascii="Arial" w:hAnsi="Arial" w:cs="Arial"/>
          <w:sz w:val="20"/>
        </w:rPr>
      </w:pPr>
      <w:r w:rsidRPr="00A76181">
        <w:rPr>
          <w:rFonts w:ascii="Arial" w:hAnsi="Arial" w:cs="Arial"/>
          <w:sz w:val="20"/>
        </w:rPr>
        <w:t>Output over</w:t>
      </w:r>
      <w:r w:rsidR="00F52D53">
        <w:rPr>
          <w:rFonts w:ascii="Arial" w:hAnsi="Arial" w:cs="Arial"/>
          <w:sz w:val="20"/>
        </w:rPr>
        <w:t xml:space="preserve"> the first two months of 2013 grew 0.2%, posting</w:t>
      </w:r>
      <w:r w:rsidRPr="00A76181">
        <w:rPr>
          <w:rFonts w:ascii="Arial" w:hAnsi="Arial" w:cs="Arial"/>
          <w:sz w:val="20"/>
        </w:rPr>
        <w:t xml:space="preserve"> 266,507 units</w:t>
      </w:r>
      <w:r w:rsidR="00E75134" w:rsidRPr="00A76181">
        <w:rPr>
          <w:rFonts w:ascii="Arial" w:hAnsi="Arial" w:cs="Arial"/>
          <w:sz w:val="20"/>
        </w:rPr>
        <w:t>.</w:t>
      </w:r>
    </w:p>
    <w:p w:rsidR="00E75134" w:rsidRDefault="00A76181" w:rsidP="004C0D6C">
      <w:pPr>
        <w:pStyle w:val="ListParagraph"/>
        <w:numPr>
          <w:ilvl w:val="0"/>
          <w:numId w:val="1"/>
        </w:numPr>
        <w:spacing w:line="360" w:lineRule="auto"/>
        <w:rPr>
          <w:rFonts w:ascii="Arial" w:hAnsi="Arial" w:cs="Arial"/>
          <w:sz w:val="20"/>
        </w:rPr>
      </w:pPr>
      <w:r>
        <w:rPr>
          <w:rFonts w:ascii="Arial" w:hAnsi="Arial" w:cs="Arial"/>
          <w:sz w:val="20"/>
        </w:rPr>
        <w:t>Output for the domestic market has risen by more than a third</w:t>
      </w:r>
      <w:r w:rsidR="00F52D53">
        <w:rPr>
          <w:rFonts w:ascii="Arial" w:hAnsi="Arial" w:cs="Arial"/>
          <w:sz w:val="20"/>
        </w:rPr>
        <w:t xml:space="preserve"> so far this year</w:t>
      </w:r>
      <w:r w:rsidR="00E75134">
        <w:rPr>
          <w:rFonts w:ascii="Arial" w:hAnsi="Arial" w:cs="Arial"/>
          <w:sz w:val="20"/>
        </w:rPr>
        <w:t>.</w:t>
      </w:r>
    </w:p>
    <w:p w:rsidR="00387380" w:rsidRPr="00DE09BC" w:rsidRDefault="00A76181" w:rsidP="004C0D6C">
      <w:pPr>
        <w:pStyle w:val="ListParagraph"/>
        <w:numPr>
          <w:ilvl w:val="0"/>
          <w:numId w:val="1"/>
        </w:numPr>
        <w:spacing w:line="360" w:lineRule="auto"/>
        <w:rPr>
          <w:rFonts w:ascii="Arial" w:hAnsi="Arial" w:cs="Arial"/>
          <w:sz w:val="20"/>
        </w:rPr>
      </w:pPr>
      <w:r>
        <w:rPr>
          <w:rFonts w:ascii="Arial" w:hAnsi="Arial" w:cs="Arial"/>
          <w:sz w:val="20"/>
        </w:rPr>
        <w:t>Strong investment intentions suggest output will rise over the full year and beyond</w:t>
      </w:r>
      <w:r w:rsidR="00EA17B0">
        <w:rPr>
          <w:rFonts w:ascii="Arial" w:hAnsi="Arial" w:cs="Arial"/>
          <w:sz w:val="20"/>
        </w:rPr>
        <w:t>.</w:t>
      </w:r>
    </w:p>
    <w:p w:rsidR="004D2A7A" w:rsidRPr="0056012A" w:rsidRDefault="004D2A7A" w:rsidP="004C0D6C">
      <w:pPr>
        <w:spacing w:line="360" w:lineRule="auto"/>
        <w:rPr>
          <w:rFonts w:ascii="Arial" w:hAnsi="Arial" w:cs="Arial"/>
          <w:sz w:val="20"/>
        </w:rPr>
      </w:pPr>
    </w:p>
    <w:p w:rsidR="0056012A" w:rsidRPr="0056012A" w:rsidRDefault="0056012A" w:rsidP="004C0D6C">
      <w:pPr>
        <w:spacing w:line="360" w:lineRule="auto"/>
        <w:rPr>
          <w:rFonts w:ascii="Arial" w:hAnsi="Arial" w:cs="Arial"/>
          <w:sz w:val="20"/>
        </w:rPr>
      </w:pPr>
      <w:r w:rsidRPr="0056012A">
        <w:rPr>
          <w:rFonts w:ascii="Arial" w:hAnsi="Arial" w:cs="Arial"/>
          <w:sz w:val="20"/>
        </w:rPr>
        <w:t>Mike Baunton</w:t>
      </w:r>
      <w:r w:rsidR="00F52D53">
        <w:rPr>
          <w:rFonts w:ascii="Arial" w:hAnsi="Arial" w:cs="Arial"/>
          <w:sz w:val="20"/>
        </w:rPr>
        <w:t>, SMMT Interim Chief Executive said, "</w:t>
      </w:r>
      <w:r w:rsidRPr="0056012A">
        <w:rPr>
          <w:rFonts w:ascii="Arial" w:hAnsi="Arial" w:cs="Arial"/>
          <w:sz w:val="20"/>
        </w:rPr>
        <w:t xml:space="preserve">Following the outstanding rise a year ago, it's pleasing to see car production continuing to maintain those </w:t>
      </w:r>
      <w:r w:rsidR="004C0D6C">
        <w:rPr>
          <w:rFonts w:ascii="Arial" w:hAnsi="Arial" w:cs="Arial"/>
          <w:sz w:val="20"/>
        </w:rPr>
        <w:t>robust manufacturing levels. T</w:t>
      </w:r>
      <w:r w:rsidRPr="0056012A">
        <w:rPr>
          <w:rFonts w:ascii="Arial" w:hAnsi="Arial" w:cs="Arial"/>
          <w:sz w:val="20"/>
        </w:rPr>
        <w:t xml:space="preserve">he </w:t>
      </w:r>
      <w:r>
        <w:rPr>
          <w:rFonts w:ascii="Arial" w:hAnsi="Arial" w:cs="Arial"/>
          <w:sz w:val="20"/>
        </w:rPr>
        <w:t>UK</w:t>
      </w:r>
      <w:r w:rsidR="00FA52BF">
        <w:rPr>
          <w:rFonts w:ascii="Arial" w:hAnsi="Arial" w:cs="Arial"/>
          <w:sz w:val="20"/>
        </w:rPr>
        <w:t>’</w:t>
      </w:r>
      <w:r>
        <w:rPr>
          <w:rFonts w:ascii="Arial" w:hAnsi="Arial" w:cs="Arial"/>
          <w:sz w:val="20"/>
        </w:rPr>
        <w:t xml:space="preserve">s </w:t>
      </w:r>
      <w:r w:rsidRPr="0056012A">
        <w:rPr>
          <w:rFonts w:ascii="Arial" w:hAnsi="Arial" w:cs="Arial"/>
          <w:sz w:val="20"/>
        </w:rPr>
        <w:t>commercial ve</w:t>
      </w:r>
      <w:r w:rsidR="004C0D6C">
        <w:rPr>
          <w:rFonts w:ascii="Arial" w:hAnsi="Arial" w:cs="Arial"/>
          <w:sz w:val="20"/>
        </w:rPr>
        <w:t>hicle makers continue to feel</w:t>
      </w:r>
      <w:r w:rsidRPr="0056012A">
        <w:rPr>
          <w:rFonts w:ascii="Arial" w:hAnsi="Arial" w:cs="Arial"/>
          <w:sz w:val="20"/>
        </w:rPr>
        <w:t xml:space="preserve"> pressures of</w:t>
      </w:r>
      <w:r w:rsidR="00F52D53">
        <w:rPr>
          <w:rFonts w:ascii="Arial" w:hAnsi="Arial" w:cs="Arial"/>
          <w:sz w:val="20"/>
        </w:rPr>
        <w:t xml:space="preserve"> weak economic conditions in wider Europe</w:t>
      </w:r>
      <w:r w:rsidRPr="0056012A">
        <w:rPr>
          <w:rFonts w:ascii="Arial" w:hAnsi="Arial" w:cs="Arial"/>
          <w:sz w:val="20"/>
        </w:rPr>
        <w:t>, with engines al</w:t>
      </w:r>
      <w:r w:rsidR="00F52D53">
        <w:rPr>
          <w:rFonts w:ascii="Arial" w:hAnsi="Arial" w:cs="Arial"/>
          <w:sz w:val="20"/>
        </w:rPr>
        <w:t>so following suit. However, independent forecaster</w:t>
      </w:r>
      <w:r w:rsidR="00242510">
        <w:rPr>
          <w:rFonts w:ascii="Arial" w:hAnsi="Arial" w:cs="Arial"/>
          <w:sz w:val="20"/>
        </w:rPr>
        <w:t>s expect</w:t>
      </w:r>
      <w:r w:rsidR="00FA52BF">
        <w:rPr>
          <w:rFonts w:ascii="Arial" w:hAnsi="Arial" w:cs="Arial"/>
          <w:sz w:val="20"/>
        </w:rPr>
        <w:t xml:space="preserve"> </w:t>
      </w:r>
      <w:r w:rsidRPr="0056012A">
        <w:rPr>
          <w:rFonts w:ascii="Arial" w:hAnsi="Arial" w:cs="Arial"/>
          <w:sz w:val="20"/>
        </w:rPr>
        <w:t>to see more sustained levels through the rest of the year ahead.</w:t>
      </w:r>
      <w:r w:rsidR="00242510">
        <w:rPr>
          <w:rFonts w:ascii="Arial" w:hAnsi="Arial" w:cs="Arial"/>
          <w:sz w:val="20"/>
        </w:rPr>
        <w:t>"</w:t>
      </w:r>
      <w:r w:rsidRPr="0056012A">
        <w:rPr>
          <w:rFonts w:ascii="Arial" w:hAnsi="Arial" w:cs="Arial"/>
          <w:sz w:val="20"/>
        </w:rPr>
        <w:t> </w:t>
      </w:r>
    </w:p>
    <w:p w:rsidR="00506E24" w:rsidRPr="00506E24" w:rsidRDefault="00506E24" w:rsidP="00EA17B0">
      <w:pPr>
        <w:spacing w:line="360" w:lineRule="auto"/>
        <w:rPr>
          <w:rFonts w:ascii="Arial" w:hAnsi="Arial" w:cs="Arial"/>
          <w:sz w:val="16"/>
          <w:szCs w:val="16"/>
        </w:rPr>
      </w:pPr>
    </w:p>
    <w:tbl>
      <w:tblPr>
        <w:tblW w:w="9511" w:type="dxa"/>
        <w:tblInd w:w="95" w:type="dxa"/>
        <w:tblLayout w:type="fixed"/>
        <w:tblLook w:val="04A0"/>
      </w:tblPr>
      <w:tblGrid>
        <w:gridCol w:w="2140"/>
        <w:gridCol w:w="1228"/>
        <w:gridCol w:w="1229"/>
        <w:gridCol w:w="1228"/>
        <w:gridCol w:w="1229"/>
        <w:gridCol w:w="1228"/>
        <w:gridCol w:w="1229"/>
      </w:tblGrid>
      <w:tr w:rsidR="00A76181" w:rsidRPr="00A76181" w:rsidTr="00506E24">
        <w:trPr>
          <w:trHeight w:val="270"/>
        </w:trPr>
        <w:tc>
          <w:tcPr>
            <w:tcW w:w="2140" w:type="dxa"/>
            <w:tcBorders>
              <w:top w:val="single" w:sz="8" w:space="0" w:color="548DD4"/>
              <w:left w:val="single" w:sz="8" w:space="0" w:color="548DD4"/>
              <w:bottom w:val="single" w:sz="8" w:space="0" w:color="548DD4"/>
              <w:right w:val="single" w:sz="8" w:space="0" w:color="548DD4"/>
            </w:tcBorders>
            <w:shd w:val="clear" w:color="auto" w:fill="auto"/>
            <w:noWrap/>
            <w:hideMark/>
          </w:tcPr>
          <w:p w:rsidR="00A76181" w:rsidRPr="00A76181" w:rsidRDefault="00A76181" w:rsidP="00A76181">
            <w:pPr>
              <w:rPr>
                <w:rFonts w:ascii="Arial" w:eastAsia="Times New Roman" w:hAnsi="Arial" w:cs="Arial"/>
                <w:b/>
                <w:bCs/>
                <w:color w:val="1074CB"/>
                <w:sz w:val="20"/>
              </w:rPr>
            </w:pPr>
            <w:r w:rsidRPr="00A76181">
              <w:rPr>
                <w:rFonts w:ascii="Arial" w:eastAsia="Times New Roman" w:hAnsi="Arial" w:cs="Arial"/>
                <w:b/>
                <w:bCs/>
                <w:color w:val="1074CB"/>
                <w:sz w:val="20"/>
              </w:rPr>
              <w:t>Car manufacturing</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b/>
                <w:bCs/>
                <w:color w:val="0070C0"/>
                <w:sz w:val="20"/>
              </w:rPr>
            </w:pPr>
            <w:r w:rsidRPr="00A76181">
              <w:rPr>
                <w:rFonts w:ascii="Arial" w:eastAsia="Times New Roman" w:hAnsi="Arial" w:cs="Arial"/>
                <w:b/>
                <w:bCs/>
                <w:color w:val="0070C0"/>
                <w:sz w:val="20"/>
              </w:rPr>
              <w:t>Feb-12</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b/>
                <w:bCs/>
                <w:color w:val="0070C0"/>
                <w:sz w:val="20"/>
              </w:rPr>
            </w:pPr>
            <w:r w:rsidRPr="00A76181">
              <w:rPr>
                <w:rFonts w:ascii="Arial" w:eastAsia="Times New Roman" w:hAnsi="Arial" w:cs="Arial"/>
                <w:b/>
                <w:bCs/>
                <w:color w:val="0070C0"/>
                <w:sz w:val="20"/>
              </w:rPr>
              <w:t>Feb-13</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b/>
                <w:bCs/>
                <w:color w:val="0070C0"/>
                <w:sz w:val="20"/>
              </w:rPr>
            </w:pPr>
            <w:r w:rsidRPr="00A76181">
              <w:rPr>
                <w:rFonts w:ascii="Arial" w:eastAsia="Times New Roman" w:hAnsi="Arial" w:cs="Arial"/>
                <w:b/>
                <w:bCs/>
                <w:color w:val="0070C0"/>
                <w:sz w:val="20"/>
              </w:rPr>
              <w:t xml:space="preserve">% Change </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b/>
                <w:bCs/>
                <w:color w:val="0070C0"/>
                <w:sz w:val="20"/>
              </w:rPr>
            </w:pPr>
            <w:r w:rsidRPr="00A76181">
              <w:rPr>
                <w:rFonts w:ascii="Arial" w:eastAsia="Times New Roman" w:hAnsi="Arial" w:cs="Arial"/>
                <w:b/>
                <w:bCs/>
                <w:color w:val="0070C0"/>
                <w:sz w:val="20"/>
              </w:rPr>
              <w:t>YTD-12</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b/>
                <w:bCs/>
                <w:color w:val="0070C0"/>
                <w:sz w:val="20"/>
              </w:rPr>
            </w:pPr>
            <w:r w:rsidRPr="00A76181">
              <w:rPr>
                <w:rFonts w:ascii="Arial" w:eastAsia="Times New Roman" w:hAnsi="Arial" w:cs="Arial"/>
                <w:b/>
                <w:bCs/>
                <w:color w:val="0070C0"/>
                <w:sz w:val="20"/>
              </w:rPr>
              <w:t>YTD-13</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b/>
                <w:bCs/>
                <w:color w:val="0070C0"/>
                <w:sz w:val="20"/>
              </w:rPr>
            </w:pPr>
            <w:r w:rsidRPr="00A76181">
              <w:rPr>
                <w:rFonts w:ascii="Arial" w:eastAsia="Times New Roman" w:hAnsi="Arial" w:cs="Arial"/>
                <w:b/>
                <w:bCs/>
                <w:color w:val="0070C0"/>
                <w:sz w:val="20"/>
              </w:rPr>
              <w:t>% Change</w:t>
            </w:r>
          </w:p>
        </w:tc>
      </w:tr>
      <w:tr w:rsidR="00A76181"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1074CB"/>
                <w:sz w:val="20"/>
              </w:rPr>
            </w:pPr>
            <w:r w:rsidRPr="00A76181">
              <w:rPr>
                <w:rFonts w:ascii="Arial" w:eastAsia="Times New Roman" w:hAnsi="Arial" w:cs="Arial"/>
                <w:bCs/>
                <w:color w:val="1074CB"/>
                <w:sz w:val="20"/>
              </w:rPr>
              <w:t>Total</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138,483</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137,458</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-0.7%</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266,033</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266,507</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0.2%</w:t>
            </w:r>
          </w:p>
        </w:tc>
      </w:tr>
      <w:tr w:rsidR="00A76181"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1074CB"/>
                <w:sz w:val="20"/>
              </w:rPr>
            </w:pPr>
            <w:r w:rsidRPr="00A76181">
              <w:rPr>
                <w:rFonts w:ascii="Arial" w:eastAsia="Times New Roman" w:hAnsi="Arial" w:cs="Arial"/>
                <w:bCs/>
                <w:color w:val="1074CB"/>
                <w:sz w:val="20"/>
              </w:rPr>
              <w:t>Home</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25,228</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35,251</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39.7%</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46,588</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62,162</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color w:val="0070C0"/>
                <w:sz w:val="20"/>
              </w:rPr>
              <w:t>33.4%</w:t>
            </w:r>
          </w:p>
        </w:tc>
      </w:tr>
      <w:tr w:rsidR="00A76181"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1074CB"/>
                <w:sz w:val="20"/>
              </w:rPr>
            </w:pPr>
            <w:r w:rsidRPr="00A76181">
              <w:rPr>
                <w:rFonts w:ascii="Arial" w:eastAsia="Times New Roman" w:hAnsi="Arial" w:cs="Arial"/>
                <w:bCs/>
                <w:color w:val="1074CB"/>
                <w:sz w:val="20"/>
              </w:rPr>
              <w:t>Export</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113,255</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102,207</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color w:val="0070C0"/>
                <w:sz w:val="20"/>
              </w:rPr>
              <w:t>-9.8%</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219,445</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204,345</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color w:val="0070C0"/>
                <w:sz w:val="20"/>
              </w:rPr>
              <w:t>-6.9%</w:t>
            </w:r>
          </w:p>
        </w:tc>
      </w:tr>
      <w:tr w:rsidR="00A76181"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1074CB"/>
                <w:sz w:val="20"/>
              </w:rPr>
            </w:pPr>
            <w:r w:rsidRPr="00A76181">
              <w:rPr>
                <w:rFonts w:ascii="Arial" w:eastAsia="Times New Roman" w:hAnsi="Arial" w:cs="Arial"/>
                <w:bCs/>
                <w:color w:val="1074CB"/>
                <w:sz w:val="20"/>
              </w:rPr>
              <w:t>% export</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81.8%</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74.4%</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color w:val="0070C0"/>
                <w:sz w:val="20"/>
              </w:rPr>
              <w:t> </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82.5%</w:t>
            </w:r>
          </w:p>
        </w:tc>
        <w:tc>
          <w:tcPr>
            <w:tcW w:w="1228"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bCs/>
                <w:color w:val="0070C0"/>
                <w:sz w:val="20"/>
              </w:rPr>
              <w:t>76.7%</w:t>
            </w:r>
          </w:p>
        </w:tc>
        <w:tc>
          <w:tcPr>
            <w:tcW w:w="1229" w:type="dxa"/>
            <w:tcBorders>
              <w:top w:val="nil"/>
              <w:left w:val="nil"/>
              <w:bottom w:val="single" w:sz="8" w:space="0" w:color="548DD4"/>
              <w:right w:val="single" w:sz="8" w:space="0" w:color="548DD4"/>
            </w:tcBorders>
            <w:shd w:val="clear" w:color="auto" w:fill="auto"/>
            <w:noWrap/>
            <w:vAlign w:val="bottom"/>
            <w:hideMark/>
          </w:tcPr>
          <w:p w:rsidR="00A76181" w:rsidRPr="00A76181" w:rsidRDefault="00A76181" w:rsidP="00A76181">
            <w:pPr>
              <w:jc w:val="right"/>
              <w:rPr>
                <w:rFonts w:ascii="Arial" w:eastAsia="Times New Roman" w:hAnsi="Arial" w:cs="Arial"/>
                <w:color w:val="0070C0"/>
                <w:sz w:val="20"/>
              </w:rPr>
            </w:pPr>
            <w:r w:rsidRPr="00A76181">
              <w:rPr>
                <w:rFonts w:ascii="Arial" w:eastAsia="Times New Roman" w:hAnsi="Arial" w:cs="Arial"/>
                <w:color w:val="0070C0"/>
                <w:sz w:val="20"/>
              </w:rPr>
              <w:t> </w:t>
            </w:r>
          </w:p>
        </w:tc>
      </w:tr>
    </w:tbl>
    <w:p w:rsidR="00A76181" w:rsidRDefault="00A76181" w:rsidP="007B7D91">
      <w:pPr>
        <w:keepNext/>
        <w:spacing w:line="276" w:lineRule="auto"/>
        <w:rPr>
          <w:rFonts w:ascii="Arial" w:hAnsi="Arial" w:cs="Arial"/>
          <w:b/>
          <w:color w:val="0D2255"/>
          <w:sz w:val="20"/>
        </w:rPr>
      </w:pPr>
    </w:p>
    <w:p w:rsidR="007B7D91" w:rsidRDefault="007B7D91" w:rsidP="007B7D91">
      <w:pPr>
        <w:keepNext/>
        <w:spacing w:line="276" w:lineRule="auto"/>
        <w:rPr>
          <w:rFonts w:ascii="Arial" w:hAnsi="Arial" w:cs="Arial"/>
          <w:b/>
          <w:color w:val="0D2255"/>
          <w:sz w:val="20"/>
        </w:rPr>
      </w:pPr>
      <w:r w:rsidRPr="00D62A9D">
        <w:rPr>
          <w:rFonts w:ascii="Arial" w:hAnsi="Arial" w:cs="Arial"/>
          <w:b/>
          <w:color w:val="0D2255"/>
          <w:sz w:val="20"/>
        </w:rPr>
        <w:t>Car output rolling year total</w:t>
      </w:r>
    </w:p>
    <w:p w:rsidR="007B7D91" w:rsidRPr="00D62A9D" w:rsidRDefault="00506E24" w:rsidP="007B7D91">
      <w:pPr>
        <w:keepNext/>
        <w:spacing w:line="276" w:lineRule="auto"/>
        <w:rPr>
          <w:rFonts w:ascii="Arial" w:hAnsi="Arial" w:cs="Arial"/>
        </w:rPr>
        <w:sectPr w:rsidR="007B7D91" w:rsidRPr="00D62A9D" w:rsidSect="00446AC5">
          <w:headerReference w:type="default" r:id="rId7"/>
          <w:footerReference w:type="default" r:id="rId8"/>
          <w:pgSz w:w="11906" w:h="16838" w:code="9"/>
          <w:pgMar w:top="709" w:right="1077" w:bottom="1134" w:left="1077" w:header="0" w:footer="397" w:gutter="0"/>
          <w:cols w:space="720"/>
          <w:docGrid w:linePitch="360"/>
        </w:sectPr>
      </w:pPr>
      <w:r w:rsidRPr="00506E24">
        <w:rPr>
          <w:rFonts w:ascii="Arial" w:hAnsi="Arial" w:cs="Arial"/>
          <w:b/>
          <w:noProof/>
          <w:color w:val="0D2255"/>
          <w:sz w:val="20"/>
        </w:rPr>
        <w:drawing>
          <wp:inline distT="0" distB="0" distL="0" distR="0">
            <wp:extent cx="5788550" cy="236948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B7D91" w:rsidRPr="00D62A9D">
        <w:rPr>
          <w:rFonts w:ascii="Arial" w:hAnsi="Arial" w:cs="Arial"/>
          <w:b/>
          <w:color w:val="0D2255"/>
          <w:sz w:val="20"/>
        </w:rPr>
        <w:tab/>
      </w:r>
      <w:bookmarkStart w:id="0" w:name="_GoBack"/>
      <w:bookmarkEnd w:id="0"/>
      <w:r w:rsidR="007B7D91" w:rsidRPr="00D62A9D">
        <w:rPr>
          <w:rFonts w:ascii="Arial" w:hAnsi="Arial" w:cs="Arial"/>
          <w:b/>
          <w:color w:val="0D2255"/>
          <w:sz w:val="20"/>
        </w:rPr>
        <w:tab/>
        <w:t xml:space="preserve">                 </w:t>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COMMERCIAL VEHICLE</w:t>
      </w:r>
      <w:r w:rsidRPr="00D62A9D">
        <w:rPr>
          <w:rFonts w:ascii="Arial" w:eastAsiaTheme="minorEastAsia" w:hAnsi="Arial" w:cs="Arial"/>
          <w:bCs/>
          <w:color w:val="1074CB"/>
          <w:sz w:val="44"/>
          <w:szCs w:val="44"/>
        </w:rPr>
        <w:t xml:space="preserve"> MANUFACTURING</w:t>
      </w:r>
    </w:p>
    <w:p w:rsidR="00E75134" w:rsidRPr="00D62A9D" w:rsidRDefault="00E75134" w:rsidP="00E75134">
      <w:pPr>
        <w:pStyle w:val="Heading1"/>
        <w:ind w:right="142"/>
        <w:rPr>
          <w:rFonts w:ascii="Arial" w:eastAsiaTheme="minorEastAsia" w:hAnsi="Arial" w:cs="Arial"/>
          <w:b w:val="0"/>
          <w:bCs/>
          <w:color w:val="1074CB"/>
          <w:sz w:val="44"/>
          <w:szCs w:val="44"/>
        </w:rPr>
      </w:pPr>
      <w:r w:rsidRPr="00D62A9D">
        <w:rPr>
          <w:rFonts w:ascii="Arial" w:eastAsiaTheme="minorEastAsia" w:hAnsi="Arial" w:cs="Arial"/>
          <w:b w:val="0"/>
          <w:bCs/>
          <w:color w:val="1074CB"/>
          <w:sz w:val="44"/>
          <w:szCs w:val="44"/>
        </w:rPr>
        <w:t xml:space="preserve">21 </w:t>
      </w:r>
      <w:r w:rsidR="00506E24">
        <w:rPr>
          <w:rFonts w:ascii="Arial" w:eastAsiaTheme="minorEastAsia" w:hAnsi="Arial" w:cs="Arial"/>
          <w:b w:val="0"/>
          <w:bCs/>
          <w:color w:val="1074CB"/>
          <w:sz w:val="44"/>
          <w:szCs w:val="44"/>
        </w:rPr>
        <w:t>March</w:t>
      </w:r>
      <w:r w:rsidRPr="00D62A9D">
        <w:rPr>
          <w:rFonts w:ascii="Arial" w:eastAsiaTheme="minorEastAsia" w:hAnsi="Arial" w:cs="Arial"/>
          <w:b w:val="0"/>
          <w:bCs/>
          <w:color w:val="1074CB"/>
          <w:sz w:val="44"/>
          <w:szCs w:val="44"/>
        </w:rPr>
        <w:t xml:space="preserve"> 2013 </w:t>
      </w:r>
      <w:r w:rsidRPr="00D62A9D">
        <w:rPr>
          <w:rFonts w:ascii="Arial" w:eastAsiaTheme="minorEastAsia" w:hAnsi="Arial" w:cs="Arial"/>
          <w:b w:val="0"/>
          <w:bCs/>
          <w:color w:val="1074CB"/>
          <w:sz w:val="32"/>
          <w:szCs w:val="32"/>
        </w:rPr>
        <w:t xml:space="preserve">(data for </w:t>
      </w:r>
      <w:r w:rsidR="00506E24">
        <w:rPr>
          <w:rFonts w:ascii="Arial" w:eastAsiaTheme="minorEastAsia" w:hAnsi="Arial" w:cs="Arial"/>
          <w:b w:val="0"/>
          <w:bCs/>
          <w:color w:val="1074CB"/>
          <w:sz w:val="32"/>
          <w:szCs w:val="32"/>
        </w:rPr>
        <w:t>February</w:t>
      </w:r>
      <w:r w:rsidRPr="00D62A9D">
        <w:rPr>
          <w:rFonts w:ascii="Arial" w:eastAsiaTheme="minorEastAsia" w:hAnsi="Arial" w:cs="Arial"/>
          <w:b w:val="0"/>
          <w:bCs/>
          <w:color w:val="1074CB"/>
          <w:sz w:val="32"/>
          <w:szCs w:val="32"/>
        </w:rPr>
        <w:t xml:space="preserve">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54686B" w:rsidP="00E75134">
      <w:r w:rsidRPr="0054686B">
        <w:rPr>
          <w:rFonts w:ascii="Arial" w:eastAsiaTheme="minorEastAsia" w:hAnsi="Arial" w:cs="Arial"/>
          <w:b/>
          <w:bCs/>
          <w:noProof/>
          <w:color w:val="1074CB"/>
          <w:sz w:val="20"/>
        </w:rPr>
        <w:pict>
          <v:line id="_x0000_s1026" style="position:absolute;z-index:251656704" from=".55pt,3.7pt" to="487.1pt,3.7pt" strokecolor="#1074cb"/>
        </w:pict>
      </w:r>
    </w:p>
    <w:p w:rsidR="007B7D91" w:rsidRDefault="00506E24" w:rsidP="00017AB7">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CV output falls on weak export volumes</w:t>
      </w:r>
      <w:r w:rsidR="003E262D">
        <w:rPr>
          <w:rFonts w:ascii="Arial" w:eastAsiaTheme="minorEastAsia" w:hAnsi="Arial" w:cs="Arial"/>
          <w:bCs/>
          <w:color w:val="1074CB"/>
          <w:sz w:val="36"/>
          <w:szCs w:val="36"/>
        </w:rPr>
        <w:t xml:space="preserve"> </w:t>
      </w:r>
    </w:p>
    <w:p w:rsidR="00017AB7" w:rsidRPr="00017AB7" w:rsidRDefault="00017AB7" w:rsidP="00017AB7"/>
    <w:p w:rsidR="00E75134" w:rsidRDefault="00E75134" w:rsidP="004C0D6C">
      <w:pPr>
        <w:numPr>
          <w:ilvl w:val="0"/>
          <w:numId w:val="2"/>
        </w:numPr>
        <w:spacing w:line="360" w:lineRule="auto"/>
        <w:rPr>
          <w:rFonts w:ascii="Arial" w:hAnsi="Arial" w:cs="Arial"/>
          <w:sz w:val="20"/>
        </w:rPr>
      </w:pPr>
      <w:r w:rsidRPr="00D62A9D">
        <w:rPr>
          <w:rFonts w:ascii="Arial" w:hAnsi="Arial" w:cs="Arial"/>
          <w:sz w:val="20"/>
        </w:rPr>
        <w:t>C</w:t>
      </w:r>
      <w:r>
        <w:rPr>
          <w:rFonts w:ascii="Arial" w:hAnsi="Arial" w:cs="Arial"/>
          <w:sz w:val="20"/>
        </w:rPr>
        <w:t>ommercial vehicle (CV)</w:t>
      </w:r>
      <w:r w:rsidRPr="00D62A9D">
        <w:rPr>
          <w:rFonts w:ascii="Arial" w:hAnsi="Arial" w:cs="Arial"/>
          <w:sz w:val="20"/>
        </w:rPr>
        <w:t xml:space="preserve"> output fell </w:t>
      </w:r>
      <w:r w:rsidR="00506E24">
        <w:rPr>
          <w:rFonts w:ascii="Arial" w:hAnsi="Arial" w:cs="Arial"/>
          <w:sz w:val="20"/>
        </w:rPr>
        <w:t>17.1</w:t>
      </w:r>
      <w:r w:rsidRPr="00D62A9D">
        <w:rPr>
          <w:rFonts w:ascii="Arial" w:hAnsi="Arial" w:cs="Arial"/>
          <w:sz w:val="20"/>
        </w:rPr>
        <w:t xml:space="preserve">% in </w:t>
      </w:r>
      <w:r w:rsidR="00506E24">
        <w:rPr>
          <w:rFonts w:ascii="Arial" w:hAnsi="Arial" w:cs="Arial"/>
          <w:sz w:val="20"/>
        </w:rPr>
        <w:t xml:space="preserve">February to 8,005 </w:t>
      </w:r>
      <w:r w:rsidRPr="00D62A9D">
        <w:rPr>
          <w:rFonts w:ascii="Arial" w:hAnsi="Arial" w:cs="Arial"/>
          <w:sz w:val="20"/>
        </w:rPr>
        <w:t>units.</w:t>
      </w:r>
    </w:p>
    <w:p w:rsidR="00506E24" w:rsidRDefault="00242510" w:rsidP="004C0D6C">
      <w:pPr>
        <w:pStyle w:val="ListParagraph"/>
        <w:numPr>
          <w:ilvl w:val="0"/>
          <w:numId w:val="2"/>
        </w:numPr>
        <w:spacing w:line="360" w:lineRule="auto"/>
        <w:rPr>
          <w:rFonts w:ascii="Arial" w:hAnsi="Arial" w:cs="Arial"/>
          <w:sz w:val="20"/>
        </w:rPr>
      </w:pPr>
      <w:r>
        <w:rPr>
          <w:rFonts w:ascii="Arial" w:hAnsi="Arial" w:cs="Arial"/>
          <w:sz w:val="20"/>
        </w:rPr>
        <w:t>CV output during</w:t>
      </w:r>
      <w:r w:rsidR="00506E24">
        <w:rPr>
          <w:rFonts w:ascii="Arial" w:hAnsi="Arial" w:cs="Arial"/>
          <w:sz w:val="20"/>
        </w:rPr>
        <w:t xml:space="preserve"> the first two months of 2013 was 18.8% down, at 15,827 units.</w:t>
      </w:r>
    </w:p>
    <w:p w:rsidR="00E75134" w:rsidRPr="00506E24" w:rsidRDefault="00506E24" w:rsidP="004C0D6C">
      <w:pPr>
        <w:pStyle w:val="ListParagraph"/>
        <w:numPr>
          <w:ilvl w:val="0"/>
          <w:numId w:val="2"/>
        </w:numPr>
        <w:spacing w:line="360" w:lineRule="auto"/>
        <w:rPr>
          <w:rFonts w:ascii="Arial" w:hAnsi="Arial" w:cs="Arial"/>
          <w:sz w:val="20"/>
        </w:rPr>
      </w:pPr>
      <w:r w:rsidRPr="00506E24">
        <w:rPr>
          <w:rFonts w:ascii="Arial" w:hAnsi="Arial" w:cs="Arial"/>
          <w:sz w:val="20"/>
        </w:rPr>
        <w:t>The 2.6% rise in output for the home market in February could not offset the decline in export volumes</w:t>
      </w:r>
      <w:r w:rsidR="00E75134" w:rsidRPr="00506E24">
        <w:rPr>
          <w:rFonts w:ascii="Arial" w:hAnsi="Arial" w:cs="Arial"/>
          <w:sz w:val="20"/>
        </w:rPr>
        <w:t>.</w:t>
      </w:r>
    </w:p>
    <w:p w:rsidR="00E75134" w:rsidRDefault="00E75134" w:rsidP="004C0D6C">
      <w:pPr>
        <w:spacing w:line="360" w:lineRule="auto"/>
        <w:rPr>
          <w:rFonts w:ascii="Arial" w:hAnsi="Arial" w:cs="Arial"/>
          <w:sz w:val="20"/>
        </w:rPr>
      </w:pPr>
    </w:p>
    <w:p w:rsidR="00E75134" w:rsidRDefault="00242510" w:rsidP="004C0D6C">
      <w:pPr>
        <w:spacing w:line="360" w:lineRule="auto"/>
        <w:rPr>
          <w:rFonts w:ascii="Arial" w:hAnsi="Arial" w:cs="Arial"/>
          <w:sz w:val="20"/>
        </w:rPr>
      </w:pPr>
      <w:r>
        <w:rPr>
          <w:rFonts w:ascii="Arial" w:hAnsi="Arial" w:cs="Arial"/>
          <w:sz w:val="20"/>
        </w:rPr>
        <w:t xml:space="preserve">Mike Baunton, SMMT Interim Chief Executive, </w:t>
      </w:r>
      <w:r w:rsidR="00E75134" w:rsidRPr="00853732">
        <w:rPr>
          <w:rFonts w:ascii="Arial" w:hAnsi="Arial" w:cs="Arial"/>
          <w:sz w:val="20"/>
        </w:rPr>
        <w:t>"</w:t>
      </w:r>
      <w:r w:rsidR="00E75134" w:rsidRPr="00242510">
        <w:rPr>
          <w:rFonts w:ascii="Arial" w:hAnsi="Arial" w:cs="Arial"/>
          <w:sz w:val="20"/>
        </w:rPr>
        <w:t xml:space="preserve">Manufacturing of </w:t>
      </w:r>
      <w:r w:rsidR="000818A7" w:rsidRPr="00242510">
        <w:rPr>
          <w:rFonts w:ascii="Arial" w:hAnsi="Arial" w:cs="Arial"/>
          <w:sz w:val="20"/>
        </w:rPr>
        <w:t>commercial vehicles</w:t>
      </w:r>
      <w:r w:rsidR="00E75134" w:rsidRPr="00242510">
        <w:rPr>
          <w:rFonts w:ascii="Arial" w:hAnsi="Arial" w:cs="Arial"/>
          <w:sz w:val="20"/>
        </w:rPr>
        <w:t xml:space="preserve"> in the UK </w:t>
      </w:r>
      <w:r w:rsidR="00172ED6" w:rsidRPr="00242510">
        <w:rPr>
          <w:rFonts w:ascii="Arial" w:hAnsi="Arial" w:cs="Arial"/>
          <w:sz w:val="20"/>
        </w:rPr>
        <w:t xml:space="preserve">continues to struggle with </w:t>
      </w:r>
      <w:r w:rsidRPr="00242510">
        <w:rPr>
          <w:rFonts w:ascii="Arial" w:hAnsi="Arial" w:cs="Arial"/>
          <w:sz w:val="20"/>
        </w:rPr>
        <w:t>the fall in</w:t>
      </w:r>
      <w:r w:rsidR="00B27BE6">
        <w:rPr>
          <w:rFonts w:ascii="Arial" w:hAnsi="Arial" w:cs="Arial"/>
          <w:sz w:val="20"/>
        </w:rPr>
        <w:t xml:space="preserve"> European demand. However, </w:t>
      </w:r>
      <w:r w:rsidR="00172ED6" w:rsidRPr="00242510">
        <w:rPr>
          <w:rFonts w:ascii="Arial" w:hAnsi="Arial" w:cs="Arial"/>
          <w:sz w:val="20"/>
        </w:rPr>
        <w:t xml:space="preserve">with the Commercial Vehicle Show coming up in April, we </w:t>
      </w:r>
      <w:r w:rsidRPr="00242510">
        <w:rPr>
          <w:rFonts w:ascii="Arial" w:hAnsi="Arial" w:cs="Arial"/>
          <w:sz w:val="20"/>
        </w:rPr>
        <w:t xml:space="preserve">have an opportunity to showcase </w:t>
      </w:r>
      <w:r w:rsidR="00172ED6" w:rsidRPr="00242510">
        <w:rPr>
          <w:rFonts w:ascii="Arial" w:hAnsi="Arial" w:cs="Arial"/>
          <w:sz w:val="20"/>
        </w:rPr>
        <w:t>the very best in new technology, environmental performance and sa</w:t>
      </w:r>
      <w:r w:rsidR="00E77A73" w:rsidRPr="00242510">
        <w:rPr>
          <w:rFonts w:ascii="Arial" w:hAnsi="Arial" w:cs="Arial"/>
          <w:sz w:val="20"/>
        </w:rPr>
        <w:t>fety of these vehicles which are so crucial to the UK economy</w:t>
      </w:r>
      <w:r w:rsidR="00172ED6" w:rsidRPr="00242510">
        <w:rPr>
          <w:rFonts w:ascii="Arial" w:hAnsi="Arial" w:cs="Arial"/>
          <w:sz w:val="20"/>
        </w:rPr>
        <w:t>.</w:t>
      </w:r>
      <w:r w:rsidR="00E75134" w:rsidRPr="00242510">
        <w:rPr>
          <w:rFonts w:ascii="Arial" w:hAnsi="Arial" w:cs="Arial"/>
          <w:sz w:val="20"/>
        </w:rPr>
        <w:t xml:space="preserve">" </w:t>
      </w:r>
    </w:p>
    <w:p w:rsidR="00506E24" w:rsidRPr="00506E24" w:rsidRDefault="00506E24" w:rsidP="00506E24">
      <w:pPr>
        <w:spacing w:line="360" w:lineRule="auto"/>
        <w:rPr>
          <w:rFonts w:ascii="Arial" w:hAnsi="Arial" w:cs="Arial"/>
          <w:sz w:val="16"/>
          <w:szCs w:val="16"/>
        </w:rPr>
      </w:pPr>
    </w:p>
    <w:tbl>
      <w:tblPr>
        <w:tblW w:w="9511" w:type="dxa"/>
        <w:tblInd w:w="95" w:type="dxa"/>
        <w:tblLayout w:type="fixed"/>
        <w:tblLook w:val="04A0"/>
      </w:tblPr>
      <w:tblGrid>
        <w:gridCol w:w="2140"/>
        <w:gridCol w:w="1228"/>
        <w:gridCol w:w="1229"/>
        <w:gridCol w:w="1228"/>
        <w:gridCol w:w="1229"/>
        <w:gridCol w:w="1228"/>
        <w:gridCol w:w="1229"/>
      </w:tblGrid>
      <w:tr w:rsidR="00506E24" w:rsidRPr="00A76181" w:rsidTr="00506E24">
        <w:trPr>
          <w:trHeight w:val="270"/>
        </w:trPr>
        <w:tc>
          <w:tcPr>
            <w:tcW w:w="2140" w:type="dxa"/>
            <w:tcBorders>
              <w:top w:val="single" w:sz="8" w:space="0" w:color="548DD4"/>
              <w:left w:val="single" w:sz="8" w:space="0" w:color="548DD4"/>
              <w:bottom w:val="single" w:sz="8" w:space="0" w:color="548DD4"/>
              <w:right w:val="single" w:sz="8" w:space="0" w:color="548DD4"/>
            </w:tcBorders>
            <w:shd w:val="clear" w:color="auto" w:fill="auto"/>
            <w:noWrap/>
            <w:hideMark/>
          </w:tcPr>
          <w:p w:rsidR="00506E24" w:rsidRDefault="00506E24">
            <w:pPr>
              <w:rPr>
                <w:rFonts w:ascii="Arial" w:hAnsi="Arial" w:cs="Arial"/>
                <w:b/>
                <w:bCs/>
                <w:color w:val="1074CB"/>
                <w:sz w:val="20"/>
              </w:rPr>
            </w:pPr>
            <w:r>
              <w:rPr>
                <w:rFonts w:ascii="Arial" w:hAnsi="Arial" w:cs="Arial"/>
                <w:b/>
                <w:bCs/>
                <w:color w:val="1074CB"/>
                <w:sz w:val="20"/>
              </w:rPr>
              <w:t>CV manufacturing</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b/>
                <w:bCs/>
                <w:color w:val="0070C0"/>
                <w:sz w:val="20"/>
              </w:rPr>
            </w:pPr>
            <w:r>
              <w:rPr>
                <w:rFonts w:ascii="Arial" w:hAnsi="Arial" w:cs="Arial"/>
                <w:b/>
                <w:bCs/>
                <w:color w:val="0070C0"/>
                <w:sz w:val="20"/>
              </w:rPr>
              <w:t>Feb-12</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b/>
                <w:bCs/>
                <w:color w:val="0070C0"/>
                <w:sz w:val="20"/>
              </w:rPr>
            </w:pPr>
            <w:r>
              <w:rPr>
                <w:rFonts w:ascii="Arial" w:hAnsi="Arial" w:cs="Arial"/>
                <w:b/>
                <w:bCs/>
                <w:color w:val="0070C0"/>
                <w:sz w:val="20"/>
              </w:rPr>
              <w:t>Feb-13</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b/>
                <w:bCs/>
                <w:color w:val="0070C0"/>
                <w:sz w:val="20"/>
              </w:rPr>
            </w:pPr>
            <w:r>
              <w:rPr>
                <w:rFonts w:ascii="Arial" w:hAnsi="Arial" w:cs="Arial"/>
                <w:b/>
                <w:bCs/>
                <w:color w:val="0070C0"/>
                <w:sz w:val="20"/>
              </w:rPr>
              <w:t xml:space="preserve">% Change </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b/>
                <w:bCs/>
                <w:color w:val="0070C0"/>
                <w:sz w:val="20"/>
              </w:rPr>
            </w:pPr>
            <w:r>
              <w:rPr>
                <w:rFonts w:ascii="Arial" w:hAnsi="Arial" w:cs="Arial"/>
                <w:b/>
                <w:bCs/>
                <w:color w:val="0070C0"/>
                <w:sz w:val="20"/>
              </w:rPr>
              <w:t>YTD-12</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b/>
                <w:bCs/>
                <w:color w:val="0070C0"/>
                <w:sz w:val="20"/>
              </w:rPr>
            </w:pPr>
            <w:r>
              <w:rPr>
                <w:rFonts w:ascii="Arial" w:hAnsi="Arial" w:cs="Arial"/>
                <w:b/>
                <w:bCs/>
                <w:color w:val="0070C0"/>
                <w:sz w:val="20"/>
              </w:rPr>
              <w:t>YTD-13</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b/>
                <w:bCs/>
                <w:color w:val="0070C0"/>
                <w:sz w:val="20"/>
              </w:rPr>
            </w:pPr>
            <w:r>
              <w:rPr>
                <w:rFonts w:ascii="Arial" w:hAnsi="Arial" w:cs="Arial"/>
                <w:b/>
                <w:bCs/>
                <w:color w:val="0070C0"/>
                <w:sz w:val="20"/>
              </w:rPr>
              <w:t>% Change</w:t>
            </w:r>
          </w:p>
        </w:tc>
      </w:tr>
      <w:tr w:rsidR="00506E24"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1074CB"/>
                <w:sz w:val="20"/>
              </w:rPr>
            </w:pPr>
            <w:r>
              <w:rPr>
                <w:rFonts w:ascii="Arial" w:hAnsi="Arial" w:cs="Arial"/>
                <w:bCs/>
                <w:color w:val="1074CB"/>
                <w:sz w:val="20"/>
              </w:rPr>
              <w:t>Total</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9,655</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8,005</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-17.1%</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19,499</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15,827</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-18.8%</w:t>
            </w:r>
          </w:p>
        </w:tc>
      </w:tr>
      <w:tr w:rsidR="00506E24"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1074CB"/>
                <w:sz w:val="20"/>
              </w:rPr>
            </w:pPr>
            <w:r>
              <w:rPr>
                <w:rFonts w:ascii="Arial" w:hAnsi="Arial" w:cs="Arial"/>
                <w:bCs/>
                <w:color w:val="1074CB"/>
                <w:sz w:val="20"/>
              </w:rPr>
              <w:t>Home</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4,060</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4,165</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color w:val="0070C0"/>
                <w:sz w:val="20"/>
              </w:rPr>
              <w:t>2.6%</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8,126</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8,361</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color w:val="0070C0"/>
                <w:sz w:val="20"/>
              </w:rPr>
              <w:t>2.9%</w:t>
            </w:r>
          </w:p>
        </w:tc>
      </w:tr>
      <w:tr w:rsidR="00506E24"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1074CB"/>
                <w:sz w:val="20"/>
              </w:rPr>
            </w:pPr>
            <w:r>
              <w:rPr>
                <w:rFonts w:ascii="Arial" w:hAnsi="Arial" w:cs="Arial"/>
                <w:bCs/>
                <w:color w:val="1074CB"/>
                <w:sz w:val="20"/>
              </w:rPr>
              <w:t>Export</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5,595</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3,840</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color w:val="0070C0"/>
                <w:sz w:val="20"/>
              </w:rPr>
              <w:t>-31.4%</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11,373</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7,466</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color w:val="0070C0"/>
                <w:sz w:val="20"/>
              </w:rPr>
              <w:t>-34.4%</w:t>
            </w:r>
          </w:p>
        </w:tc>
      </w:tr>
      <w:tr w:rsidR="00506E24"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1074CB"/>
                <w:sz w:val="20"/>
              </w:rPr>
            </w:pPr>
            <w:r>
              <w:rPr>
                <w:rFonts w:ascii="Arial" w:hAnsi="Arial" w:cs="Arial"/>
                <w:bCs/>
                <w:color w:val="1074CB"/>
                <w:sz w:val="20"/>
              </w:rPr>
              <w:t>% export</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57.9%</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48.0%</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color w:val="0070C0"/>
                <w:sz w:val="20"/>
              </w:rPr>
              <w:t> </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58.3%</w:t>
            </w:r>
          </w:p>
        </w:tc>
        <w:tc>
          <w:tcPr>
            <w:tcW w:w="1228"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bCs/>
                <w:color w:val="0070C0"/>
                <w:sz w:val="20"/>
              </w:rPr>
              <w:t>47.2%</w:t>
            </w:r>
          </w:p>
        </w:tc>
        <w:tc>
          <w:tcPr>
            <w:tcW w:w="1229" w:type="dxa"/>
            <w:tcBorders>
              <w:top w:val="nil"/>
              <w:left w:val="nil"/>
              <w:bottom w:val="single" w:sz="8" w:space="0" w:color="548DD4"/>
              <w:right w:val="single" w:sz="8" w:space="0" w:color="548DD4"/>
            </w:tcBorders>
            <w:shd w:val="clear" w:color="auto" w:fill="auto"/>
            <w:noWrap/>
            <w:vAlign w:val="bottom"/>
            <w:hideMark/>
          </w:tcPr>
          <w:p w:rsidR="00506E24" w:rsidRDefault="00506E24">
            <w:pPr>
              <w:jc w:val="right"/>
              <w:rPr>
                <w:rFonts w:ascii="Arial" w:hAnsi="Arial" w:cs="Arial"/>
                <w:color w:val="0070C0"/>
                <w:sz w:val="20"/>
              </w:rPr>
            </w:pPr>
            <w:r>
              <w:rPr>
                <w:rFonts w:ascii="Arial" w:hAnsi="Arial" w:cs="Arial"/>
                <w:color w:val="0070C0"/>
                <w:sz w:val="20"/>
              </w:rPr>
              <w:t> </w:t>
            </w:r>
          </w:p>
        </w:tc>
      </w:tr>
    </w:tbl>
    <w:p w:rsidR="00506E24" w:rsidRDefault="00506E24" w:rsidP="00506E24">
      <w:pPr>
        <w:keepNext/>
        <w:spacing w:line="276" w:lineRule="auto"/>
        <w:rPr>
          <w:rFonts w:ascii="Arial" w:hAnsi="Arial" w:cs="Arial"/>
          <w:b/>
          <w:color w:val="0D2255"/>
          <w:sz w:val="20"/>
        </w:rPr>
      </w:pPr>
    </w:p>
    <w:p w:rsidR="007B7D91" w:rsidRDefault="00B64BF5" w:rsidP="007B7D91">
      <w:pPr>
        <w:rPr>
          <w:rFonts w:ascii="Arial" w:hAnsi="Arial" w:cs="Arial"/>
          <w:sz w:val="20"/>
        </w:rPr>
      </w:pPr>
      <w:r>
        <w:rPr>
          <w:rFonts w:ascii="Arial" w:hAnsi="Arial" w:cs="Arial"/>
          <w:b/>
          <w:color w:val="0D2255"/>
          <w:sz w:val="20"/>
        </w:rPr>
        <w:t xml:space="preserve">CV </w:t>
      </w:r>
      <w:r w:rsidR="007B7D91" w:rsidRPr="00D62A9D">
        <w:rPr>
          <w:rFonts w:ascii="Arial" w:hAnsi="Arial" w:cs="Arial"/>
          <w:b/>
          <w:color w:val="0D2255"/>
          <w:sz w:val="20"/>
        </w:rPr>
        <w:t>output rolling year total</w:t>
      </w:r>
      <w:r w:rsidR="00CC6F26">
        <w:rPr>
          <w:rFonts w:ascii="Arial" w:hAnsi="Arial" w:cs="Arial"/>
          <w:b/>
          <w:color w:val="0D2255"/>
          <w:sz w:val="20"/>
        </w:rPr>
        <w:tab/>
        <w:t xml:space="preserve">   </w:t>
      </w:r>
      <w:r w:rsidR="00AF5E02">
        <w:rPr>
          <w:rFonts w:ascii="Arial" w:hAnsi="Arial" w:cs="Arial"/>
          <w:b/>
          <w:color w:val="0D2255"/>
          <w:sz w:val="20"/>
        </w:rPr>
        <w:t xml:space="preserve">               </w:t>
      </w:r>
    </w:p>
    <w:p w:rsidR="007B7D91" w:rsidRDefault="00506E24" w:rsidP="00B01A93">
      <w:pPr>
        <w:tabs>
          <w:tab w:val="left" w:pos="5529"/>
        </w:tabs>
        <w:rPr>
          <w:rFonts w:ascii="Verdana" w:hAnsi="Verdana"/>
          <w:sz w:val="20"/>
        </w:rPr>
      </w:pPr>
      <w:r w:rsidRPr="00506E24">
        <w:rPr>
          <w:rFonts w:ascii="Verdana" w:hAnsi="Verdana"/>
          <w:noProof/>
          <w:sz w:val="20"/>
        </w:rPr>
        <w:drawing>
          <wp:inline distT="0" distB="0" distL="0" distR="0">
            <wp:extent cx="6042991" cy="2663687"/>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p>
    <w:p w:rsidR="00E75134" w:rsidRPr="00D62A9D" w:rsidRDefault="00506E24" w:rsidP="00E75134">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21 March</w:t>
      </w:r>
      <w:r w:rsidR="00E75134" w:rsidRPr="00D62A9D">
        <w:rPr>
          <w:rFonts w:ascii="Arial" w:eastAsiaTheme="minorEastAsia" w:hAnsi="Arial" w:cs="Arial"/>
          <w:b w:val="0"/>
          <w:bCs/>
          <w:color w:val="1074CB"/>
          <w:sz w:val="44"/>
          <w:szCs w:val="44"/>
        </w:rPr>
        <w:t xml:space="preserve"> 2013 </w:t>
      </w:r>
      <w:r>
        <w:rPr>
          <w:rFonts w:ascii="Arial" w:eastAsiaTheme="minorEastAsia" w:hAnsi="Arial" w:cs="Arial"/>
          <w:b w:val="0"/>
          <w:bCs/>
          <w:color w:val="1074CB"/>
          <w:sz w:val="32"/>
          <w:szCs w:val="32"/>
        </w:rPr>
        <w:t>(data for February</w:t>
      </w:r>
      <w:r w:rsidR="00E75134" w:rsidRPr="00D62A9D">
        <w:rPr>
          <w:rFonts w:ascii="Arial" w:eastAsiaTheme="minorEastAsia" w:hAnsi="Arial" w:cs="Arial"/>
          <w:b w:val="0"/>
          <w:bCs/>
          <w:color w:val="1074CB"/>
          <w:sz w:val="32"/>
          <w:szCs w:val="32"/>
        </w:rPr>
        <w:t xml:space="preserve">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54686B" w:rsidP="00E75134">
      <w:r w:rsidRPr="0054686B">
        <w:rPr>
          <w:rFonts w:ascii="Arial" w:eastAsiaTheme="minorEastAsia" w:hAnsi="Arial" w:cs="Arial"/>
          <w:b/>
          <w:bCs/>
          <w:noProof/>
          <w:color w:val="1074CB"/>
          <w:sz w:val="20"/>
        </w:rPr>
        <w:pict>
          <v:line id="_x0000_s1027" style="position:absolute;z-index:251657728" from=".55pt,3.7pt" to="487.1pt,3.7pt" strokecolor="#1074cb"/>
        </w:pict>
      </w:r>
    </w:p>
    <w:p w:rsidR="00E75134" w:rsidRPr="00B53741" w:rsidRDefault="00E75134" w:rsidP="00E75134">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w:t>
      </w:r>
      <w:r w:rsidR="00446AC5">
        <w:rPr>
          <w:rFonts w:ascii="Arial" w:eastAsiaTheme="minorEastAsia" w:hAnsi="Arial" w:cs="Arial"/>
          <w:bCs/>
          <w:color w:val="1074CB"/>
          <w:sz w:val="36"/>
          <w:szCs w:val="36"/>
        </w:rPr>
        <w:t>e</w:t>
      </w:r>
      <w:r w:rsidR="00E50950">
        <w:rPr>
          <w:rFonts w:ascii="Arial" w:eastAsiaTheme="minorEastAsia" w:hAnsi="Arial" w:cs="Arial"/>
          <w:bCs/>
          <w:color w:val="1074CB"/>
          <w:sz w:val="36"/>
          <w:szCs w:val="36"/>
        </w:rPr>
        <w:t xml:space="preserve">ngine manufacturing subdued, so far, in </w:t>
      </w:r>
      <w:r>
        <w:rPr>
          <w:rFonts w:ascii="Arial" w:eastAsiaTheme="minorEastAsia" w:hAnsi="Arial" w:cs="Arial"/>
          <w:bCs/>
          <w:color w:val="1074CB"/>
          <w:sz w:val="36"/>
          <w:szCs w:val="36"/>
        </w:rPr>
        <w:t>2013</w:t>
      </w:r>
    </w:p>
    <w:p w:rsidR="00E75134" w:rsidRDefault="00E75134" w:rsidP="004C0D6C">
      <w:pPr>
        <w:spacing w:line="360" w:lineRule="auto"/>
        <w:rPr>
          <w:rFonts w:ascii="Verdana" w:hAnsi="Verdana"/>
          <w:sz w:val="20"/>
        </w:rPr>
      </w:pPr>
    </w:p>
    <w:p w:rsidR="00E75134" w:rsidRDefault="00E75134" w:rsidP="004C0D6C">
      <w:pPr>
        <w:numPr>
          <w:ilvl w:val="0"/>
          <w:numId w:val="2"/>
        </w:numPr>
        <w:spacing w:line="360" w:lineRule="auto"/>
        <w:rPr>
          <w:rFonts w:ascii="Arial" w:hAnsi="Arial" w:cs="Arial"/>
          <w:sz w:val="20"/>
        </w:rPr>
      </w:pPr>
      <w:r w:rsidRPr="00D62A9D">
        <w:rPr>
          <w:rFonts w:ascii="Arial" w:hAnsi="Arial" w:cs="Arial"/>
          <w:sz w:val="20"/>
        </w:rPr>
        <w:t>U</w:t>
      </w:r>
      <w:r w:rsidR="00242510">
        <w:rPr>
          <w:rFonts w:ascii="Arial" w:hAnsi="Arial" w:cs="Arial"/>
          <w:sz w:val="20"/>
        </w:rPr>
        <w:t>K engine manufacturing</w:t>
      </w:r>
      <w:r w:rsidR="003E262D">
        <w:rPr>
          <w:rFonts w:ascii="Arial" w:hAnsi="Arial" w:cs="Arial"/>
          <w:sz w:val="20"/>
        </w:rPr>
        <w:t xml:space="preserve"> declined </w:t>
      </w:r>
      <w:r w:rsidR="00CB512D">
        <w:rPr>
          <w:rFonts w:ascii="Arial" w:hAnsi="Arial" w:cs="Arial"/>
          <w:sz w:val="20"/>
        </w:rPr>
        <w:t>5</w:t>
      </w:r>
      <w:r w:rsidRPr="00D62A9D">
        <w:rPr>
          <w:rFonts w:ascii="Arial" w:hAnsi="Arial" w:cs="Arial"/>
          <w:sz w:val="20"/>
        </w:rPr>
        <w:t xml:space="preserve">% in </w:t>
      </w:r>
      <w:r w:rsidR="00E50950">
        <w:rPr>
          <w:rFonts w:ascii="Arial" w:hAnsi="Arial" w:cs="Arial"/>
          <w:sz w:val="20"/>
        </w:rPr>
        <w:t>February</w:t>
      </w:r>
      <w:r w:rsidRPr="00D62A9D">
        <w:rPr>
          <w:rFonts w:ascii="Arial" w:hAnsi="Arial" w:cs="Arial"/>
          <w:sz w:val="20"/>
        </w:rPr>
        <w:t xml:space="preserve"> to 2</w:t>
      </w:r>
      <w:r w:rsidR="00E50950">
        <w:rPr>
          <w:rFonts w:ascii="Arial" w:hAnsi="Arial" w:cs="Arial"/>
          <w:sz w:val="20"/>
        </w:rPr>
        <w:t>20,466</w:t>
      </w:r>
      <w:r w:rsidRPr="00D62A9D">
        <w:rPr>
          <w:rFonts w:ascii="Arial" w:hAnsi="Arial" w:cs="Arial"/>
          <w:sz w:val="20"/>
        </w:rPr>
        <w:t xml:space="preserve"> units.</w:t>
      </w:r>
      <w:r w:rsidR="0056012A">
        <w:rPr>
          <w:rFonts w:ascii="Arial" w:hAnsi="Arial" w:cs="Arial"/>
          <w:sz w:val="20"/>
        </w:rPr>
        <w:t xml:space="preserve"> </w:t>
      </w:r>
    </w:p>
    <w:p w:rsidR="00E50950" w:rsidRDefault="00242510" w:rsidP="004C0D6C">
      <w:pPr>
        <w:numPr>
          <w:ilvl w:val="0"/>
          <w:numId w:val="2"/>
        </w:numPr>
        <w:spacing w:line="360" w:lineRule="auto"/>
        <w:rPr>
          <w:rFonts w:ascii="Arial" w:hAnsi="Arial" w:cs="Arial"/>
          <w:sz w:val="20"/>
        </w:rPr>
      </w:pPr>
      <w:r>
        <w:rPr>
          <w:rFonts w:ascii="Arial" w:hAnsi="Arial" w:cs="Arial"/>
          <w:sz w:val="20"/>
        </w:rPr>
        <w:t>Engine output has fallen 5.1% over the y</w:t>
      </w:r>
      <w:r w:rsidR="0056012A">
        <w:rPr>
          <w:rFonts w:ascii="Arial" w:hAnsi="Arial" w:cs="Arial"/>
          <w:sz w:val="20"/>
        </w:rPr>
        <w:t>ear-to-date</w:t>
      </w:r>
      <w:r>
        <w:rPr>
          <w:rFonts w:ascii="Arial" w:hAnsi="Arial" w:cs="Arial"/>
          <w:sz w:val="20"/>
        </w:rPr>
        <w:t>.</w:t>
      </w:r>
    </w:p>
    <w:p w:rsidR="00E75134" w:rsidRPr="00740583" w:rsidRDefault="00C17E26" w:rsidP="004C0D6C">
      <w:pPr>
        <w:numPr>
          <w:ilvl w:val="0"/>
          <w:numId w:val="2"/>
        </w:numPr>
        <w:spacing w:line="360" w:lineRule="auto"/>
        <w:rPr>
          <w:rFonts w:ascii="Arial" w:hAnsi="Arial" w:cs="Arial"/>
          <w:sz w:val="20"/>
        </w:rPr>
      </w:pPr>
      <w:r>
        <w:rPr>
          <w:rFonts w:ascii="Arial" w:hAnsi="Arial" w:cs="Arial"/>
          <w:sz w:val="20"/>
        </w:rPr>
        <w:t>U</w:t>
      </w:r>
      <w:r w:rsidR="00E75134" w:rsidRPr="00740583">
        <w:rPr>
          <w:rFonts w:ascii="Arial" w:hAnsi="Arial" w:cs="Arial"/>
          <w:sz w:val="20"/>
        </w:rPr>
        <w:t xml:space="preserve">K </w:t>
      </w:r>
      <w:r w:rsidR="00242510">
        <w:rPr>
          <w:rFonts w:ascii="Arial" w:hAnsi="Arial" w:cs="Arial"/>
          <w:sz w:val="20"/>
        </w:rPr>
        <w:t xml:space="preserve">engine </w:t>
      </w:r>
      <w:r w:rsidR="00E75134" w:rsidRPr="00740583">
        <w:rPr>
          <w:rFonts w:ascii="Arial" w:hAnsi="Arial" w:cs="Arial"/>
          <w:sz w:val="20"/>
        </w:rPr>
        <w:t>manufacture</w:t>
      </w:r>
      <w:r w:rsidR="008E5840">
        <w:rPr>
          <w:rFonts w:ascii="Arial" w:hAnsi="Arial" w:cs="Arial"/>
          <w:sz w:val="20"/>
        </w:rPr>
        <w:t>r</w:t>
      </w:r>
      <w:r w:rsidR="00E75134" w:rsidRPr="00740583">
        <w:rPr>
          <w:rFonts w:ascii="Arial" w:hAnsi="Arial" w:cs="Arial"/>
          <w:sz w:val="20"/>
        </w:rPr>
        <w:t xml:space="preserve">s </w:t>
      </w:r>
      <w:r>
        <w:rPr>
          <w:rFonts w:ascii="Arial" w:hAnsi="Arial" w:cs="Arial"/>
          <w:sz w:val="20"/>
        </w:rPr>
        <w:t xml:space="preserve">make some </w:t>
      </w:r>
      <w:r w:rsidR="00E75134" w:rsidRPr="00740583">
        <w:rPr>
          <w:rFonts w:ascii="Arial" w:hAnsi="Arial" w:cs="Arial"/>
          <w:sz w:val="20"/>
        </w:rPr>
        <w:t>2.5 million petrol and diesel engines</w:t>
      </w:r>
      <w:r w:rsidR="00446AC5">
        <w:rPr>
          <w:rFonts w:ascii="Arial" w:hAnsi="Arial" w:cs="Arial"/>
          <w:sz w:val="20"/>
        </w:rPr>
        <w:t xml:space="preserve"> each year</w:t>
      </w:r>
      <w:r w:rsidR="00B27BE6">
        <w:rPr>
          <w:rFonts w:ascii="Arial" w:hAnsi="Arial" w:cs="Arial"/>
          <w:sz w:val="20"/>
        </w:rPr>
        <w:t xml:space="preserve"> – over 60% is</w:t>
      </w:r>
      <w:r w:rsidR="00481105">
        <w:rPr>
          <w:rFonts w:ascii="Arial" w:hAnsi="Arial" w:cs="Arial"/>
          <w:sz w:val="20"/>
        </w:rPr>
        <w:t xml:space="preserve"> exported, predominantly to Europe</w:t>
      </w:r>
    </w:p>
    <w:p w:rsidR="001404E6" w:rsidRPr="00E75134" w:rsidRDefault="00E50950" w:rsidP="004C0D6C">
      <w:pPr>
        <w:pStyle w:val="ListParagraph"/>
        <w:numPr>
          <w:ilvl w:val="0"/>
          <w:numId w:val="2"/>
        </w:numPr>
        <w:spacing w:line="360" w:lineRule="auto"/>
        <w:rPr>
          <w:rFonts w:ascii="Arial" w:hAnsi="Arial" w:cs="Arial"/>
          <w:sz w:val="20"/>
        </w:rPr>
      </w:pPr>
      <w:r>
        <w:rPr>
          <w:rFonts w:ascii="Arial" w:hAnsi="Arial" w:cs="Arial"/>
          <w:sz w:val="20"/>
        </w:rPr>
        <w:t xml:space="preserve">Significant investment in existing and new plants in the UK should help secure and expand engine production </w:t>
      </w:r>
      <w:r w:rsidR="00E75134" w:rsidRPr="00740583">
        <w:rPr>
          <w:rFonts w:ascii="Arial" w:hAnsi="Arial" w:cs="Arial"/>
          <w:sz w:val="20"/>
        </w:rPr>
        <w:t>in the UK.</w:t>
      </w:r>
      <w:r w:rsidR="00E75134" w:rsidRPr="00740583">
        <w:rPr>
          <w:rStyle w:val="CommentReference"/>
        </w:rPr>
        <w:t xml:space="preserve"> </w:t>
      </w:r>
    </w:p>
    <w:p w:rsidR="00506E24" w:rsidRPr="00506E24" w:rsidRDefault="00506E24" w:rsidP="00506E24">
      <w:pPr>
        <w:pStyle w:val="ListParagraph"/>
        <w:spacing w:line="360" w:lineRule="auto"/>
        <w:ind w:left="360"/>
        <w:rPr>
          <w:rFonts w:ascii="Arial" w:hAnsi="Arial" w:cs="Arial"/>
          <w:sz w:val="16"/>
          <w:szCs w:val="16"/>
        </w:rPr>
      </w:pPr>
    </w:p>
    <w:tbl>
      <w:tblPr>
        <w:tblW w:w="9652" w:type="dxa"/>
        <w:tblInd w:w="95" w:type="dxa"/>
        <w:tblLayout w:type="fixed"/>
        <w:tblLook w:val="04A0"/>
      </w:tblPr>
      <w:tblGrid>
        <w:gridCol w:w="2423"/>
        <w:gridCol w:w="1204"/>
        <w:gridCol w:w="1205"/>
        <w:gridCol w:w="1205"/>
        <w:gridCol w:w="1205"/>
        <w:gridCol w:w="1205"/>
        <w:gridCol w:w="1205"/>
      </w:tblGrid>
      <w:tr w:rsidR="00AD5820" w:rsidRPr="00A76181" w:rsidTr="00E50950">
        <w:trPr>
          <w:trHeight w:val="270"/>
        </w:trPr>
        <w:tc>
          <w:tcPr>
            <w:tcW w:w="2423" w:type="dxa"/>
            <w:tcBorders>
              <w:top w:val="single" w:sz="8" w:space="0" w:color="548DD4"/>
              <w:left w:val="single" w:sz="8" w:space="0" w:color="548DD4"/>
              <w:bottom w:val="single" w:sz="8" w:space="0" w:color="548DD4"/>
              <w:right w:val="single" w:sz="8" w:space="0" w:color="548DD4"/>
            </w:tcBorders>
            <w:shd w:val="clear" w:color="auto" w:fill="auto"/>
            <w:noWrap/>
            <w:hideMark/>
          </w:tcPr>
          <w:p w:rsidR="00AD5820" w:rsidRDefault="00AD5820">
            <w:pPr>
              <w:rPr>
                <w:rFonts w:ascii="Arial" w:hAnsi="Arial" w:cs="Arial"/>
                <w:b/>
                <w:bCs/>
                <w:color w:val="1074CB"/>
                <w:sz w:val="20"/>
              </w:rPr>
            </w:pPr>
            <w:r>
              <w:rPr>
                <w:rFonts w:ascii="Arial" w:hAnsi="Arial" w:cs="Arial"/>
                <w:b/>
                <w:bCs/>
                <w:color w:val="1074CB"/>
                <w:sz w:val="20"/>
              </w:rPr>
              <w:t>Engine manufacturing</w:t>
            </w:r>
          </w:p>
        </w:tc>
        <w:tc>
          <w:tcPr>
            <w:tcW w:w="1204" w:type="dxa"/>
            <w:tcBorders>
              <w:top w:val="single" w:sz="8" w:space="0" w:color="548DD4"/>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b/>
                <w:bCs/>
                <w:color w:val="0070C0"/>
                <w:sz w:val="20"/>
              </w:rPr>
            </w:pPr>
            <w:r>
              <w:rPr>
                <w:rFonts w:ascii="Arial" w:hAnsi="Arial" w:cs="Arial"/>
                <w:b/>
                <w:bCs/>
                <w:color w:val="0070C0"/>
                <w:sz w:val="20"/>
              </w:rPr>
              <w:t>Feb-12</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b/>
                <w:bCs/>
                <w:color w:val="0070C0"/>
                <w:sz w:val="20"/>
              </w:rPr>
            </w:pPr>
            <w:r>
              <w:rPr>
                <w:rFonts w:ascii="Arial" w:hAnsi="Arial" w:cs="Arial"/>
                <w:b/>
                <w:bCs/>
                <w:color w:val="0070C0"/>
                <w:sz w:val="20"/>
              </w:rPr>
              <w:t>Feb-13</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b/>
                <w:bCs/>
                <w:color w:val="0070C0"/>
                <w:sz w:val="20"/>
              </w:rPr>
            </w:pPr>
            <w:r>
              <w:rPr>
                <w:rFonts w:ascii="Arial" w:hAnsi="Arial" w:cs="Arial"/>
                <w:b/>
                <w:bCs/>
                <w:color w:val="0070C0"/>
                <w:sz w:val="20"/>
              </w:rPr>
              <w:t xml:space="preserve">% Change </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b/>
                <w:bCs/>
                <w:color w:val="0070C0"/>
                <w:sz w:val="20"/>
              </w:rPr>
            </w:pPr>
            <w:r>
              <w:rPr>
                <w:rFonts w:ascii="Arial" w:hAnsi="Arial" w:cs="Arial"/>
                <w:b/>
                <w:bCs/>
                <w:color w:val="0070C0"/>
                <w:sz w:val="20"/>
              </w:rPr>
              <w:t>YTD-12</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b/>
                <w:bCs/>
                <w:color w:val="0070C0"/>
                <w:sz w:val="20"/>
              </w:rPr>
            </w:pPr>
            <w:r>
              <w:rPr>
                <w:rFonts w:ascii="Arial" w:hAnsi="Arial" w:cs="Arial"/>
                <w:b/>
                <w:bCs/>
                <w:color w:val="0070C0"/>
                <w:sz w:val="20"/>
              </w:rPr>
              <w:t>YTD-13</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b/>
                <w:bCs/>
                <w:color w:val="0070C0"/>
                <w:sz w:val="20"/>
              </w:rPr>
            </w:pPr>
            <w:r>
              <w:rPr>
                <w:rFonts w:ascii="Arial" w:hAnsi="Arial" w:cs="Arial"/>
                <w:b/>
                <w:bCs/>
                <w:color w:val="0070C0"/>
                <w:sz w:val="20"/>
              </w:rPr>
              <w:t>% Change</w:t>
            </w:r>
          </w:p>
        </w:tc>
      </w:tr>
      <w:tr w:rsidR="00AD5820"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1074CB"/>
                <w:sz w:val="20"/>
              </w:rPr>
            </w:pPr>
            <w:r>
              <w:rPr>
                <w:rFonts w:ascii="Arial" w:hAnsi="Arial" w:cs="Arial"/>
                <w:color w:val="1074CB"/>
                <w:sz w:val="20"/>
              </w:rPr>
              <w:t>Total</w:t>
            </w:r>
          </w:p>
        </w:tc>
        <w:tc>
          <w:tcPr>
            <w:tcW w:w="1204"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232,183</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220,466</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-5.0%</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463,708</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440,223</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-5.1%</w:t>
            </w:r>
          </w:p>
        </w:tc>
      </w:tr>
      <w:tr w:rsidR="00AD5820"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1074CB"/>
                <w:sz w:val="20"/>
              </w:rPr>
            </w:pPr>
            <w:r>
              <w:rPr>
                <w:rFonts w:ascii="Arial" w:hAnsi="Arial" w:cs="Arial"/>
                <w:color w:val="1074CB"/>
                <w:sz w:val="20"/>
              </w:rPr>
              <w:t>Home</w:t>
            </w:r>
          </w:p>
        </w:tc>
        <w:tc>
          <w:tcPr>
            <w:tcW w:w="1204"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85,384</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83,822</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-1.8%</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169,086</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169,833</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0.4%</w:t>
            </w:r>
          </w:p>
        </w:tc>
      </w:tr>
      <w:tr w:rsidR="00AD5820"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1074CB"/>
                <w:sz w:val="20"/>
              </w:rPr>
            </w:pPr>
            <w:r>
              <w:rPr>
                <w:rFonts w:ascii="Arial" w:hAnsi="Arial" w:cs="Arial"/>
                <w:color w:val="1074CB"/>
                <w:sz w:val="20"/>
              </w:rPr>
              <w:t>Export</w:t>
            </w:r>
          </w:p>
        </w:tc>
        <w:tc>
          <w:tcPr>
            <w:tcW w:w="1204"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146,799</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136,644</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-6.9%</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294,622</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270,390</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-8.2%</w:t>
            </w:r>
          </w:p>
        </w:tc>
      </w:tr>
      <w:tr w:rsidR="00AD5820"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1074CB"/>
                <w:sz w:val="20"/>
              </w:rPr>
            </w:pPr>
            <w:r>
              <w:rPr>
                <w:rFonts w:ascii="Arial" w:hAnsi="Arial" w:cs="Arial"/>
                <w:color w:val="1074CB"/>
                <w:sz w:val="20"/>
              </w:rPr>
              <w:t>% export</w:t>
            </w:r>
          </w:p>
        </w:tc>
        <w:tc>
          <w:tcPr>
            <w:tcW w:w="1204"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63.2%</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62.0%</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 </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63.5%</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61.4%</w:t>
            </w:r>
          </w:p>
        </w:tc>
        <w:tc>
          <w:tcPr>
            <w:tcW w:w="1205" w:type="dxa"/>
            <w:tcBorders>
              <w:top w:val="nil"/>
              <w:left w:val="nil"/>
              <w:bottom w:val="single" w:sz="8" w:space="0" w:color="548DD4"/>
              <w:right w:val="single" w:sz="8" w:space="0" w:color="548DD4"/>
            </w:tcBorders>
            <w:shd w:val="clear" w:color="auto" w:fill="auto"/>
            <w:noWrap/>
            <w:vAlign w:val="bottom"/>
            <w:hideMark/>
          </w:tcPr>
          <w:p w:rsidR="00AD5820" w:rsidRDefault="00AD5820">
            <w:pPr>
              <w:jc w:val="right"/>
              <w:rPr>
                <w:rFonts w:ascii="Arial" w:hAnsi="Arial" w:cs="Arial"/>
                <w:color w:val="0070C0"/>
                <w:sz w:val="20"/>
              </w:rPr>
            </w:pPr>
            <w:r>
              <w:rPr>
                <w:rFonts w:ascii="Arial" w:hAnsi="Arial" w:cs="Arial"/>
                <w:color w:val="0070C0"/>
                <w:sz w:val="20"/>
              </w:rPr>
              <w:t> </w:t>
            </w:r>
          </w:p>
        </w:tc>
      </w:tr>
    </w:tbl>
    <w:p w:rsidR="00506E24" w:rsidRPr="00506E24" w:rsidRDefault="00506E24" w:rsidP="00506E24">
      <w:pPr>
        <w:pStyle w:val="ListParagraph"/>
        <w:keepNext/>
        <w:spacing w:line="276" w:lineRule="auto"/>
        <w:ind w:left="360"/>
        <w:rPr>
          <w:rFonts w:ascii="Arial" w:hAnsi="Arial" w:cs="Arial"/>
          <w:b/>
          <w:color w:val="0D2255"/>
          <w:sz w:val="20"/>
        </w:rPr>
      </w:pPr>
    </w:p>
    <w:p w:rsidR="00B53741" w:rsidRDefault="00B53741" w:rsidP="007F526E">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p>
    <w:p w:rsidR="00015D3B" w:rsidRPr="00E75134" w:rsidRDefault="00506E24" w:rsidP="00E75134">
      <w:pPr>
        <w:rPr>
          <w:rFonts w:ascii="Verdana" w:hAnsi="Verdana"/>
          <w:sz w:val="20"/>
        </w:rPr>
      </w:pPr>
      <w:r w:rsidRPr="00506E24">
        <w:rPr>
          <w:rFonts w:ascii="Verdana" w:hAnsi="Verdana"/>
          <w:noProof/>
          <w:sz w:val="20"/>
        </w:rPr>
        <w:drawing>
          <wp:inline distT="0" distB="0" distL="0" distR="0">
            <wp:extent cx="6361044" cy="2949934"/>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015D3B" w:rsidRPr="00E75134" w:rsidSect="00015D3B">
      <w:headerReference w:type="default" r:id="rId12"/>
      <w:pgSz w:w="12240" w:h="15840" w:code="1"/>
      <w:pgMar w:top="1134" w:right="1077" w:bottom="1134" w:left="107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6C" w:rsidRDefault="004C0D6C" w:rsidP="007B7D91">
      <w:r>
        <w:separator/>
      </w:r>
    </w:p>
  </w:endnote>
  <w:endnote w:type="continuationSeparator" w:id="0">
    <w:p w:rsidR="004C0D6C" w:rsidRDefault="004C0D6C" w:rsidP="007B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C" w:rsidRDefault="004C0D6C" w:rsidP="00EA17B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4C0D6C" w:rsidRDefault="004C0D6C" w:rsidP="00446AC5">
    <w:pPr>
      <w:pStyle w:val="Heading1"/>
      <w:ind w:left="0" w:firstLine="0"/>
      <w:rPr>
        <w:rFonts w:ascii="Arial" w:hAnsi="Arial" w:cs="Arial"/>
        <w:b w:val="0"/>
        <w:color w:val="1074CB"/>
        <w:sz w:val="16"/>
        <w:szCs w:val="16"/>
      </w:rPr>
    </w:pPr>
    <w:r>
      <w:rPr>
        <w:rFonts w:ascii="Arial" w:hAnsi="Arial" w:cs="Arial"/>
        <w:b w:val="0"/>
        <w:color w:val="1074CB"/>
        <w:sz w:val="16"/>
        <w:szCs w:val="16"/>
      </w:rPr>
      <w:t>Data presented is from a regular survey of selected UK manufacturers: 14 car manufacturers, nine CV and six engine manufacturers.</w:t>
    </w:r>
  </w:p>
  <w:p w:rsidR="004C0D6C" w:rsidRPr="00EA17B0" w:rsidRDefault="004C0D6C" w:rsidP="00EA17B0">
    <w:pPr>
      <w:pStyle w:val="Heading1"/>
      <w:ind w:left="0" w:firstLine="0"/>
      <w:rPr>
        <w:rFonts w:ascii="Arial" w:hAnsi="Arial" w:cs="Arial"/>
        <w:b w:val="0"/>
        <w:color w:val="1074CB"/>
        <w:sz w:val="12"/>
        <w:szCs w:val="12"/>
      </w:rPr>
    </w:pPr>
  </w:p>
  <w:p w:rsidR="004C0D6C" w:rsidRPr="0093616F" w:rsidRDefault="004C0D6C" w:rsidP="00EA17B0">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sidRPr="00D62A9D">
      <w:rPr>
        <w:rFonts w:ascii="Arial" w:hAnsi="Arial" w:cs="Arial"/>
        <w:color w:val="1074CB"/>
        <w:sz w:val="16"/>
        <w:szCs w:val="16"/>
      </w:rPr>
      <w:t>£55 billion turnover</w:t>
    </w:r>
    <w:r>
      <w:rPr>
        <w:rFonts w:ascii="Arial" w:hAnsi="Arial" w:cs="Arial"/>
        <w:b w:val="0"/>
        <w:color w:val="1074CB"/>
        <w:sz w:val="16"/>
        <w:szCs w:val="16"/>
      </w:rPr>
      <w:t xml:space="preserve"> and </w:t>
    </w:r>
    <w:r w:rsidRPr="00D62A9D">
      <w:rPr>
        <w:rFonts w:ascii="Arial" w:hAnsi="Arial" w:cs="Arial"/>
        <w:color w:val="1074CB"/>
        <w:sz w:val="16"/>
        <w:szCs w:val="16"/>
      </w:rPr>
      <w:t>£12 billion value added</w:t>
    </w:r>
    <w:r w:rsidRPr="0098763B">
      <w:rPr>
        <w:rFonts w:ascii="Arial" w:hAnsi="Arial" w:cs="Arial"/>
        <w:b w:val="0"/>
        <w:color w:val="1074CB"/>
        <w:sz w:val="16"/>
        <w:szCs w:val="16"/>
      </w:rPr>
      <w:t xml:space="preserve">. With </w:t>
    </w:r>
    <w:r>
      <w:rPr>
        <w:rFonts w:ascii="Arial" w:hAnsi="Arial" w:cs="Arial"/>
        <w:b w:val="0"/>
        <w:color w:val="1074CB"/>
        <w:sz w:val="16"/>
        <w:szCs w:val="16"/>
      </w:rPr>
      <w:t>more than</w:t>
    </w:r>
    <w:r w:rsidRPr="0098763B">
      <w:rPr>
        <w:rFonts w:ascii="Arial" w:hAnsi="Arial" w:cs="Arial"/>
        <w:b w:val="0"/>
        <w:color w:val="1074CB"/>
        <w:sz w:val="16"/>
        <w:szCs w:val="16"/>
      </w:rPr>
      <w:t xml:space="preserve"> </w:t>
    </w:r>
    <w:r w:rsidRPr="00D62A9D">
      <w:rPr>
        <w:rFonts w:ascii="Arial" w:hAnsi="Arial" w:cs="Arial"/>
        <w:color w:val="1074CB"/>
        <w:sz w:val="16"/>
        <w:szCs w:val="16"/>
      </w:rPr>
      <w:t>700,000 jobs</w:t>
    </w:r>
    <w:r w:rsidRPr="0098763B">
      <w:rPr>
        <w:rFonts w:ascii="Arial" w:hAnsi="Arial" w:cs="Arial"/>
        <w:b w:val="0"/>
        <w:color w:val="1074CB"/>
        <w:sz w:val="16"/>
        <w:szCs w:val="16"/>
      </w:rPr>
      <w:t xml:space="preserve"> dependent on the industry, it accounts for </w:t>
    </w:r>
    <w:r w:rsidRPr="00D62A9D">
      <w:rPr>
        <w:rFonts w:ascii="Arial" w:hAnsi="Arial" w:cs="Arial"/>
        <w:color w:val="1074CB"/>
        <w:sz w:val="16"/>
        <w:szCs w:val="16"/>
      </w:rPr>
      <w:t>10% of total exports</w:t>
    </w:r>
    <w:r w:rsidRPr="0098763B">
      <w:rPr>
        <w:rFonts w:ascii="Arial" w:hAnsi="Arial" w:cs="Arial"/>
        <w:b w:val="0"/>
        <w:color w:val="1074CB"/>
        <w:sz w:val="16"/>
        <w:szCs w:val="16"/>
      </w:rPr>
      <w:t xml:space="preserve"> and invests </w:t>
    </w:r>
    <w:r w:rsidRPr="00D62A9D">
      <w:rPr>
        <w:rFonts w:ascii="Arial" w:hAnsi="Arial" w:cs="Arial"/>
        <w:color w:val="1074CB"/>
        <w:sz w:val="16"/>
        <w:szCs w:val="16"/>
      </w:rPr>
      <w:t>£1.3 billion</w:t>
    </w:r>
    <w:r w:rsidRPr="0098763B">
      <w:rPr>
        <w:rFonts w:ascii="Arial" w:hAnsi="Arial" w:cs="Arial"/>
        <w:b w:val="0"/>
        <w:color w:val="1074CB"/>
        <w:sz w:val="16"/>
        <w:szCs w:val="16"/>
      </w:rPr>
      <w:t xml:space="preserve">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4C0D6C" w:rsidRPr="00EA17B0" w:rsidRDefault="004C0D6C" w:rsidP="00EA17B0">
    <w:pPr>
      <w:rPr>
        <w:rFonts w:ascii="Arial" w:hAnsi="Arial" w:cs="Arial"/>
        <w:b/>
        <w:color w:val="1074CB"/>
        <w:sz w:val="12"/>
        <w:szCs w:val="12"/>
      </w:rPr>
    </w:pPr>
  </w:p>
  <w:p w:rsidR="004C0D6C" w:rsidRDefault="004C0D6C" w:rsidP="00EA17B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9263</w:t>
    </w:r>
    <w:r>
      <w:rPr>
        <w:rFonts w:ascii="Arial" w:hAnsi="Arial" w:cs="Arial"/>
        <w:color w:val="1074CB"/>
        <w:sz w:val="16"/>
        <w:szCs w:val="16"/>
      </w:rPr>
      <w:tab/>
    </w:r>
    <w:r>
      <w:rPr>
        <w:rFonts w:ascii="Arial" w:hAnsi="Arial" w:cs="Arial"/>
        <w:color w:val="1074CB"/>
        <w:sz w:val="16"/>
        <w:szCs w:val="16"/>
      </w:rPr>
      <w:tab/>
    </w:r>
    <w:hyperlink r:id="rId2" w:history="1">
      <w:r w:rsidRPr="007252B7">
        <w:rPr>
          <w:rStyle w:val="Hyperlink"/>
          <w:rFonts w:ascii="Arial" w:hAnsi="Arial" w:cs="Arial"/>
          <w:sz w:val="16"/>
          <w:szCs w:val="16"/>
        </w:rPr>
        <w:t>jvisscher@smmt.co.uk</w:t>
      </w:r>
    </w:hyperlink>
    <w:r>
      <w:rPr>
        <w:rFonts w:ascii="Arial" w:hAnsi="Arial" w:cs="Arial"/>
        <w:color w:val="1074CB"/>
        <w:sz w:val="16"/>
        <w:szCs w:val="16"/>
      </w:rPr>
      <w:t xml:space="preserve"> </w:t>
    </w:r>
  </w:p>
  <w:p w:rsidR="004C0D6C" w:rsidRDefault="004C0D6C" w:rsidP="00EA17B0">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3" w:history="1">
      <w:r w:rsidRPr="007252B7">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6C" w:rsidRDefault="004C0D6C" w:rsidP="007B7D91">
      <w:r>
        <w:separator/>
      </w:r>
    </w:p>
  </w:footnote>
  <w:footnote w:type="continuationSeparator" w:id="0">
    <w:p w:rsidR="004C0D6C" w:rsidRDefault="004C0D6C" w:rsidP="007B7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C" w:rsidRDefault="004C0D6C" w:rsidP="00EA17B0">
    <w:pPr>
      <w:rPr>
        <w:rStyle w:val="Strong"/>
        <w:rFonts w:ascii="Arial" w:hAnsi="Arial" w:cs="Arial"/>
        <w:color w:val="1074CB"/>
        <w:sz w:val="20"/>
      </w:rPr>
    </w:pPr>
    <w:r>
      <w:rPr>
        <w:rStyle w:val="Strong"/>
        <w:rFonts w:ascii="Arial" w:hAnsi="Arial" w:cs="Arial"/>
        <w:color w:val="1074CB"/>
        <w:sz w:val="20"/>
      </w:rPr>
      <w:t xml:space="preserve">                                                                                  </w:t>
    </w:r>
  </w:p>
  <w:p w:rsidR="004C0D6C" w:rsidRDefault="004C0D6C" w:rsidP="00EA17B0">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4384" behindDoc="0" locked="0" layoutInCell="1" allowOverlap="1">
          <wp:simplePos x="0" y="0"/>
          <wp:positionH relativeFrom="column">
            <wp:posOffset>4114902</wp:posOffset>
          </wp:positionH>
          <wp:positionV relativeFrom="paragraph">
            <wp:posOffset>254</wp:posOffset>
          </wp:positionV>
          <wp:extent cx="1963369" cy="746151"/>
          <wp:effectExtent l="1905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3369" cy="746151"/>
                  </a:xfrm>
                  <a:prstGeom prst="rect">
                    <a:avLst/>
                  </a:prstGeom>
                  <a:noFill/>
                  <a:ln w="9525">
                    <a:noFill/>
                    <a:miter lim="800000"/>
                    <a:headEnd/>
                    <a:tailEnd/>
                  </a:ln>
                </pic:spPr>
              </pic:pic>
            </a:graphicData>
          </a:graphic>
        </wp:anchor>
      </w:drawing>
    </w:r>
  </w:p>
  <w:p w:rsidR="004C0D6C" w:rsidRDefault="004C0D6C" w:rsidP="00EA17B0">
    <w:pPr>
      <w:rPr>
        <w:rStyle w:val="Strong"/>
        <w:rFonts w:ascii="Arial" w:hAnsi="Arial" w:cs="Arial"/>
        <w:color w:val="1074CB"/>
        <w:sz w:val="20"/>
      </w:rPr>
    </w:pPr>
  </w:p>
  <w:p w:rsidR="004C0D6C" w:rsidRDefault="004C0D6C" w:rsidP="00EA17B0">
    <w:pPr>
      <w:jc w:val="right"/>
      <w:rPr>
        <w:rStyle w:val="Strong"/>
        <w:rFonts w:ascii="Arial" w:hAnsi="Arial" w:cs="Arial"/>
        <w:color w:val="1074CB"/>
        <w:sz w:val="20"/>
      </w:rPr>
    </w:pPr>
  </w:p>
  <w:p w:rsidR="004C0D6C" w:rsidRDefault="004C0D6C" w:rsidP="00EA17B0">
    <w:pPr>
      <w:jc w:val="right"/>
      <w:rPr>
        <w:rStyle w:val="Strong"/>
        <w:rFonts w:ascii="Arial" w:hAnsi="Arial" w:cs="Arial"/>
        <w:color w:val="1074CB"/>
        <w:sz w:val="20"/>
      </w:rPr>
    </w:pPr>
  </w:p>
  <w:p w:rsidR="004C0D6C" w:rsidRDefault="004C0D6C" w:rsidP="00EA17B0">
    <w:pPr>
      <w:jc w:val="right"/>
      <w:rPr>
        <w:rStyle w:val="Strong"/>
        <w:rFonts w:ascii="Arial" w:hAnsi="Arial" w:cs="Arial"/>
        <w:color w:val="1074CB"/>
        <w:sz w:val="20"/>
      </w:rPr>
    </w:pPr>
  </w:p>
  <w:p w:rsidR="004C0D6C" w:rsidRDefault="004C0D6C" w:rsidP="00EA17B0">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4C0D6C" w:rsidRPr="00D22872" w:rsidRDefault="004C0D6C" w:rsidP="00EA17B0">
    <w:pPr>
      <w:pStyle w:val="Heading1"/>
      <w:ind w:right="142"/>
      <w:rPr>
        <w:rFonts w:ascii="Arial" w:eastAsiaTheme="minorEastAsia" w:hAnsi="Arial" w:cs="Arial"/>
        <w:bCs/>
        <w:color w:val="1074C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C" w:rsidRDefault="004C0D6C" w:rsidP="007B7D91">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2336" behindDoc="0" locked="0" layoutInCell="1" allowOverlap="1">
          <wp:simplePos x="0" y="0"/>
          <wp:positionH relativeFrom="column">
            <wp:posOffset>4483210</wp:posOffset>
          </wp:positionH>
          <wp:positionV relativeFrom="paragraph">
            <wp:posOffset>-156016</wp:posOffset>
          </wp:positionV>
          <wp:extent cx="1968777" cy="739471"/>
          <wp:effectExtent l="19050" t="0" r="0"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8777" cy="739471"/>
                  </a:xfrm>
                  <a:prstGeom prst="rect">
                    <a:avLst/>
                  </a:prstGeom>
                  <a:noFill/>
                  <a:ln w="9525">
                    <a:noFill/>
                    <a:miter lim="800000"/>
                    <a:headEnd/>
                    <a:tailEnd/>
                  </a:ln>
                </pic:spPr>
              </pic:pic>
            </a:graphicData>
          </a:graphic>
        </wp:anchor>
      </w:drawing>
    </w:r>
  </w:p>
  <w:p w:rsidR="004C0D6C" w:rsidRDefault="004C0D6C" w:rsidP="007B7D91">
    <w:pPr>
      <w:jc w:val="right"/>
      <w:rPr>
        <w:rStyle w:val="Strong"/>
        <w:rFonts w:ascii="Arial" w:hAnsi="Arial" w:cs="Arial"/>
        <w:color w:val="1074CB"/>
        <w:sz w:val="20"/>
      </w:rPr>
    </w:pPr>
  </w:p>
  <w:p w:rsidR="004C0D6C" w:rsidRDefault="004C0D6C" w:rsidP="007B7D91">
    <w:pPr>
      <w:jc w:val="right"/>
      <w:rPr>
        <w:rStyle w:val="Strong"/>
        <w:rFonts w:ascii="Arial" w:hAnsi="Arial" w:cs="Arial"/>
        <w:color w:val="1074CB"/>
        <w:sz w:val="20"/>
      </w:rPr>
    </w:pPr>
  </w:p>
  <w:p w:rsidR="004C0D6C" w:rsidRDefault="004C0D6C" w:rsidP="007B7D91">
    <w:pPr>
      <w:jc w:val="right"/>
      <w:rPr>
        <w:rStyle w:val="Strong"/>
        <w:rFonts w:ascii="Arial" w:hAnsi="Arial" w:cs="Arial"/>
        <w:color w:val="1074CB"/>
        <w:sz w:val="20"/>
      </w:rPr>
    </w:pPr>
  </w:p>
  <w:p w:rsidR="004C0D6C" w:rsidRDefault="004C0D6C" w:rsidP="007B7D91">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4C0D6C" w:rsidRPr="00015D3B" w:rsidRDefault="004C0D6C" w:rsidP="007B7D91">
    <w:pPr>
      <w:pStyle w:val="Heading1"/>
      <w:ind w:right="142"/>
      <w:rPr>
        <w:rFonts w:ascii="Arial" w:eastAsiaTheme="minorEastAsia" w:hAnsi="Arial" w:cs="Arial"/>
        <w:bCs/>
        <w:color w:val="1074C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7B7D91"/>
    <w:rsid w:val="00007ACB"/>
    <w:rsid w:val="00015D3B"/>
    <w:rsid w:val="00017AB7"/>
    <w:rsid w:val="00074C39"/>
    <w:rsid w:val="000818A7"/>
    <w:rsid w:val="00084E61"/>
    <w:rsid w:val="000F4585"/>
    <w:rsid w:val="0010253B"/>
    <w:rsid w:val="001404E6"/>
    <w:rsid w:val="0014383D"/>
    <w:rsid w:val="00144913"/>
    <w:rsid w:val="00172ED6"/>
    <w:rsid w:val="001B28BA"/>
    <w:rsid w:val="00240A59"/>
    <w:rsid w:val="00242510"/>
    <w:rsid w:val="0027731C"/>
    <w:rsid w:val="00326E74"/>
    <w:rsid w:val="003448D3"/>
    <w:rsid w:val="00387380"/>
    <w:rsid w:val="003E262D"/>
    <w:rsid w:val="0042298C"/>
    <w:rsid w:val="00446AC5"/>
    <w:rsid w:val="00481105"/>
    <w:rsid w:val="004C0D6C"/>
    <w:rsid w:val="004D2A7A"/>
    <w:rsid w:val="00506E24"/>
    <w:rsid w:val="0054686B"/>
    <w:rsid w:val="00551532"/>
    <w:rsid w:val="0056012A"/>
    <w:rsid w:val="005C04E7"/>
    <w:rsid w:val="005E1693"/>
    <w:rsid w:val="0060349B"/>
    <w:rsid w:val="007443F2"/>
    <w:rsid w:val="0075300C"/>
    <w:rsid w:val="007B14C4"/>
    <w:rsid w:val="007B7D91"/>
    <w:rsid w:val="007C4F0A"/>
    <w:rsid w:val="007F526E"/>
    <w:rsid w:val="00853732"/>
    <w:rsid w:val="008A4A1B"/>
    <w:rsid w:val="008A6748"/>
    <w:rsid w:val="008E5840"/>
    <w:rsid w:val="008E5F57"/>
    <w:rsid w:val="009030E4"/>
    <w:rsid w:val="00910870"/>
    <w:rsid w:val="00985336"/>
    <w:rsid w:val="009E5284"/>
    <w:rsid w:val="00A3414C"/>
    <w:rsid w:val="00A625A6"/>
    <w:rsid w:val="00A76181"/>
    <w:rsid w:val="00AD5820"/>
    <w:rsid w:val="00AE2FC4"/>
    <w:rsid w:val="00AF5E02"/>
    <w:rsid w:val="00B01A93"/>
    <w:rsid w:val="00B27BE6"/>
    <w:rsid w:val="00B53741"/>
    <w:rsid w:val="00B64BF5"/>
    <w:rsid w:val="00B80F76"/>
    <w:rsid w:val="00B86735"/>
    <w:rsid w:val="00BA1403"/>
    <w:rsid w:val="00C15C3F"/>
    <w:rsid w:val="00C17E26"/>
    <w:rsid w:val="00CB512D"/>
    <w:rsid w:val="00CC6F26"/>
    <w:rsid w:val="00D1523E"/>
    <w:rsid w:val="00D43BDF"/>
    <w:rsid w:val="00D7102E"/>
    <w:rsid w:val="00E50950"/>
    <w:rsid w:val="00E75134"/>
    <w:rsid w:val="00E77A73"/>
    <w:rsid w:val="00EA17B0"/>
    <w:rsid w:val="00EB48C4"/>
    <w:rsid w:val="00EE6360"/>
    <w:rsid w:val="00F52D53"/>
    <w:rsid w:val="00FA3BC3"/>
    <w:rsid w:val="00FA52BF"/>
    <w:rsid w:val="00FB3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91"/>
    <w:pPr>
      <w:spacing w:after="0" w:line="240" w:lineRule="auto"/>
    </w:pPr>
    <w:rPr>
      <w:rFonts w:ascii="Times" w:eastAsia="Times" w:hAnsi="Times" w:cs="Times New Roman"/>
      <w:sz w:val="24"/>
      <w:szCs w:val="20"/>
      <w:lang w:val="en-GB" w:eastAsia="en-GB"/>
    </w:rPr>
  </w:style>
  <w:style w:type="paragraph" w:styleId="Heading1">
    <w:name w:val="heading 1"/>
    <w:basedOn w:val="Normal"/>
    <w:next w:val="Normal"/>
    <w:link w:val="Heading1Char"/>
    <w:qFormat/>
    <w:rsid w:val="007B7D91"/>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91"/>
    <w:pPr>
      <w:tabs>
        <w:tab w:val="center" w:pos="4513"/>
        <w:tab w:val="right" w:pos="9026"/>
      </w:tabs>
    </w:pPr>
  </w:style>
  <w:style w:type="character" w:customStyle="1" w:styleId="HeaderChar">
    <w:name w:val="Header Char"/>
    <w:basedOn w:val="DefaultParagraphFont"/>
    <w:link w:val="Header"/>
    <w:uiPriority w:val="99"/>
    <w:rsid w:val="007B7D91"/>
    <w:rPr>
      <w:lang w:val="en-GB"/>
    </w:rPr>
  </w:style>
  <w:style w:type="paragraph" w:styleId="Footer">
    <w:name w:val="footer"/>
    <w:basedOn w:val="Normal"/>
    <w:link w:val="FooterChar"/>
    <w:uiPriority w:val="99"/>
    <w:semiHidden/>
    <w:unhideWhenUsed/>
    <w:rsid w:val="007B7D91"/>
    <w:pPr>
      <w:tabs>
        <w:tab w:val="center" w:pos="4513"/>
        <w:tab w:val="right" w:pos="9026"/>
      </w:tabs>
    </w:pPr>
  </w:style>
  <w:style w:type="character" w:customStyle="1" w:styleId="FooterChar">
    <w:name w:val="Footer Char"/>
    <w:basedOn w:val="DefaultParagraphFont"/>
    <w:link w:val="Footer"/>
    <w:uiPriority w:val="99"/>
    <w:semiHidden/>
    <w:rsid w:val="007B7D91"/>
    <w:rPr>
      <w:lang w:val="en-GB"/>
    </w:rPr>
  </w:style>
  <w:style w:type="character" w:customStyle="1" w:styleId="Heading1Char">
    <w:name w:val="Heading 1 Char"/>
    <w:basedOn w:val="DefaultParagraphFont"/>
    <w:link w:val="Heading1"/>
    <w:rsid w:val="007B7D91"/>
    <w:rPr>
      <w:rFonts w:ascii="Arial Bold" w:eastAsia="Times New Roman" w:hAnsi="Arial Bold" w:cs="Times New Roman"/>
      <w:b/>
      <w:sz w:val="20"/>
      <w:szCs w:val="20"/>
      <w:lang w:val="en-GB" w:eastAsia="en-GB"/>
    </w:rPr>
  </w:style>
  <w:style w:type="character" w:styleId="Strong">
    <w:name w:val="Strong"/>
    <w:basedOn w:val="DefaultParagraphFont"/>
    <w:qFormat/>
    <w:rsid w:val="007B7D91"/>
    <w:rPr>
      <w:b/>
      <w:bCs/>
    </w:rPr>
  </w:style>
  <w:style w:type="paragraph" w:styleId="PlainText">
    <w:name w:val="Plain Text"/>
    <w:basedOn w:val="Normal"/>
    <w:link w:val="PlainTextChar"/>
    <w:uiPriority w:val="99"/>
    <w:unhideWhenUsed/>
    <w:rsid w:val="007B7D91"/>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7B7D91"/>
    <w:rPr>
      <w:rFonts w:ascii="Arial" w:hAnsi="Arial"/>
      <w:sz w:val="20"/>
      <w:szCs w:val="21"/>
      <w:lang w:val="en-GB"/>
    </w:rPr>
  </w:style>
  <w:style w:type="paragraph" w:styleId="ListParagraph">
    <w:name w:val="List Paragraph"/>
    <w:basedOn w:val="Normal"/>
    <w:uiPriority w:val="34"/>
    <w:qFormat/>
    <w:rsid w:val="007B7D91"/>
    <w:pPr>
      <w:ind w:left="720"/>
      <w:contextualSpacing/>
    </w:pPr>
  </w:style>
  <w:style w:type="character" w:styleId="Hyperlink">
    <w:name w:val="Hyperlink"/>
    <w:basedOn w:val="DefaultParagraphFont"/>
    <w:rsid w:val="007B7D91"/>
    <w:rPr>
      <w:color w:val="0000FF"/>
      <w:u w:val="single"/>
    </w:rPr>
  </w:style>
  <w:style w:type="paragraph" w:styleId="BalloonText">
    <w:name w:val="Balloon Text"/>
    <w:basedOn w:val="Normal"/>
    <w:link w:val="BalloonTextChar"/>
    <w:uiPriority w:val="99"/>
    <w:semiHidden/>
    <w:unhideWhenUsed/>
    <w:rsid w:val="007B7D91"/>
    <w:rPr>
      <w:rFonts w:ascii="Tahoma" w:hAnsi="Tahoma" w:cs="Tahoma"/>
      <w:sz w:val="16"/>
      <w:szCs w:val="16"/>
    </w:rPr>
  </w:style>
  <w:style w:type="character" w:customStyle="1" w:styleId="BalloonTextChar">
    <w:name w:val="Balloon Text Char"/>
    <w:basedOn w:val="DefaultParagraphFont"/>
    <w:link w:val="BalloonText"/>
    <w:uiPriority w:val="99"/>
    <w:semiHidden/>
    <w:rsid w:val="007B7D91"/>
    <w:rPr>
      <w:rFonts w:ascii="Tahoma" w:eastAsia="Times" w:hAnsi="Tahoma" w:cs="Tahoma"/>
      <w:sz w:val="16"/>
      <w:szCs w:val="16"/>
      <w:lang w:val="en-GB" w:eastAsia="en-GB"/>
    </w:rPr>
  </w:style>
  <w:style w:type="character" w:styleId="CommentReference">
    <w:name w:val="annotation reference"/>
    <w:basedOn w:val="DefaultParagraphFont"/>
    <w:uiPriority w:val="99"/>
    <w:semiHidden/>
    <w:unhideWhenUsed/>
    <w:rsid w:val="00E751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483561">
      <w:bodyDiv w:val="1"/>
      <w:marLeft w:val="0"/>
      <w:marRight w:val="0"/>
      <w:marTop w:val="0"/>
      <w:marBottom w:val="0"/>
      <w:divBdr>
        <w:top w:val="none" w:sz="0" w:space="0" w:color="auto"/>
        <w:left w:val="none" w:sz="0" w:space="0" w:color="auto"/>
        <w:bottom w:val="none" w:sz="0" w:space="0" w:color="auto"/>
        <w:right w:val="none" w:sz="0" w:space="0" w:color="auto"/>
      </w:divBdr>
    </w:div>
    <w:div w:id="851996841">
      <w:bodyDiv w:val="1"/>
      <w:marLeft w:val="0"/>
      <w:marRight w:val="0"/>
      <w:marTop w:val="0"/>
      <w:marBottom w:val="0"/>
      <w:divBdr>
        <w:top w:val="none" w:sz="0" w:space="0" w:color="auto"/>
        <w:left w:val="none" w:sz="0" w:space="0" w:color="auto"/>
        <w:bottom w:val="none" w:sz="0" w:space="0" w:color="auto"/>
        <w:right w:val="none" w:sz="0" w:space="0" w:color="auto"/>
      </w:divBdr>
    </w:div>
    <w:div w:id="19283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lewis@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ENGINES\UK%20engine%20produc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0227798640734118"/>
          <c:y val="0.13010425780110821"/>
          <c:w val="0.82671672445337763"/>
          <c:h val="0.71952136191309424"/>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'PR-12MONTH-charts'!$C$3:$BV$3</c:f>
              <c:numCache>
                <c:formatCode>General</c:formatCode>
                <c:ptCount val="72"/>
                <c:pt idx="0">
                  <c:v>2008</c:v>
                </c:pt>
                <c:pt idx="12">
                  <c:v>2009</c:v>
                </c:pt>
                <c:pt idx="24">
                  <c:v>2010</c:v>
                </c:pt>
                <c:pt idx="36">
                  <c:v>2011</c:v>
                </c:pt>
                <c:pt idx="48">
                  <c:v>2012</c:v>
                </c:pt>
                <c:pt idx="60">
                  <c:v>2013</c:v>
                </c:pt>
              </c:numCache>
            </c:numRef>
          </c:cat>
          <c:val>
            <c:numRef>
              <c:f>'PR-12MONTH-charts'!$C$4:$BV$4</c:f>
              <c:numCache>
                <c:formatCode>General</c:formatCode>
                <c:ptCount val="72"/>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1009.3649999999992</c:v>
                </c:pt>
                <c:pt idx="19">
                  <c:v>983.24400000000003</c:v>
                </c:pt>
                <c:pt idx="20">
                  <c:v>960.25400000000002</c:v>
                </c:pt>
                <c:pt idx="21">
                  <c:v>952.62300000000005</c:v>
                </c:pt>
                <c:pt idx="22">
                  <c:v>967.96699999999908</c:v>
                </c:pt>
                <c:pt idx="23">
                  <c:v>999.45999999999947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1464.9060000000011</c:v>
                </c:pt>
                <c:pt idx="60">
                  <c:v>1466.4050000000011</c:v>
                </c:pt>
                <c:pt idx="61">
                  <c:v>1465.3799999999999</c:v>
                </c:pt>
              </c:numCache>
            </c:numRef>
          </c:val>
        </c:ser>
        <c:ser>
          <c:idx val="1"/>
          <c:order val="1"/>
          <c:tx>
            <c:strRef>
              <c:f>'PR-12MONTH-charts'!$B$5</c:f>
              <c:strCache>
                <c:ptCount val="1"/>
                <c:pt idx="0">
                  <c:v>Car Exports</c:v>
                </c:pt>
              </c:strCache>
            </c:strRef>
          </c:tx>
          <c:spPr>
            <a:ln>
              <a:solidFill>
                <a:schemeClr val="tx2">
                  <a:lumMod val="40000"/>
                  <a:lumOff val="60000"/>
                </a:schemeClr>
              </a:solidFill>
            </a:ln>
          </c:spPr>
          <c:marker>
            <c:symbol val="none"/>
          </c:marker>
          <c:cat>
            <c:numRef>
              <c:f>'PR-12MONTH-charts'!$C$3:$BV$3</c:f>
              <c:numCache>
                <c:formatCode>General</c:formatCode>
                <c:ptCount val="72"/>
                <c:pt idx="0">
                  <c:v>2008</c:v>
                </c:pt>
                <c:pt idx="12">
                  <c:v>2009</c:v>
                </c:pt>
                <c:pt idx="24">
                  <c:v>2010</c:v>
                </c:pt>
                <c:pt idx="36">
                  <c:v>2011</c:v>
                </c:pt>
                <c:pt idx="48">
                  <c:v>2012</c:v>
                </c:pt>
                <c:pt idx="60">
                  <c:v>2013</c:v>
                </c:pt>
              </c:numCache>
            </c:numRef>
          </c:cat>
          <c:val>
            <c:numRef>
              <c:f>'PR-12MONTH-charts'!$C$5:$BV$5</c:f>
              <c:numCache>
                <c:formatCode>General</c:formatCode>
                <c:ptCount val="72"/>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1003.4599999999994</c:v>
                </c:pt>
                <c:pt idx="14">
                  <c:v>951.97</c:v>
                </c:pt>
                <c:pt idx="15">
                  <c:v>887.52599999999939</c:v>
                </c:pt>
                <c:pt idx="16">
                  <c:v>848.56499999999949</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846.79900000000055</c:v>
                </c:pt>
                <c:pt idx="27">
                  <c:v>862.95899999999949</c:v>
                </c:pt>
                <c:pt idx="28">
                  <c:v>883.37900000000002</c:v>
                </c:pt>
                <c:pt idx="29">
                  <c:v>895.63599999999997</c:v>
                </c:pt>
                <c:pt idx="30">
                  <c:v>886.52199999999948</c:v>
                </c:pt>
                <c:pt idx="31">
                  <c:v>905.96299999999894</c:v>
                </c:pt>
                <c:pt idx="32">
                  <c:v>922.69299999999998</c:v>
                </c:pt>
                <c:pt idx="33">
                  <c:v>928.33599999999922</c:v>
                </c:pt>
                <c:pt idx="34">
                  <c:v>946.99900000000002</c:v>
                </c:pt>
                <c:pt idx="35">
                  <c:v>961.42</c:v>
                </c:pt>
                <c:pt idx="36">
                  <c:v>982.45899999999949</c:v>
                </c:pt>
                <c:pt idx="37">
                  <c:v>1005.0119999999994</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1199.9050000000011</c:v>
                </c:pt>
                <c:pt idx="54">
                  <c:v>1217.319</c:v>
                </c:pt>
                <c:pt idx="55">
                  <c:v>1211.8429999999998</c:v>
                </c:pt>
                <c:pt idx="56">
                  <c:v>1201.8389999999999</c:v>
                </c:pt>
                <c:pt idx="57">
                  <c:v>1207.1309999999999</c:v>
                </c:pt>
                <c:pt idx="58">
                  <c:v>1208.587</c:v>
                </c:pt>
                <c:pt idx="59">
                  <c:v>1211.7660000000001</c:v>
                </c:pt>
                <c:pt idx="60">
                  <c:v>1207.7139999999999</c:v>
                </c:pt>
                <c:pt idx="61">
                  <c:v>1196.6659999999999</c:v>
                </c:pt>
              </c:numCache>
            </c:numRef>
          </c:val>
        </c:ser>
        <c:marker val="1"/>
        <c:axId val="42455040"/>
        <c:axId val="53281536"/>
      </c:lineChart>
      <c:catAx>
        <c:axId val="4245504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53281536"/>
        <c:crosses val="autoZero"/>
        <c:auto val="1"/>
        <c:lblAlgn val="ctr"/>
        <c:lblOffset val="100"/>
        <c:tickMarkSkip val="12"/>
      </c:catAx>
      <c:valAx>
        <c:axId val="53281536"/>
        <c:scaling>
          <c:orientation val="minMax"/>
          <c:min val="600"/>
        </c:scaling>
        <c:axPos val="l"/>
        <c:majorGridlines/>
        <c:title>
          <c:tx>
            <c:rich>
              <a:bodyPr/>
              <a:lstStyle/>
              <a:p>
                <a:pPr>
                  <a:defRPr sz="1000" b="1" i="0" u="none" strike="noStrike" baseline="0">
                    <a:solidFill>
                      <a:srgbClr val="000000"/>
                    </a:solidFill>
                    <a:latin typeface="Arial"/>
                    <a:ea typeface="Arial"/>
                    <a:cs typeface="Arial"/>
                  </a:defRPr>
                </a:pPr>
                <a:r>
                  <a:rPr lang="en-GB" b="1"/>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42455040"/>
        <c:crosses val="autoZero"/>
        <c:crossBetween val="between"/>
      </c:valAx>
    </c:plotArea>
    <c:legend>
      <c:legendPos val="r"/>
      <c:layout>
        <c:manualLayout>
          <c:xMode val="edge"/>
          <c:yMode val="edge"/>
          <c:x val="4.6204620462046306E-2"/>
          <c:y val="1.785714285714286E-2"/>
          <c:w val="0.93729684779501554"/>
          <c:h val="0.1"/>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0398410323629491"/>
          <c:y val="0.13010425780110821"/>
          <c:w val="0.8303449401132651"/>
          <c:h val="0.71952136191309424"/>
        </c:manualLayout>
      </c:layout>
      <c:lineChart>
        <c:grouping val="standard"/>
        <c:ser>
          <c:idx val="0"/>
          <c:order val="0"/>
          <c:tx>
            <c:strRef>
              <c:f>'PR-12MONTH-charts'!$B$9</c:f>
              <c:strCache>
                <c:ptCount val="1"/>
                <c:pt idx="0">
                  <c:v>Total CV</c:v>
                </c:pt>
              </c:strCache>
            </c:strRef>
          </c:tx>
          <c:spPr>
            <a:ln>
              <a:solidFill>
                <a:schemeClr val="tx2">
                  <a:lumMod val="75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'PR-12MONTH-charts'!$C$9:$BV$9</c:f>
              <c:numCache>
                <c:formatCode>General</c:formatCode>
                <c:ptCount val="72"/>
                <c:pt idx="0">
                  <c:v>216.93200000000004</c:v>
                </c:pt>
                <c:pt idx="1">
                  <c:v>220.09</c:v>
                </c:pt>
                <c:pt idx="2">
                  <c:v>218.60499999999999</c:v>
                </c:pt>
                <c:pt idx="3">
                  <c:v>224.066</c:v>
                </c:pt>
                <c:pt idx="4">
                  <c:v>224.81300000000002</c:v>
                </c:pt>
                <c:pt idx="5">
                  <c:v>227.24299999999999</c:v>
                </c:pt>
                <c:pt idx="6">
                  <c:v>234.255</c:v>
                </c:pt>
                <c:pt idx="7">
                  <c:v>230.57899999999998</c:v>
                </c:pt>
                <c:pt idx="8">
                  <c:v>231.30100000000004</c:v>
                </c:pt>
                <c:pt idx="9">
                  <c:v>222.191</c:v>
                </c:pt>
                <c:pt idx="10">
                  <c:v>211.12800000000001</c:v>
                </c:pt>
                <c:pt idx="11">
                  <c:v>202.89600000000004</c:v>
                </c:pt>
                <c:pt idx="12">
                  <c:v>190.40700000000001</c:v>
                </c:pt>
                <c:pt idx="13">
                  <c:v>175.62800000000001</c:v>
                </c:pt>
                <c:pt idx="14">
                  <c:v>164.89700000000019</c:v>
                </c:pt>
                <c:pt idx="15">
                  <c:v>150.56800000000001</c:v>
                </c:pt>
                <c:pt idx="16">
                  <c:v>137.55800000000019</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103.9340000000001</c:v>
                </c:pt>
                <c:pt idx="28">
                  <c:v>109.98699999999999</c:v>
                </c:pt>
                <c:pt idx="29">
                  <c:v>112.111</c:v>
                </c:pt>
                <c:pt idx="30">
                  <c:v>113.232</c:v>
                </c:pt>
                <c:pt idx="31">
                  <c:v>114.29600000000002</c:v>
                </c:pt>
                <c:pt idx="32">
                  <c:v>115.9190000000001</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115.9170000000001</c:v>
                </c:pt>
                <c:pt idx="56">
                  <c:v>113.47799999999999</c:v>
                </c:pt>
                <c:pt idx="57">
                  <c:v>114.04</c:v>
                </c:pt>
                <c:pt idx="58">
                  <c:v>113.634</c:v>
                </c:pt>
                <c:pt idx="59">
                  <c:v>112.039</c:v>
                </c:pt>
                <c:pt idx="60">
                  <c:v>110.01700000000002</c:v>
                </c:pt>
                <c:pt idx="61">
                  <c:v>108.367</c:v>
                </c:pt>
              </c:numCache>
            </c:numRef>
          </c:val>
        </c:ser>
        <c:ser>
          <c:idx val="1"/>
          <c:order val="1"/>
          <c:tx>
            <c:strRef>
              <c:f>'PR-12MONTH-charts'!$B$10</c:f>
              <c:strCache>
                <c:ptCount val="1"/>
                <c:pt idx="0">
                  <c:v>CV Exports</c:v>
                </c:pt>
              </c:strCache>
            </c:strRef>
          </c:tx>
          <c:spPr>
            <a:ln>
              <a:solidFill>
                <a:schemeClr val="tx2">
                  <a:lumMod val="40000"/>
                  <a:lumOff val="60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'PR-12MONTH-charts'!$C$10:$BV$10</c:f>
              <c:numCache>
                <c:formatCode>General</c:formatCode>
                <c:ptCount val="72"/>
                <c:pt idx="0">
                  <c:v>132.43900000000002</c:v>
                </c:pt>
                <c:pt idx="1">
                  <c:v>134.09800000000001</c:v>
                </c:pt>
                <c:pt idx="2">
                  <c:v>133.68700000000001</c:v>
                </c:pt>
                <c:pt idx="3">
                  <c:v>137.15700000000001</c:v>
                </c:pt>
                <c:pt idx="4">
                  <c:v>138.565</c:v>
                </c:pt>
                <c:pt idx="5">
                  <c:v>140.45400000000001</c:v>
                </c:pt>
                <c:pt idx="6">
                  <c:v>143.67099999999999</c:v>
                </c:pt>
                <c:pt idx="7">
                  <c:v>141.946</c:v>
                </c:pt>
                <c:pt idx="8">
                  <c:v>142.72899999999998</c:v>
                </c:pt>
                <c:pt idx="9">
                  <c:v>136.8510000000002</c:v>
                </c:pt>
                <c:pt idx="10">
                  <c:v>130.52600000000001</c:v>
                </c:pt>
                <c:pt idx="11">
                  <c:v>125.611</c:v>
                </c:pt>
                <c:pt idx="12">
                  <c:v>119.71899999999999</c:v>
                </c:pt>
                <c:pt idx="13">
                  <c:v>112.473</c:v>
                </c:pt>
                <c:pt idx="14">
                  <c:v>106.9370000000001</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70.181999999999988</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69.414000000000115</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61.580999999999996</c:v>
                </c:pt>
                <c:pt idx="61">
                  <c:v>59.826000000000001</c:v>
                </c:pt>
              </c:numCache>
            </c:numRef>
          </c:val>
        </c:ser>
        <c:marker val="1"/>
        <c:axId val="58972416"/>
        <c:axId val="61297408"/>
      </c:lineChart>
      <c:catAx>
        <c:axId val="5897241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61297408"/>
        <c:crosses val="autoZero"/>
        <c:auto val="1"/>
        <c:lblAlgn val="ctr"/>
        <c:lblOffset val="100"/>
        <c:tickMarkSkip val="12"/>
      </c:catAx>
      <c:valAx>
        <c:axId val="61297408"/>
        <c:scaling>
          <c:orientation val="minMax"/>
          <c:max val="250"/>
          <c:min val="50"/>
        </c:scaling>
        <c:axPos val="l"/>
        <c:majorGridlines/>
        <c:title>
          <c:tx>
            <c:rich>
              <a:bodyPr/>
              <a:lstStyle/>
              <a:p>
                <a:pPr>
                  <a:defRPr sz="1000" b="1" i="0" u="none" strike="noStrike" baseline="0">
                    <a:solidFill>
                      <a:srgbClr val="000000"/>
                    </a:solidFill>
                    <a:latin typeface="Arial"/>
                    <a:ea typeface="Arial"/>
                    <a:cs typeface="Arial"/>
                  </a:defRPr>
                </a:pPr>
                <a:r>
                  <a:rPr lang="en-GB" b="1"/>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8972416"/>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2622440944881888"/>
          <c:y val="0.15788203557888636"/>
          <c:w val="0.808828302712161"/>
          <c:h val="0.72613808690580361"/>
        </c:manualLayout>
      </c:layout>
      <c:lineChart>
        <c:grouping val="standard"/>
        <c:ser>
          <c:idx val="0"/>
          <c:order val="0"/>
          <c:tx>
            <c:strRef>
              <c:f>chart!$B$2</c:f>
              <c:strCache>
                <c:ptCount val="1"/>
                <c:pt idx="0">
                  <c:v>Total</c:v>
                </c:pt>
              </c:strCache>
            </c:strRef>
          </c:tx>
          <c:spPr>
            <a:ln w="38100">
              <a:solidFill>
                <a:srgbClr val="0D2255"/>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chart!$C$2:$AX$2</c:f>
              <c:numCache>
                <c:formatCode>#,##0.00</c:formatCode>
                <c:ptCount val="48"/>
                <c:pt idx="0">
                  <c:v>2.0936689999999967</c:v>
                </c:pt>
                <c:pt idx="1">
                  <c:v>2.1673529999999999</c:v>
                </c:pt>
                <c:pt idx="2">
                  <c:v>2.2385760000000001</c:v>
                </c:pt>
                <c:pt idx="3">
                  <c:v>2.2937710000000036</c:v>
                </c:pt>
                <c:pt idx="4">
                  <c:v>2.3481730000000001</c:v>
                </c:pt>
                <c:pt idx="5">
                  <c:v>2.3845499999999977</c:v>
                </c:pt>
                <c:pt idx="6">
                  <c:v>2.3782029999999965</c:v>
                </c:pt>
                <c:pt idx="7">
                  <c:v>2.3936139999999977</c:v>
                </c:pt>
                <c:pt idx="8">
                  <c:v>2.3966309999999971</c:v>
                </c:pt>
                <c:pt idx="9">
                  <c:v>2.3848429999999965</c:v>
                </c:pt>
                <c:pt idx="10">
                  <c:v>2.388887</c:v>
                </c:pt>
                <c:pt idx="11">
                  <c:v>2.386717</c:v>
                </c:pt>
                <c:pt idx="12">
                  <c:v>2.409858999999996</c:v>
                </c:pt>
                <c:pt idx="13">
                  <c:v>2.4301189999999977</c:v>
                </c:pt>
                <c:pt idx="14">
                  <c:v>2.44537</c:v>
                </c:pt>
                <c:pt idx="15">
                  <c:v>2.4359329999999977</c:v>
                </c:pt>
                <c:pt idx="16">
                  <c:v>2.4441280000000001</c:v>
                </c:pt>
                <c:pt idx="17">
                  <c:v>2.445913</c:v>
                </c:pt>
                <c:pt idx="18">
                  <c:v>2.44516</c:v>
                </c:pt>
                <c:pt idx="19">
                  <c:v>2.4618569999999971</c:v>
                </c:pt>
                <c:pt idx="20">
                  <c:v>2.4769179999999977</c:v>
                </c:pt>
                <c:pt idx="21">
                  <c:v>2.5022799999999967</c:v>
                </c:pt>
                <c:pt idx="22">
                  <c:v>2.5061089999999977</c:v>
                </c:pt>
                <c:pt idx="23">
                  <c:v>2.504054</c:v>
                </c:pt>
                <c:pt idx="24">
                  <c:v>2.5191719999999997</c:v>
                </c:pt>
                <c:pt idx="25">
                  <c:v>2.5322879999999977</c:v>
                </c:pt>
                <c:pt idx="26">
                  <c:v>2.5165689999999965</c:v>
                </c:pt>
                <c:pt idx="27">
                  <c:v>2.518845999999995</c:v>
                </c:pt>
                <c:pt idx="28">
                  <c:v>2.5475650000000001</c:v>
                </c:pt>
                <c:pt idx="29">
                  <c:v>2.5113129999999977</c:v>
                </c:pt>
                <c:pt idx="30">
                  <c:v>2.511675999999996</c:v>
                </c:pt>
                <c:pt idx="31">
                  <c:v>2.5281989999999999</c:v>
                </c:pt>
                <c:pt idx="32">
                  <c:v>2.4969809999999977</c:v>
                </c:pt>
                <c:pt idx="33">
                  <c:v>2.4997439999999971</c:v>
                </c:pt>
                <c:pt idx="34">
                  <c:v>2.4965789999999966</c:v>
                </c:pt>
                <c:pt idx="35">
                  <c:v>2.495371</c:v>
                </c:pt>
                <c:pt idx="36">
                  <c:v>2.483603</c:v>
                </c:pt>
                <c:pt idx="37">
                  <c:v>2.4718859999999965</c:v>
                </c:pt>
              </c:numCache>
            </c:numRef>
          </c:val>
        </c:ser>
        <c:ser>
          <c:idx val="1"/>
          <c:order val="1"/>
          <c:tx>
            <c:strRef>
              <c:f>chart!$B$3</c:f>
              <c:strCache>
                <c:ptCount val="1"/>
                <c:pt idx="0">
                  <c:v>Export</c:v>
                </c:pt>
              </c:strCache>
            </c:strRef>
          </c:tx>
          <c:spPr>
            <a:ln w="25400">
              <a:solidFill>
                <a:schemeClr val="tx2">
                  <a:lumMod val="60000"/>
                  <a:lumOff val="40000"/>
                </a:schemeClr>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chart!$C$3:$AX$3</c:f>
              <c:numCache>
                <c:formatCode>#,##0.00</c:formatCode>
                <c:ptCount val="48"/>
                <c:pt idx="0">
                  <c:v>1.5503020000000001</c:v>
                </c:pt>
                <c:pt idx="1">
                  <c:v>1.6003270000000001</c:v>
                </c:pt>
                <c:pt idx="2">
                  <c:v>1.6457299999999984</c:v>
                </c:pt>
                <c:pt idx="3">
                  <c:v>1.681225</c:v>
                </c:pt>
                <c:pt idx="4">
                  <c:v>1.7095739999999984</c:v>
                </c:pt>
                <c:pt idx="5">
                  <c:v>1.7311929999999998</c:v>
                </c:pt>
                <c:pt idx="6">
                  <c:v>1.7318269999999976</c:v>
                </c:pt>
                <c:pt idx="7">
                  <c:v>1.7392089999999998</c:v>
                </c:pt>
                <c:pt idx="8">
                  <c:v>1.738567</c:v>
                </c:pt>
                <c:pt idx="9">
                  <c:v>1.728032</c:v>
                </c:pt>
                <c:pt idx="10">
                  <c:v>1.7272879999999999</c:v>
                </c:pt>
                <c:pt idx="11">
                  <c:v>1.7214899999999984</c:v>
                </c:pt>
                <c:pt idx="12">
                  <c:v>1.7377219999999975</c:v>
                </c:pt>
                <c:pt idx="13">
                  <c:v>1.7388399999999984</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1.7459959999999981</c:v>
                </c:pt>
                <c:pt idx="26">
                  <c:v>1.7228899999999998</c:v>
                </c:pt>
                <c:pt idx="27">
                  <c:v>1.697802</c:v>
                </c:pt>
                <c:pt idx="28">
                  <c:v>1.686644</c:v>
                </c:pt>
                <c:pt idx="29">
                  <c:v>1.6401820000000018</c:v>
                </c:pt>
                <c:pt idx="30">
                  <c:v>1.6186020000000001</c:v>
                </c:pt>
                <c:pt idx="31">
                  <c:v>1.61758</c:v>
                </c:pt>
                <c:pt idx="32">
                  <c:v>1.5791739999999999</c:v>
                </c:pt>
                <c:pt idx="33">
                  <c:v>1.569083</c:v>
                </c:pt>
                <c:pt idx="34">
                  <c:v>1.556332</c:v>
                </c:pt>
                <c:pt idx="35">
                  <c:v>1.554208</c:v>
                </c:pt>
                <c:pt idx="36">
                  <c:v>1.5401309999999999</c:v>
                </c:pt>
                <c:pt idx="37">
                  <c:v>1.5299759999999998</c:v>
                </c:pt>
              </c:numCache>
            </c:numRef>
          </c:val>
        </c:ser>
        <c:marker val="1"/>
        <c:axId val="61440384"/>
        <c:axId val="61442688"/>
      </c:lineChart>
      <c:catAx>
        <c:axId val="61440384"/>
        <c:scaling>
          <c:orientation val="minMax"/>
        </c:scaling>
        <c:axPos val="b"/>
        <c:tickLblPos val="nextTo"/>
        <c:crossAx val="61442688"/>
        <c:crosses val="autoZero"/>
        <c:auto val="1"/>
        <c:lblAlgn val="ctr"/>
        <c:lblOffset val="100"/>
        <c:tickLblSkip val="12"/>
        <c:tickMarkSkip val="12"/>
      </c:catAx>
      <c:valAx>
        <c:axId val="61442688"/>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872E-2"/>
              <c:y val="0.40222404491105285"/>
            </c:manualLayout>
          </c:layout>
        </c:title>
        <c:numFmt formatCode="#,##0.0" sourceLinked="0"/>
        <c:tickLblPos val="nextTo"/>
        <c:crossAx val="61440384"/>
        <c:crosses val="autoZero"/>
        <c:crossBetween val="between"/>
        <c:majorUnit val="0.2"/>
      </c:valAx>
    </c:plotArea>
    <c:legend>
      <c:legendPos val="r"/>
      <c:layout>
        <c:manualLayout>
          <c:xMode val="edge"/>
          <c:yMode val="edge"/>
          <c:x val="0.23450000000000004"/>
          <c:y val="3.2023549139690875E-2"/>
          <c:w val="0.48494444444444523"/>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KML</cp:lastModifiedBy>
  <cp:revision>3</cp:revision>
  <cp:lastPrinted>2013-03-20T16:49:00Z</cp:lastPrinted>
  <dcterms:created xsi:type="dcterms:W3CDTF">2013-03-20T17:01:00Z</dcterms:created>
  <dcterms:modified xsi:type="dcterms:W3CDTF">2013-03-21T09:04:00Z</dcterms:modified>
</cp:coreProperties>
</file>