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70" w:rsidRPr="00440369" w:rsidRDefault="00C80E70" w:rsidP="007430A2">
      <w:pPr>
        <w:pStyle w:val="Heading1"/>
        <w:ind w:left="0" w:right="142" w:firstLine="0"/>
        <w:rPr>
          <w:rFonts w:ascii="Arial" w:eastAsiaTheme="minorEastAsia" w:hAnsi="Arial" w:cs="Arial"/>
          <w:bCs/>
          <w:color w:val="1074CB"/>
          <w:sz w:val="40"/>
          <w:szCs w:val="40"/>
        </w:rPr>
      </w:pPr>
      <w:r w:rsidRPr="00440369">
        <w:rPr>
          <w:rFonts w:ascii="Arial" w:eastAsiaTheme="minorEastAsia" w:hAnsi="Arial" w:cs="Arial"/>
          <w:bCs/>
          <w:color w:val="1074CB"/>
          <w:sz w:val="40"/>
          <w:szCs w:val="40"/>
        </w:rPr>
        <w:t>UK COMMERCIAL VEHICLE MANUFACTURING</w:t>
      </w:r>
      <w:r w:rsidR="00696C6A" w:rsidRPr="00440369">
        <w:rPr>
          <w:rFonts w:ascii="Arial" w:eastAsiaTheme="minorEastAsia" w:hAnsi="Arial" w:cs="Arial"/>
          <w:bCs/>
          <w:color w:val="1074CB"/>
          <w:sz w:val="40"/>
          <w:szCs w:val="40"/>
        </w:rPr>
        <w:t xml:space="preserve"> </w:t>
      </w:r>
    </w:p>
    <w:p w:rsidR="006B3606" w:rsidRPr="00FD59F4" w:rsidRDefault="006B0F16" w:rsidP="006B3606">
      <w:pPr>
        <w:pStyle w:val="Heading1"/>
        <w:ind w:right="142"/>
      </w:pPr>
      <w:r>
        <w:rPr>
          <w:rFonts w:ascii="Arial" w:eastAsiaTheme="minorEastAsia" w:hAnsi="Arial" w:cs="Arial"/>
          <w:b w:val="0"/>
          <w:bCs/>
          <w:color w:val="1074CB"/>
          <w:sz w:val="44"/>
          <w:szCs w:val="44"/>
        </w:rPr>
        <w:t xml:space="preserve">19 </w:t>
      </w:r>
      <w:r w:rsidR="00FF0482">
        <w:rPr>
          <w:rFonts w:ascii="Arial" w:eastAsiaTheme="minorEastAsia" w:hAnsi="Arial" w:cs="Arial"/>
          <w:b w:val="0"/>
          <w:bCs/>
          <w:color w:val="1074CB"/>
          <w:sz w:val="44"/>
          <w:szCs w:val="44"/>
        </w:rPr>
        <w:t>March</w:t>
      </w:r>
      <w:r w:rsidR="006B3606" w:rsidRPr="00440369">
        <w:rPr>
          <w:rFonts w:ascii="Arial" w:eastAsiaTheme="minorEastAsia" w:hAnsi="Arial" w:cs="Arial"/>
          <w:b w:val="0"/>
          <w:bCs/>
          <w:color w:val="1074CB"/>
          <w:sz w:val="44"/>
          <w:szCs w:val="44"/>
        </w:rPr>
        <w:t xml:space="preserve"> 201</w:t>
      </w:r>
      <w:r w:rsidR="00AA0E12">
        <w:rPr>
          <w:rFonts w:ascii="Arial" w:eastAsiaTheme="minorEastAsia" w:hAnsi="Arial" w:cs="Arial"/>
          <w:b w:val="0"/>
          <w:bCs/>
          <w:color w:val="1074CB"/>
          <w:sz w:val="44"/>
          <w:szCs w:val="44"/>
        </w:rPr>
        <w:t>5</w:t>
      </w:r>
      <w:r w:rsidR="006B3606">
        <w:rPr>
          <w:rFonts w:ascii="Arial" w:eastAsiaTheme="minorEastAsia" w:hAnsi="Arial" w:cs="Arial"/>
          <w:bCs/>
          <w:color w:val="FF0000"/>
          <w:sz w:val="44"/>
          <w:szCs w:val="44"/>
        </w:rPr>
        <w:t xml:space="preserve"> </w:t>
      </w:r>
      <w:r w:rsidR="006B3606" w:rsidRPr="00696C6A">
        <w:rPr>
          <w:rFonts w:ascii="Arial" w:eastAsiaTheme="minorEastAsia" w:hAnsi="Arial" w:cs="Arial"/>
          <w:b w:val="0"/>
          <w:bCs/>
          <w:color w:val="1074CB"/>
          <w:sz w:val="28"/>
          <w:szCs w:val="28"/>
        </w:rPr>
        <w:t xml:space="preserve">(data for </w:t>
      </w:r>
      <w:r w:rsidR="00FF0482">
        <w:rPr>
          <w:rFonts w:ascii="Arial" w:eastAsiaTheme="minorEastAsia" w:hAnsi="Arial" w:cs="Arial"/>
          <w:b w:val="0"/>
          <w:bCs/>
          <w:color w:val="1074CB"/>
          <w:sz w:val="28"/>
          <w:szCs w:val="28"/>
        </w:rPr>
        <w:t>February</w:t>
      </w:r>
      <w:r w:rsidR="009511F2">
        <w:rPr>
          <w:rFonts w:ascii="Arial" w:eastAsiaTheme="minorEastAsia" w:hAnsi="Arial" w:cs="Arial"/>
          <w:b w:val="0"/>
          <w:bCs/>
          <w:color w:val="1074CB"/>
          <w:sz w:val="28"/>
          <w:szCs w:val="28"/>
        </w:rPr>
        <w:t xml:space="preserve"> </w:t>
      </w:r>
      <w:r w:rsidR="006B3606" w:rsidRPr="00696C6A">
        <w:rPr>
          <w:rFonts w:ascii="Arial" w:eastAsiaTheme="minorEastAsia" w:hAnsi="Arial" w:cs="Arial"/>
          <w:b w:val="0"/>
          <w:bCs/>
          <w:color w:val="1074CB"/>
          <w:sz w:val="28"/>
          <w:szCs w:val="28"/>
        </w:rPr>
        <w:t>201</w:t>
      </w:r>
      <w:r w:rsidR="00AA0E12">
        <w:rPr>
          <w:rFonts w:ascii="Arial" w:eastAsiaTheme="minorEastAsia" w:hAnsi="Arial" w:cs="Arial"/>
          <w:b w:val="0"/>
          <w:bCs/>
          <w:color w:val="1074CB"/>
          <w:sz w:val="28"/>
          <w:szCs w:val="28"/>
        </w:rPr>
        <w:t>5</w:t>
      </w:r>
      <w:r w:rsidR="006B3606" w:rsidRPr="00696C6A">
        <w:rPr>
          <w:rFonts w:ascii="Arial" w:eastAsiaTheme="minorEastAsia" w:hAnsi="Arial" w:cs="Arial"/>
          <w:b w:val="0"/>
          <w:bCs/>
          <w:color w:val="1074CB"/>
          <w:sz w:val="28"/>
          <w:szCs w:val="28"/>
        </w:rPr>
        <w:t>)</w:t>
      </w:r>
    </w:p>
    <w:p w:rsidR="00C80E70" w:rsidRPr="007B7D91" w:rsidRDefault="000E71FB" w:rsidP="00C80E70">
      <w:r>
        <w:rPr>
          <w:rFonts w:ascii="Arial" w:eastAsiaTheme="minorEastAsia" w:hAnsi="Arial" w:cs="Arial"/>
          <w:b/>
          <w:bCs/>
          <w:noProof/>
          <w:color w:val="1074CB"/>
          <w:sz w:val="20"/>
        </w:rPr>
        <mc:AlternateContent>
          <mc:Choice Requires="wps">
            <w:drawing>
              <wp:anchor distT="4294967291" distB="4294967291" distL="114300" distR="114300" simplePos="0" relativeHeight="251666432" behindDoc="0" locked="0" layoutInCell="1" allowOverlap="1">
                <wp:simplePos x="0" y="0"/>
                <wp:positionH relativeFrom="column">
                  <wp:posOffset>6985</wp:posOffset>
                </wp:positionH>
                <wp:positionV relativeFrom="paragraph">
                  <wp:posOffset>46989</wp:posOffset>
                </wp:positionV>
                <wp:extent cx="5892800" cy="0"/>
                <wp:effectExtent l="0" t="0" r="12700" b="1905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pt,3.7pt" to="464.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bpFgIAACkEAAAOAAAAZHJzL2Uyb0RvYy54bWysU8GO2jAQvVfqP1i+QxIaWI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zjBTp&#10;QKMnoTiahNH0xhUQUamtDc3Rk3oxT5p+d0jpqiVqzyPF17OBtCxkJG9SwsUZKLDrv2gGMeTgdZzT&#10;qbFdgIQJoFOU43yTg588ovBzOl9M5imoRgdfQooh0VjnP3PdoWCUWALnCEyOT84HIqQYQkIdpTdC&#10;yqi2VKgv8WI6mcYEp6VgwRnCnN3vKmnRkcC+ZOlDXn2KXYHnPszqg2IRrOWEra+2J0JebCguVcCD&#10;VoDO1bosxI9FuljP1/N8lE9m61Ge1vXo46bKR7NN9jCtP9RVVWc/A7UsL1rBGFeB3bCcWf534l+f&#10;yWWtbut5G0PyFj3OC8gO30g6ahnkuyzCTrPz1g4awz7G4OvbCQt/fwf7/oWvfgEAAP//AwBQSwME&#10;FAAGAAgAAAAhANJD2OvZAAAABQEAAA8AAABkcnMvZG93bnJldi54bWxMjkFLw0AQhe+C/2EZwYu0&#10;m4aibcymiGgRetHYQ4/T7DQJZmdjdtvGf+/oRY8f7/Hel69G16kTDaH1bGA2TUARV962XBvYvj9P&#10;FqBCRLbYeSYDXxRgVVxe5JhZf+Y3OpWxVjLCIUMDTYx9pnWoGnIYpr4nluzgB4dRcKi1HfAs467T&#10;aZLcaocty0ODPT02VH2UR2fgiW/SQ3DJZj1H/1m+7l7Wm+3OmOur8eEeVKQx/pXhR1/UoRCnvT+y&#10;DaoTnknRwN0clKTLdCm8/2Vd5Pq/ffENAAD//wMAUEsBAi0AFAAGAAgAAAAhALaDOJL+AAAA4QEA&#10;ABMAAAAAAAAAAAAAAAAAAAAAAFtDb250ZW50X1R5cGVzXS54bWxQSwECLQAUAAYACAAAACEAOP0h&#10;/9YAAACUAQAACwAAAAAAAAAAAAAAAAAvAQAAX3JlbHMvLnJlbHNQSwECLQAUAAYACAAAACEA6rwW&#10;6RYCAAApBAAADgAAAAAAAAAAAAAAAAAuAgAAZHJzL2Uyb0RvYy54bWxQSwECLQAUAAYACAAAACEA&#10;0kPY69kAAAAFAQAADwAAAAAAAAAAAAAAAABwBAAAZHJzL2Rvd25yZXYueG1sUEsFBgAAAAAEAAQA&#10;8wAAAHYFAAAAAA==&#10;" strokecolor="#1074cb"/>
            </w:pict>
          </mc:Fallback>
        </mc:AlternateContent>
      </w:r>
    </w:p>
    <w:p w:rsidR="00BE2CB3" w:rsidRPr="00F43FD3" w:rsidRDefault="0053217D" w:rsidP="00BE2CB3">
      <w:pPr>
        <w:pStyle w:val="Heading1"/>
        <w:ind w:left="0" w:right="425" w:firstLine="0"/>
      </w:pPr>
      <w:r>
        <w:rPr>
          <w:rFonts w:ascii="Arial" w:hAnsi="Arial" w:cs="Arial"/>
          <w:color w:val="1074CB"/>
          <w:sz w:val="36"/>
          <w:szCs w:val="36"/>
        </w:rPr>
        <w:t xml:space="preserve">Substantial growth in </w:t>
      </w:r>
      <w:r w:rsidR="00AB385F">
        <w:rPr>
          <w:rFonts w:ascii="Arial" w:hAnsi="Arial" w:cs="Arial"/>
          <w:color w:val="1074CB"/>
          <w:sz w:val="36"/>
          <w:szCs w:val="36"/>
        </w:rPr>
        <w:t xml:space="preserve">UK </w:t>
      </w:r>
      <w:r>
        <w:rPr>
          <w:rFonts w:ascii="Arial" w:hAnsi="Arial" w:cs="Arial"/>
          <w:color w:val="1074CB"/>
          <w:sz w:val="36"/>
          <w:szCs w:val="36"/>
        </w:rPr>
        <w:t>CV production</w:t>
      </w:r>
    </w:p>
    <w:p w:rsidR="00BE2CB3" w:rsidRDefault="00BE2CB3" w:rsidP="00BE2CB3">
      <w:pPr>
        <w:rPr>
          <w:rFonts w:eastAsiaTheme="minorHAnsi"/>
        </w:rPr>
      </w:pPr>
      <w:r>
        <w:rPr>
          <w:rFonts w:cs="Times"/>
          <w:szCs w:val="24"/>
        </w:rPr>
        <w:t> </w:t>
      </w:r>
    </w:p>
    <w:p w:rsidR="00BE2CB3" w:rsidRPr="007B07B1" w:rsidRDefault="00A056DE" w:rsidP="00BE2CB3">
      <w:pPr>
        <w:numPr>
          <w:ilvl w:val="0"/>
          <w:numId w:val="6"/>
        </w:numPr>
        <w:spacing w:line="360" w:lineRule="auto"/>
        <w:rPr>
          <w:sz w:val="20"/>
        </w:rPr>
      </w:pPr>
      <w:r>
        <w:rPr>
          <w:rFonts w:ascii="Arial" w:hAnsi="Arial" w:cs="Arial"/>
          <w:sz w:val="20"/>
        </w:rPr>
        <w:t xml:space="preserve">UK </w:t>
      </w:r>
      <w:r w:rsidR="00AB385F">
        <w:rPr>
          <w:rFonts w:ascii="Arial" w:hAnsi="Arial" w:cs="Arial"/>
          <w:sz w:val="20"/>
        </w:rPr>
        <w:t>c</w:t>
      </w:r>
      <w:r w:rsidR="00FF0482">
        <w:rPr>
          <w:rFonts w:ascii="Arial" w:hAnsi="Arial" w:cs="Arial"/>
          <w:sz w:val="20"/>
        </w:rPr>
        <w:t xml:space="preserve">ommercial vehicle </w:t>
      </w:r>
      <w:r w:rsidR="00AB385F">
        <w:rPr>
          <w:rFonts w:ascii="Arial" w:hAnsi="Arial" w:cs="Arial"/>
          <w:sz w:val="20"/>
        </w:rPr>
        <w:t>manufacturing</w:t>
      </w:r>
      <w:r w:rsidR="00FF0482">
        <w:rPr>
          <w:rFonts w:ascii="Arial" w:hAnsi="Arial" w:cs="Arial"/>
          <w:sz w:val="20"/>
        </w:rPr>
        <w:t xml:space="preserve"> up 33.7% in February to 8,344 units</w:t>
      </w:r>
      <w:r w:rsidR="00730F8C">
        <w:rPr>
          <w:rFonts w:ascii="Arial" w:hAnsi="Arial" w:cs="Arial"/>
          <w:sz w:val="20"/>
        </w:rPr>
        <w:t>.</w:t>
      </w:r>
    </w:p>
    <w:p w:rsidR="00B01D92" w:rsidRPr="007B07B1" w:rsidRDefault="00AB385F" w:rsidP="00B01D92">
      <w:pPr>
        <w:numPr>
          <w:ilvl w:val="0"/>
          <w:numId w:val="6"/>
        </w:numPr>
        <w:spacing w:line="360" w:lineRule="auto"/>
        <w:rPr>
          <w:sz w:val="20"/>
        </w:rPr>
      </w:pPr>
      <w:r>
        <w:rPr>
          <w:rFonts w:ascii="Arial" w:hAnsi="Arial" w:cs="Arial"/>
          <w:sz w:val="20"/>
        </w:rPr>
        <w:t>Production</w:t>
      </w:r>
      <w:r w:rsidR="007E0099">
        <w:rPr>
          <w:rFonts w:ascii="Arial" w:hAnsi="Arial" w:cs="Arial"/>
          <w:sz w:val="20"/>
        </w:rPr>
        <w:t xml:space="preserve"> increases</w:t>
      </w:r>
      <w:r w:rsidR="00FF0482">
        <w:rPr>
          <w:rFonts w:ascii="Arial" w:hAnsi="Arial" w:cs="Arial"/>
          <w:sz w:val="20"/>
        </w:rPr>
        <w:t xml:space="preserve"> 6.5% in </w:t>
      </w:r>
      <w:r w:rsidR="007E0099">
        <w:rPr>
          <w:rFonts w:ascii="Arial" w:hAnsi="Arial" w:cs="Arial"/>
          <w:sz w:val="20"/>
        </w:rPr>
        <w:t>first two months of 2015</w:t>
      </w:r>
      <w:r w:rsidR="00FF0482">
        <w:rPr>
          <w:rFonts w:ascii="Arial" w:hAnsi="Arial" w:cs="Arial"/>
          <w:sz w:val="20"/>
        </w:rPr>
        <w:t>, with 13,787 CVs manufactured.</w:t>
      </w:r>
    </w:p>
    <w:p w:rsidR="00273FB1" w:rsidRPr="00273FB1" w:rsidRDefault="00FF0482" w:rsidP="00273FB1">
      <w:pPr>
        <w:numPr>
          <w:ilvl w:val="0"/>
          <w:numId w:val="6"/>
        </w:numPr>
        <w:spacing w:line="360" w:lineRule="auto"/>
        <w:rPr>
          <w:rFonts w:ascii="Arial" w:hAnsi="Arial" w:cs="Arial"/>
          <w:sz w:val="20"/>
        </w:rPr>
      </w:pPr>
      <w:r>
        <w:rPr>
          <w:rFonts w:ascii="Arial" w:hAnsi="Arial" w:cs="Arial"/>
          <w:sz w:val="20"/>
        </w:rPr>
        <w:t xml:space="preserve">Demand from domestic market drives sector </w:t>
      </w:r>
      <w:r w:rsidR="00AB385F">
        <w:rPr>
          <w:rFonts w:ascii="Arial" w:hAnsi="Arial" w:cs="Arial"/>
          <w:sz w:val="20"/>
        </w:rPr>
        <w:t>performance</w:t>
      </w:r>
      <w:r w:rsidR="007E0099">
        <w:rPr>
          <w:rFonts w:ascii="Arial" w:hAnsi="Arial" w:cs="Arial"/>
          <w:sz w:val="20"/>
        </w:rPr>
        <w:t>, buoyed by strong exports</w:t>
      </w:r>
      <w:r w:rsidR="00753D31">
        <w:rPr>
          <w:rFonts w:ascii="Arial" w:hAnsi="Arial" w:cs="Arial"/>
          <w:sz w:val="20"/>
        </w:rPr>
        <w:t>.</w:t>
      </w:r>
    </w:p>
    <w:p w:rsidR="00273FB1" w:rsidRDefault="00273FB1" w:rsidP="00037DBD">
      <w:pPr>
        <w:spacing w:line="276" w:lineRule="auto"/>
        <w:rPr>
          <w:rFonts w:ascii="Arial" w:hAnsi="Arial" w:cs="Arial"/>
          <w:sz w:val="20"/>
        </w:rPr>
      </w:pPr>
    </w:p>
    <w:p w:rsidR="00037DBD" w:rsidRDefault="00037DBD" w:rsidP="00037DBD">
      <w:pPr>
        <w:spacing w:line="276" w:lineRule="auto"/>
      </w:pPr>
      <w:r>
        <w:rPr>
          <w:rFonts w:ascii="Arial" w:hAnsi="Arial" w:cs="Arial"/>
          <w:sz w:val="20"/>
        </w:rPr>
        <w:t>"</w:t>
      </w:r>
      <w:r w:rsidR="007E0099">
        <w:rPr>
          <w:rFonts w:ascii="Arial" w:hAnsi="Arial" w:cs="Arial"/>
          <w:sz w:val="20"/>
        </w:rPr>
        <w:t>The</w:t>
      </w:r>
      <w:r w:rsidR="00D94654">
        <w:rPr>
          <w:rFonts w:ascii="Arial" w:hAnsi="Arial" w:cs="Arial"/>
          <w:sz w:val="20"/>
        </w:rPr>
        <w:t xml:space="preserve"> surge in output from</w:t>
      </w:r>
      <w:r w:rsidR="00A056DE">
        <w:rPr>
          <w:rFonts w:ascii="Arial" w:hAnsi="Arial" w:cs="Arial"/>
          <w:sz w:val="20"/>
        </w:rPr>
        <w:t xml:space="preserve"> UK commerc</w:t>
      </w:r>
      <w:r w:rsidR="007E0099">
        <w:rPr>
          <w:rFonts w:ascii="Arial" w:hAnsi="Arial" w:cs="Arial"/>
          <w:sz w:val="20"/>
        </w:rPr>
        <w:t>ial vehicl</w:t>
      </w:r>
      <w:r w:rsidR="00D94654">
        <w:rPr>
          <w:rFonts w:ascii="Arial" w:hAnsi="Arial" w:cs="Arial"/>
          <w:sz w:val="20"/>
        </w:rPr>
        <w:t>e manufacturers</w:t>
      </w:r>
      <w:r w:rsidR="007E0099">
        <w:rPr>
          <w:rFonts w:ascii="Arial" w:hAnsi="Arial" w:cs="Arial"/>
          <w:sz w:val="20"/>
        </w:rPr>
        <w:t xml:space="preserve"> in February</w:t>
      </w:r>
      <w:r w:rsidR="00A056DE">
        <w:rPr>
          <w:rFonts w:ascii="Arial" w:hAnsi="Arial" w:cs="Arial"/>
          <w:sz w:val="20"/>
        </w:rPr>
        <w:t xml:space="preserve"> has </w:t>
      </w:r>
      <w:r w:rsidR="00D94654">
        <w:rPr>
          <w:rFonts w:ascii="Arial" w:hAnsi="Arial" w:cs="Arial"/>
          <w:sz w:val="20"/>
        </w:rPr>
        <w:t>put the sector on a strong footing for the year ahead</w:t>
      </w:r>
      <w:r w:rsidR="007E0099">
        <w:rPr>
          <w:rFonts w:ascii="Arial" w:hAnsi="Arial" w:cs="Arial"/>
          <w:sz w:val="20"/>
        </w:rPr>
        <w:t>,</w:t>
      </w:r>
      <w:r>
        <w:rPr>
          <w:rFonts w:ascii="Arial" w:hAnsi="Arial" w:cs="Arial"/>
          <w:sz w:val="20"/>
        </w:rPr>
        <w:t>" said Mike Hawes, SMMT Chief Executive. "</w:t>
      </w:r>
      <w:r w:rsidR="00A056DE">
        <w:rPr>
          <w:rFonts w:ascii="Arial" w:hAnsi="Arial" w:cs="Arial"/>
          <w:sz w:val="20"/>
        </w:rPr>
        <w:t xml:space="preserve">Demand from the UK’s </w:t>
      </w:r>
      <w:r w:rsidR="00AB385F">
        <w:rPr>
          <w:rFonts w:ascii="Arial" w:hAnsi="Arial" w:cs="Arial"/>
          <w:sz w:val="20"/>
        </w:rPr>
        <w:t xml:space="preserve">prospering </w:t>
      </w:r>
      <w:r w:rsidR="00A056DE">
        <w:rPr>
          <w:rFonts w:ascii="Arial" w:hAnsi="Arial" w:cs="Arial"/>
          <w:sz w:val="20"/>
        </w:rPr>
        <w:t xml:space="preserve">domestic market </w:t>
      </w:r>
      <w:r w:rsidR="00D94654">
        <w:rPr>
          <w:rFonts w:ascii="Arial" w:hAnsi="Arial" w:cs="Arial"/>
          <w:sz w:val="20"/>
        </w:rPr>
        <w:t>is driving growth</w:t>
      </w:r>
      <w:r w:rsidR="00A056DE">
        <w:rPr>
          <w:rFonts w:ascii="Arial" w:hAnsi="Arial" w:cs="Arial"/>
          <w:sz w:val="20"/>
        </w:rPr>
        <w:t xml:space="preserve">, </w:t>
      </w:r>
      <w:r w:rsidR="00D94654">
        <w:rPr>
          <w:rFonts w:ascii="Arial" w:hAnsi="Arial" w:cs="Arial"/>
          <w:sz w:val="20"/>
        </w:rPr>
        <w:t>buoyed by a strong</w:t>
      </w:r>
      <w:r w:rsidR="00A056DE">
        <w:rPr>
          <w:rFonts w:ascii="Arial" w:hAnsi="Arial" w:cs="Arial"/>
          <w:sz w:val="20"/>
        </w:rPr>
        <w:t xml:space="preserve"> </w:t>
      </w:r>
      <w:r w:rsidR="00AB385F">
        <w:rPr>
          <w:rFonts w:ascii="Arial" w:hAnsi="Arial" w:cs="Arial"/>
          <w:sz w:val="20"/>
        </w:rPr>
        <w:t>appetite</w:t>
      </w:r>
      <w:r w:rsidR="00A056DE">
        <w:rPr>
          <w:rFonts w:ascii="Arial" w:hAnsi="Arial" w:cs="Arial"/>
          <w:sz w:val="20"/>
        </w:rPr>
        <w:t xml:space="preserve"> from overseas </w:t>
      </w:r>
      <w:r w:rsidR="00AB385F">
        <w:rPr>
          <w:rFonts w:ascii="Arial" w:hAnsi="Arial" w:cs="Arial"/>
          <w:sz w:val="20"/>
        </w:rPr>
        <w:t>buyers</w:t>
      </w:r>
      <w:r w:rsidR="00D94654">
        <w:rPr>
          <w:rFonts w:ascii="Arial" w:hAnsi="Arial" w:cs="Arial"/>
          <w:sz w:val="20"/>
        </w:rPr>
        <w:t xml:space="preserve">, </w:t>
      </w:r>
      <w:r w:rsidR="007E0099">
        <w:rPr>
          <w:rFonts w:ascii="Arial" w:hAnsi="Arial" w:cs="Arial"/>
          <w:sz w:val="20"/>
        </w:rPr>
        <w:t xml:space="preserve">with </w:t>
      </w:r>
      <w:r w:rsidR="00D94654">
        <w:rPr>
          <w:rFonts w:ascii="Arial" w:hAnsi="Arial" w:cs="Arial"/>
          <w:sz w:val="20"/>
        </w:rPr>
        <w:t>exports in February up</w:t>
      </w:r>
      <w:r w:rsidR="007E0099">
        <w:rPr>
          <w:rFonts w:ascii="Arial" w:hAnsi="Arial" w:cs="Arial"/>
          <w:sz w:val="20"/>
        </w:rPr>
        <w:t xml:space="preserve"> by more than 13% on the same month last year.</w:t>
      </w:r>
      <w:r w:rsidR="00990D33">
        <w:rPr>
          <w:rFonts w:ascii="Arial" w:hAnsi="Arial" w:cs="Arial"/>
          <w:sz w:val="20"/>
        </w:rPr>
        <w:t>”</w:t>
      </w:r>
      <w:r w:rsidR="00F43FD3">
        <w:rPr>
          <w:rFonts w:ascii="Arial" w:hAnsi="Arial" w:cs="Arial"/>
          <w:sz w:val="20"/>
        </w:rPr>
        <w:t xml:space="preserve"> </w:t>
      </w:r>
    </w:p>
    <w:p w:rsidR="00BE2CB3" w:rsidRDefault="00BE2CB3" w:rsidP="00BE2CB3"/>
    <w:tbl>
      <w:tblPr>
        <w:tblW w:w="9464" w:type="dxa"/>
        <w:tblCellMar>
          <w:left w:w="0" w:type="dxa"/>
          <w:right w:w="0" w:type="dxa"/>
        </w:tblCellMar>
        <w:tblLook w:val="04A0" w:firstRow="1" w:lastRow="0" w:firstColumn="1" w:lastColumn="0" w:noHBand="0" w:noVBand="1"/>
      </w:tblPr>
      <w:tblGrid>
        <w:gridCol w:w="2093"/>
        <w:gridCol w:w="1276"/>
        <w:gridCol w:w="1134"/>
        <w:gridCol w:w="1275"/>
        <w:gridCol w:w="1276"/>
        <w:gridCol w:w="1134"/>
        <w:gridCol w:w="1276"/>
      </w:tblGrid>
      <w:tr w:rsidR="00FF0482" w:rsidTr="00BE2CB3">
        <w:trPr>
          <w:trHeight w:val="270"/>
        </w:trPr>
        <w:tc>
          <w:tcPr>
            <w:tcW w:w="2093" w:type="dxa"/>
            <w:tcBorders>
              <w:top w:val="single" w:sz="8" w:space="0" w:color="4F81BD"/>
              <w:left w:val="single" w:sz="8" w:space="0" w:color="4F81BD"/>
              <w:bottom w:val="single" w:sz="8" w:space="0" w:color="4F81BD"/>
              <w:right w:val="single" w:sz="8" w:space="0" w:color="4F81BD"/>
            </w:tcBorders>
            <w:noWrap/>
            <w:tcMar>
              <w:top w:w="0" w:type="dxa"/>
              <w:left w:w="108" w:type="dxa"/>
              <w:bottom w:w="0" w:type="dxa"/>
              <w:right w:w="108" w:type="dxa"/>
            </w:tcMar>
            <w:hideMark/>
          </w:tcPr>
          <w:p w:rsidR="00FF0482" w:rsidRPr="00FF0482" w:rsidRDefault="00FF0482">
            <w:pPr>
              <w:jc w:val="center"/>
              <w:rPr>
                <w:rFonts w:ascii="Arial" w:hAnsi="Arial" w:cs="Arial"/>
                <w:b/>
                <w:color w:val="002060"/>
                <w:sz w:val="20"/>
              </w:rPr>
            </w:pPr>
            <w:r w:rsidRPr="00FF0482">
              <w:rPr>
                <w:rFonts w:ascii="Arial" w:hAnsi="Arial" w:cs="Arial"/>
                <w:b/>
                <w:color w:val="002060"/>
                <w:sz w:val="20"/>
              </w:rPr>
              <w:t>CV manufacturing</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center"/>
              <w:rPr>
                <w:rFonts w:ascii="Arial" w:hAnsi="Arial" w:cs="Arial"/>
                <w:b/>
                <w:color w:val="002060"/>
                <w:sz w:val="20"/>
              </w:rPr>
            </w:pPr>
            <w:r w:rsidRPr="00FF0482">
              <w:rPr>
                <w:rFonts w:ascii="Arial" w:hAnsi="Arial" w:cs="Arial"/>
                <w:b/>
                <w:color w:val="002060"/>
                <w:sz w:val="20"/>
              </w:rPr>
              <w:t>Feb-14</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center"/>
              <w:rPr>
                <w:rFonts w:ascii="Arial" w:hAnsi="Arial" w:cs="Arial"/>
                <w:b/>
                <w:color w:val="002060"/>
                <w:sz w:val="20"/>
              </w:rPr>
            </w:pPr>
            <w:r w:rsidRPr="00FF0482">
              <w:rPr>
                <w:rFonts w:ascii="Arial" w:hAnsi="Arial" w:cs="Arial"/>
                <w:b/>
                <w:color w:val="002060"/>
                <w:sz w:val="20"/>
              </w:rPr>
              <w:t>Feb-15</w:t>
            </w:r>
          </w:p>
        </w:tc>
        <w:tc>
          <w:tcPr>
            <w:tcW w:w="1275"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center"/>
              <w:rPr>
                <w:rFonts w:ascii="Arial" w:hAnsi="Arial" w:cs="Arial"/>
                <w:b/>
                <w:color w:val="002060"/>
                <w:sz w:val="20"/>
              </w:rPr>
            </w:pPr>
            <w:r w:rsidRPr="00FF0482">
              <w:rPr>
                <w:rFonts w:ascii="Arial" w:hAnsi="Arial" w:cs="Arial"/>
                <w:b/>
                <w:color w:val="002060"/>
                <w:sz w:val="20"/>
              </w:rPr>
              <w:t xml:space="preserve">% Change </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center"/>
              <w:rPr>
                <w:rFonts w:ascii="Arial" w:hAnsi="Arial" w:cs="Arial"/>
                <w:b/>
                <w:color w:val="002060"/>
                <w:sz w:val="20"/>
              </w:rPr>
            </w:pPr>
            <w:r w:rsidRPr="00FF0482">
              <w:rPr>
                <w:rFonts w:ascii="Arial" w:hAnsi="Arial" w:cs="Arial"/>
                <w:b/>
                <w:color w:val="002060"/>
                <w:sz w:val="20"/>
              </w:rPr>
              <w:t>YTD-14</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center"/>
              <w:rPr>
                <w:rFonts w:ascii="Arial" w:hAnsi="Arial" w:cs="Arial"/>
                <w:b/>
                <w:color w:val="002060"/>
                <w:sz w:val="20"/>
              </w:rPr>
            </w:pPr>
            <w:r w:rsidRPr="00FF0482">
              <w:rPr>
                <w:rFonts w:ascii="Arial" w:hAnsi="Arial" w:cs="Arial"/>
                <w:b/>
                <w:color w:val="002060"/>
                <w:sz w:val="20"/>
              </w:rPr>
              <w:t>YTD-15</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center"/>
              <w:rPr>
                <w:rFonts w:ascii="Arial" w:hAnsi="Arial" w:cs="Arial"/>
                <w:b/>
                <w:color w:val="002060"/>
                <w:sz w:val="20"/>
              </w:rPr>
            </w:pPr>
            <w:r w:rsidRPr="00FF0482">
              <w:rPr>
                <w:rFonts w:ascii="Arial" w:hAnsi="Arial" w:cs="Arial"/>
                <w:b/>
                <w:color w:val="002060"/>
                <w:sz w:val="20"/>
              </w:rPr>
              <w:t>% Change</w:t>
            </w:r>
          </w:p>
        </w:tc>
      </w:tr>
      <w:tr w:rsidR="00FF0482" w:rsidTr="00BE2CB3">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right"/>
              <w:rPr>
                <w:rFonts w:ascii="Arial" w:hAnsi="Arial" w:cs="Arial"/>
                <w:color w:val="002060"/>
                <w:sz w:val="20"/>
              </w:rPr>
            </w:pPr>
            <w:r w:rsidRPr="00FF0482">
              <w:rPr>
                <w:rFonts w:ascii="Arial" w:hAnsi="Arial" w:cs="Arial"/>
                <w:color w:val="002060"/>
                <w:sz w:val="20"/>
              </w:rPr>
              <w:t>Total</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right"/>
              <w:rPr>
                <w:rFonts w:ascii="Arial" w:hAnsi="Arial" w:cs="Arial"/>
                <w:color w:val="002060"/>
                <w:sz w:val="20"/>
              </w:rPr>
            </w:pPr>
            <w:r w:rsidRPr="00FF0482">
              <w:rPr>
                <w:rFonts w:ascii="Arial" w:hAnsi="Arial" w:cs="Arial"/>
                <w:color w:val="002060"/>
                <w:sz w:val="20"/>
              </w:rPr>
              <w:t>6,239</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right"/>
              <w:rPr>
                <w:rFonts w:ascii="Arial" w:hAnsi="Arial" w:cs="Arial"/>
                <w:color w:val="002060"/>
                <w:sz w:val="20"/>
              </w:rPr>
            </w:pPr>
            <w:r w:rsidRPr="00FF0482">
              <w:rPr>
                <w:rFonts w:ascii="Arial" w:hAnsi="Arial" w:cs="Arial"/>
                <w:color w:val="002060"/>
                <w:sz w:val="20"/>
              </w:rPr>
              <w:t>8,344</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right"/>
              <w:rPr>
                <w:rFonts w:ascii="Arial" w:hAnsi="Arial" w:cs="Arial"/>
                <w:color w:val="002060"/>
                <w:sz w:val="18"/>
                <w:szCs w:val="18"/>
              </w:rPr>
            </w:pPr>
            <w:r w:rsidRPr="00FF0482">
              <w:rPr>
                <w:rFonts w:ascii="Arial" w:hAnsi="Arial" w:cs="Arial"/>
                <w:color w:val="002060"/>
                <w:sz w:val="18"/>
                <w:szCs w:val="18"/>
              </w:rPr>
              <w:t>33.7%</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right"/>
              <w:rPr>
                <w:rFonts w:ascii="Arial" w:hAnsi="Arial" w:cs="Arial"/>
                <w:color w:val="002060"/>
                <w:sz w:val="20"/>
              </w:rPr>
            </w:pPr>
            <w:r w:rsidRPr="00FF0482">
              <w:rPr>
                <w:rFonts w:ascii="Arial" w:hAnsi="Arial" w:cs="Arial"/>
                <w:color w:val="002060"/>
                <w:sz w:val="20"/>
              </w:rPr>
              <w:t>12,946</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right"/>
              <w:rPr>
                <w:rFonts w:ascii="Arial" w:hAnsi="Arial" w:cs="Arial"/>
                <w:color w:val="002060"/>
                <w:sz w:val="20"/>
              </w:rPr>
            </w:pPr>
            <w:r w:rsidRPr="00FF0482">
              <w:rPr>
                <w:rFonts w:ascii="Arial" w:hAnsi="Arial" w:cs="Arial"/>
                <w:color w:val="002060"/>
                <w:sz w:val="20"/>
              </w:rPr>
              <w:t>13,787</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right"/>
              <w:rPr>
                <w:rFonts w:ascii="Arial" w:hAnsi="Arial" w:cs="Arial"/>
                <w:color w:val="002060"/>
                <w:sz w:val="18"/>
                <w:szCs w:val="18"/>
              </w:rPr>
            </w:pPr>
            <w:r w:rsidRPr="00FF0482">
              <w:rPr>
                <w:rFonts w:ascii="Arial" w:hAnsi="Arial" w:cs="Arial"/>
                <w:color w:val="002060"/>
                <w:sz w:val="18"/>
                <w:szCs w:val="18"/>
              </w:rPr>
              <w:t>6.5%</w:t>
            </w:r>
          </w:p>
        </w:tc>
      </w:tr>
      <w:tr w:rsidR="00FF0482" w:rsidTr="00BE2CB3">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right"/>
              <w:rPr>
                <w:rFonts w:ascii="Arial" w:hAnsi="Arial" w:cs="Arial"/>
                <w:color w:val="002060"/>
                <w:sz w:val="20"/>
              </w:rPr>
            </w:pPr>
            <w:r w:rsidRPr="00FF0482">
              <w:rPr>
                <w:rFonts w:ascii="Arial" w:hAnsi="Arial" w:cs="Arial"/>
                <w:color w:val="002060"/>
                <w:sz w:val="20"/>
              </w:rPr>
              <w:t>Home</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right"/>
              <w:rPr>
                <w:rFonts w:ascii="Arial" w:hAnsi="Arial" w:cs="Arial"/>
                <w:color w:val="002060"/>
                <w:sz w:val="20"/>
              </w:rPr>
            </w:pPr>
            <w:r w:rsidRPr="00FF0482">
              <w:rPr>
                <w:rFonts w:ascii="Arial" w:hAnsi="Arial" w:cs="Arial"/>
                <w:color w:val="002060"/>
                <w:sz w:val="20"/>
              </w:rPr>
              <w:t>2,967</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right"/>
              <w:rPr>
                <w:rFonts w:ascii="Arial" w:hAnsi="Arial" w:cs="Arial"/>
                <w:color w:val="002060"/>
                <w:sz w:val="20"/>
              </w:rPr>
            </w:pPr>
            <w:r w:rsidRPr="00FF0482">
              <w:rPr>
                <w:rFonts w:ascii="Arial" w:hAnsi="Arial" w:cs="Arial"/>
                <w:color w:val="002060"/>
                <w:sz w:val="20"/>
              </w:rPr>
              <w:t>4,632</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right"/>
              <w:rPr>
                <w:rFonts w:ascii="Arial" w:hAnsi="Arial" w:cs="Arial"/>
                <w:color w:val="002060"/>
                <w:sz w:val="18"/>
                <w:szCs w:val="18"/>
              </w:rPr>
            </w:pPr>
            <w:r w:rsidRPr="00FF0482">
              <w:rPr>
                <w:rFonts w:ascii="Arial" w:hAnsi="Arial" w:cs="Arial"/>
                <w:color w:val="002060"/>
                <w:sz w:val="18"/>
                <w:szCs w:val="18"/>
              </w:rPr>
              <w:t>56.1%</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right"/>
              <w:rPr>
                <w:rFonts w:ascii="Arial" w:hAnsi="Arial" w:cs="Arial"/>
                <w:color w:val="002060"/>
                <w:sz w:val="20"/>
              </w:rPr>
            </w:pPr>
            <w:r w:rsidRPr="00FF0482">
              <w:rPr>
                <w:rFonts w:ascii="Arial" w:hAnsi="Arial" w:cs="Arial"/>
                <w:color w:val="002060"/>
                <w:sz w:val="20"/>
              </w:rPr>
              <w:t>6,438</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right"/>
              <w:rPr>
                <w:rFonts w:ascii="Arial" w:hAnsi="Arial" w:cs="Arial"/>
                <w:color w:val="002060"/>
                <w:sz w:val="20"/>
              </w:rPr>
            </w:pPr>
            <w:r w:rsidRPr="00FF0482">
              <w:rPr>
                <w:rFonts w:ascii="Arial" w:hAnsi="Arial" w:cs="Arial"/>
                <w:color w:val="002060"/>
                <w:sz w:val="20"/>
              </w:rPr>
              <w:t>7,973</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right"/>
              <w:rPr>
                <w:rFonts w:ascii="Arial" w:hAnsi="Arial" w:cs="Arial"/>
                <w:color w:val="002060"/>
                <w:sz w:val="18"/>
                <w:szCs w:val="18"/>
              </w:rPr>
            </w:pPr>
            <w:r w:rsidRPr="00FF0482">
              <w:rPr>
                <w:rFonts w:ascii="Arial" w:hAnsi="Arial" w:cs="Arial"/>
                <w:color w:val="002060"/>
                <w:sz w:val="18"/>
                <w:szCs w:val="18"/>
              </w:rPr>
              <w:t>23.8%</w:t>
            </w:r>
          </w:p>
        </w:tc>
      </w:tr>
      <w:tr w:rsidR="00FF0482" w:rsidTr="00BE2CB3">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right"/>
              <w:rPr>
                <w:rFonts w:ascii="Arial" w:hAnsi="Arial" w:cs="Arial"/>
                <w:color w:val="002060"/>
                <w:sz w:val="20"/>
              </w:rPr>
            </w:pPr>
            <w:r w:rsidRPr="00FF0482">
              <w:rPr>
                <w:rFonts w:ascii="Arial" w:hAnsi="Arial" w:cs="Arial"/>
                <w:color w:val="002060"/>
                <w:sz w:val="20"/>
              </w:rPr>
              <w:t>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right"/>
              <w:rPr>
                <w:rFonts w:ascii="Arial" w:hAnsi="Arial" w:cs="Arial"/>
                <w:color w:val="002060"/>
                <w:sz w:val="20"/>
              </w:rPr>
            </w:pPr>
            <w:r w:rsidRPr="00FF0482">
              <w:rPr>
                <w:rFonts w:ascii="Arial" w:hAnsi="Arial" w:cs="Arial"/>
                <w:color w:val="002060"/>
                <w:sz w:val="20"/>
              </w:rPr>
              <w:t>3,272</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right"/>
              <w:rPr>
                <w:rFonts w:ascii="Arial" w:hAnsi="Arial" w:cs="Arial"/>
                <w:color w:val="002060"/>
                <w:sz w:val="20"/>
              </w:rPr>
            </w:pPr>
            <w:r w:rsidRPr="00FF0482">
              <w:rPr>
                <w:rFonts w:ascii="Arial" w:hAnsi="Arial" w:cs="Arial"/>
                <w:color w:val="002060"/>
                <w:sz w:val="20"/>
              </w:rPr>
              <w:t>3,712</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right"/>
              <w:rPr>
                <w:rFonts w:ascii="Arial" w:hAnsi="Arial" w:cs="Arial"/>
                <w:color w:val="002060"/>
                <w:sz w:val="18"/>
                <w:szCs w:val="18"/>
              </w:rPr>
            </w:pPr>
            <w:r w:rsidRPr="00FF0482">
              <w:rPr>
                <w:rFonts w:ascii="Arial" w:hAnsi="Arial" w:cs="Arial"/>
                <w:color w:val="002060"/>
                <w:sz w:val="18"/>
                <w:szCs w:val="18"/>
              </w:rPr>
              <w:t>13.4%</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right"/>
              <w:rPr>
                <w:rFonts w:ascii="Arial" w:hAnsi="Arial" w:cs="Arial"/>
                <w:color w:val="002060"/>
                <w:sz w:val="20"/>
              </w:rPr>
            </w:pPr>
            <w:r w:rsidRPr="00FF0482">
              <w:rPr>
                <w:rFonts w:ascii="Arial" w:hAnsi="Arial" w:cs="Arial"/>
                <w:color w:val="002060"/>
                <w:sz w:val="20"/>
              </w:rPr>
              <w:t>6,508</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right"/>
              <w:rPr>
                <w:rFonts w:ascii="Arial" w:hAnsi="Arial" w:cs="Arial"/>
                <w:color w:val="002060"/>
                <w:sz w:val="20"/>
              </w:rPr>
            </w:pPr>
            <w:r w:rsidRPr="00FF0482">
              <w:rPr>
                <w:rFonts w:ascii="Arial" w:hAnsi="Arial" w:cs="Arial"/>
                <w:color w:val="002060"/>
                <w:sz w:val="20"/>
              </w:rPr>
              <w:t>5,814</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right"/>
              <w:rPr>
                <w:rFonts w:ascii="Arial" w:hAnsi="Arial" w:cs="Arial"/>
                <w:color w:val="002060"/>
                <w:sz w:val="18"/>
                <w:szCs w:val="18"/>
              </w:rPr>
            </w:pPr>
            <w:r w:rsidRPr="00FF0482">
              <w:rPr>
                <w:rFonts w:ascii="Arial" w:hAnsi="Arial" w:cs="Arial"/>
                <w:color w:val="002060"/>
                <w:sz w:val="18"/>
                <w:szCs w:val="18"/>
              </w:rPr>
              <w:t>-10.7%</w:t>
            </w:r>
          </w:p>
        </w:tc>
      </w:tr>
      <w:tr w:rsidR="00FF0482" w:rsidTr="00BE2CB3">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right"/>
              <w:rPr>
                <w:rFonts w:ascii="Arial" w:hAnsi="Arial" w:cs="Arial"/>
                <w:color w:val="002060"/>
                <w:sz w:val="20"/>
              </w:rPr>
            </w:pPr>
            <w:r w:rsidRPr="00FF0482">
              <w:rPr>
                <w:rFonts w:ascii="Arial" w:hAnsi="Arial" w:cs="Arial"/>
                <w:color w:val="002060"/>
                <w:sz w:val="20"/>
              </w:rPr>
              <w:t>% 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right"/>
              <w:rPr>
                <w:rFonts w:ascii="Arial" w:hAnsi="Arial" w:cs="Arial"/>
                <w:color w:val="002060"/>
                <w:sz w:val="20"/>
              </w:rPr>
            </w:pPr>
            <w:r w:rsidRPr="00FF0482">
              <w:rPr>
                <w:rFonts w:ascii="Arial" w:hAnsi="Arial" w:cs="Arial"/>
                <w:color w:val="002060"/>
                <w:sz w:val="20"/>
              </w:rPr>
              <w:t>52.4%</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right"/>
              <w:rPr>
                <w:rFonts w:ascii="Arial" w:hAnsi="Arial" w:cs="Arial"/>
                <w:color w:val="002060"/>
                <w:sz w:val="20"/>
              </w:rPr>
            </w:pPr>
            <w:r w:rsidRPr="00FF0482">
              <w:rPr>
                <w:rFonts w:ascii="Arial" w:hAnsi="Arial" w:cs="Arial"/>
                <w:color w:val="002060"/>
                <w:sz w:val="20"/>
              </w:rPr>
              <w:t>44.5%</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right"/>
              <w:rPr>
                <w:rFonts w:ascii="Arial" w:hAnsi="Arial" w:cs="Arial"/>
                <w:color w:val="002060"/>
                <w:sz w:val="20"/>
              </w:rPr>
            </w:pPr>
            <w:r w:rsidRPr="00FF0482">
              <w:rPr>
                <w:rFonts w:ascii="Arial" w:hAnsi="Arial" w:cs="Arial"/>
                <w:color w:val="002060"/>
                <w:sz w:val="20"/>
              </w:rPr>
              <w:t> </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right"/>
              <w:rPr>
                <w:rFonts w:ascii="Arial" w:hAnsi="Arial" w:cs="Arial"/>
                <w:color w:val="002060"/>
                <w:sz w:val="20"/>
              </w:rPr>
            </w:pPr>
            <w:r w:rsidRPr="00FF0482">
              <w:rPr>
                <w:rFonts w:ascii="Arial" w:hAnsi="Arial" w:cs="Arial"/>
                <w:color w:val="002060"/>
                <w:sz w:val="20"/>
              </w:rPr>
              <w:t>50.3%</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right"/>
              <w:rPr>
                <w:rFonts w:ascii="Arial" w:hAnsi="Arial" w:cs="Arial"/>
                <w:color w:val="002060"/>
                <w:sz w:val="20"/>
              </w:rPr>
            </w:pPr>
            <w:r w:rsidRPr="00FF0482">
              <w:rPr>
                <w:rFonts w:ascii="Arial" w:hAnsi="Arial" w:cs="Arial"/>
                <w:color w:val="002060"/>
                <w:sz w:val="20"/>
              </w:rPr>
              <w:t>42.2%</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FF0482" w:rsidRPr="00FF0482" w:rsidRDefault="00FF0482">
            <w:pPr>
              <w:jc w:val="right"/>
              <w:rPr>
                <w:rFonts w:ascii="Arial" w:hAnsi="Arial" w:cs="Arial"/>
                <w:color w:val="002060"/>
                <w:sz w:val="20"/>
              </w:rPr>
            </w:pPr>
            <w:r w:rsidRPr="00FF0482">
              <w:rPr>
                <w:rFonts w:ascii="Arial" w:hAnsi="Arial" w:cs="Arial"/>
                <w:color w:val="002060"/>
                <w:sz w:val="20"/>
              </w:rPr>
              <w:t> </w:t>
            </w:r>
          </w:p>
        </w:tc>
      </w:tr>
    </w:tbl>
    <w:p w:rsidR="00142AE3" w:rsidRPr="00325254" w:rsidRDefault="00142AE3" w:rsidP="00142AE3">
      <w:pPr>
        <w:rPr>
          <w:rFonts w:ascii="Arial" w:hAnsi="Arial" w:cs="Arial"/>
          <w:b/>
          <w:color w:val="0D2255"/>
          <w:sz w:val="20"/>
        </w:rPr>
      </w:pPr>
    </w:p>
    <w:p w:rsidR="00142AE3" w:rsidRDefault="00142AE3" w:rsidP="00142AE3">
      <w:pPr>
        <w:rPr>
          <w:rFonts w:ascii="Arial" w:hAnsi="Arial" w:cs="Arial"/>
          <w:b/>
          <w:color w:val="0D2255"/>
          <w:sz w:val="20"/>
        </w:rPr>
      </w:pPr>
      <w:r w:rsidRPr="00325254">
        <w:rPr>
          <w:rFonts w:ascii="Arial" w:hAnsi="Arial" w:cs="Arial"/>
          <w:b/>
          <w:color w:val="0D2255"/>
          <w:sz w:val="20"/>
        </w:rPr>
        <w:t xml:space="preserve">CV output </w:t>
      </w:r>
      <w:r w:rsidR="001F21A2">
        <w:rPr>
          <w:rFonts w:ascii="Arial" w:hAnsi="Arial" w:cs="Arial"/>
          <w:b/>
          <w:color w:val="0D2255"/>
          <w:sz w:val="20"/>
        </w:rPr>
        <w:t xml:space="preserve">– </w:t>
      </w:r>
      <w:r w:rsidRPr="00325254">
        <w:rPr>
          <w:rFonts w:ascii="Arial" w:hAnsi="Arial" w:cs="Arial"/>
          <w:b/>
          <w:color w:val="0D2255"/>
          <w:sz w:val="20"/>
        </w:rPr>
        <w:t>rolling year to</w:t>
      </w:r>
      <w:r w:rsidR="001F21A2">
        <w:rPr>
          <w:rFonts w:ascii="Arial" w:hAnsi="Arial" w:cs="Arial"/>
          <w:b/>
          <w:color w:val="0D2255"/>
          <w:sz w:val="20"/>
        </w:rPr>
        <w:t>tal</w:t>
      </w:r>
      <w:r w:rsidR="001F21A2">
        <w:rPr>
          <w:rFonts w:ascii="Arial" w:hAnsi="Arial" w:cs="Arial"/>
          <w:b/>
          <w:color w:val="0D2255"/>
          <w:sz w:val="20"/>
        </w:rPr>
        <w:tab/>
      </w:r>
      <w:r w:rsidR="001F21A2">
        <w:rPr>
          <w:rFonts w:ascii="Arial" w:hAnsi="Arial" w:cs="Arial"/>
          <w:b/>
          <w:color w:val="0D2255"/>
          <w:sz w:val="20"/>
        </w:rPr>
        <w:tab/>
        <w:t xml:space="preserve">       </w:t>
      </w:r>
      <w:r w:rsidR="001F21A2">
        <w:rPr>
          <w:rFonts w:ascii="Arial" w:hAnsi="Arial" w:cs="Arial"/>
          <w:b/>
          <w:color w:val="0D2255"/>
          <w:sz w:val="20"/>
        </w:rPr>
        <w:tab/>
        <w:t xml:space="preserve">         </w:t>
      </w:r>
      <w:r w:rsidR="00687C4A">
        <w:rPr>
          <w:rFonts w:ascii="Arial" w:hAnsi="Arial" w:cs="Arial"/>
          <w:b/>
          <w:color w:val="0D2255"/>
          <w:sz w:val="20"/>
        </w:rPr>
        <w:t>CV output year-to-date</w:t>
      </w:r>
    </w:p>
    <w:p w:rsidR="00A93760" w:rsidRDefault="00A93760" w:rsidP="00142AE3">
      <w:pPr>
        <w:rPr>
          <w:rFonts w:ascii="Arial" w:hAnsi="Arial" w:cs="Arial"/>
          <w:b/>
          <w:color w:val="0D2255"/>
          <w:sz w:val="20"/>
        </w:rPr>
      </w:pPr>
    </w:p>
    <w:p w:rsidR="000B47D6" w:rsidRPr="00247A08" w:rsidRDefault="00687C4A" w:rsidP="00C4074C">
      <w:pPr>
        <w:rPr>
          <w:rFonts w:ascii="Arial" w:hAnsi="Arial" w:cs="Arial"/>
          <w:b/>
          <w:color w:val="0D2255"/>
          <w:sz w:val="20"/>
        </w:rPr>
      </w:pPr>
      <w:r>
        <w:rPr>
          <w:noProof/>
        </w:rPr>
        <w:drawing>
          <wp:inline distT="0" distB="0" distL="0" distR="0" wp14:anchorId="3F4D3C65" wp14:editId="16F1CE9C">
            <wp:extent cx="3006547" cy="2523744"/>
            <wp:effectExtent l="0" t="0" r="381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93760">
        <w:rPr>
          <w:rFonts w:ascii="Arial" w:hAnsi="Arial" w:cs="Arial"/>
          <w:b/>
          <w:color w:val="0D2255"/>
          <w:sz w:val="20"/>
        </w:rPr>
        <w:t xml:space="preserve">         </w:t>
      </w:r>
      <w:r>
        <w:rPr>
          <w:noProof/>
        </w:rPr>
        <w:drawing>
          <wp:inline distT="0" distB="0" distL="0" distR="0" wp14:anchorId="512A60D3" wp14:editId="61D156FE">
            <wp:extent cx="2560320" cy="2523744"/>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sectPr w:rsidR="000B47D6" w:rsidRPr="00247A08" w:rsidSect="00A72CAD">
      <w:headerReference w:type="default" r:id="rId11"/>
      <w:foot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3AC" w:rsidRDefault="00FD03AC" w:rsidP="00C80E70">
      <w:r>
        <w:separator/>
      </w:r>
    </w:p>
  </w:endnote>
  <w:endnote w:type="continuationSeparator" w:id="0">
    <w:p w:rsidR="00FD03AC" w:rsidRDefault="00FD03AC" w:rsidP="00C8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AC" w:rsidRPr="00853E71" w:rsidRDefault="00FD03AC" w:rsidP="007A1EAA">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FD03AC" w:rsidRPr="00853E71" w:rsidRDefault="00FD03AC" w:rsidP="007A1EA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FD03AC" w:rsidRPr="00853E71" w:rsidRDefault="00FD03AC" w:rsidP="007A1EAA">
    <w:pPr>
      <w:spacing w:afterAutospacing="1"/>
      <w:contextualSpacing/>
      <w:rPr>
        <w:rFonts w:ascii="Arial" w:eastAsia="Times New Roman" w:hAnsi="Arial" w:cs="Arial"/>
        <w:color w:val="1074CB"/>
        <w:sz w:val="16"/>
        <w:szCs w:val="16"/>
      </w:rPr>
    </w:pPr>
  </w:p>
  <w:p w:rsidR="00FD03AC" w:rsidRPr="00853E71" w:rsidRDefault="00FD03AC" w:rsidP="007A1EA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FD03AC" w:rsidRPr="00853E71" w:rsidRDefault="00FD03AC" w:rsidP="007A1EAA">
    <w:pPr>
      <w:spacing w:afterAutospacing="1"/>
      <w:contextualSpacing/>
      <w:rPr>
        <w:rFonts w:ascii="Arial" w:eastAsia="Times New Roman" w:hAnsi="Arial" w:cs="Arial"/>
        <w:color w:val="1074CB"/>
        <w:sz w:val="16"/>
        <w:szCs w:val="16"/>
      </w:rPr>
    </w:pPr>
  </w:p>
  <w:p w:rsidR="00FD03AC" w:rsidRPr="00853E71" w:rsidRDefault="00FD03AC" w:rsidP="007A1EAA">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FD03AC" w:rsidRPr="00853E71" w:rsidRDefault="00FD03AC" w:rsidP="007A1EAA">
    <w:pPr>
      <w:spacing w:afterAutospacing="1"/>
      <w:contextualSpacing/>
      <w:rPr>
        <w:rFonts w:ascii="Arial" w:eastAsia="Times New Roman" w:hAnsi="Arial" w:cs="Arial"/>
        <w:color w:val="1074CB"/>
        <w:sz w:val="16"/>
        <w:szCs w:val="16"/>
      </w:rPr>
    </w:pPr>
  </w:p>
  <w:p w:rsidR="00FD03AC" w:rsidRPr="00853E71" w:rsidRDefault="00FD03AC" w:rsidP="007A1EAA">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FD03AC" w:rsidRPr="00853E71" w:rsidRDefault="00FD03AC" w:rsidP="007A1EAA">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FD03AC" w:rsidRDefault="00FD03AC" w:rsidP="00B94DB1">
    <w:pPr>
      <w:rPr>
        <w:rFonts w:ascii="Arial" w:eastAsia="Times New Roman" w:hAnsi="Arial" w:cs="Arial"/>
        <w:color w:val="1074CB"/>
        <w:sz w:val="16"/>
        <w:szCs w:val="16"/>
      </w:rPr>
    </w:pPr>
    <w:r>
      <w:rPr>
        <w:rFonts w:ascii="Arial" w:eastAsia="Times New Roman" w:hAnsi="Arial" w:cs="Arial"/>
        <w:color w:val="1074CB"/>
        <w:sz w:val="16"/>
        <w:szCs w:val="16"/>
      </w:rPr>
      <w:t>Ben Foulds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020 7344 9222</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2" w:history="1">
      <w:r w:rsidRPr="00F56359">
        <w:rPr>
          <w:rStyle w:val="Hyperlink"/>
          <w:rFonts w:ascii="Arial" w:eastAsia="Times New Roman" w:hAnsi="Arial" w:cs="Arial"/>
          <w:sz w:val="16"/>
          <w:szCs w:val="16"/>
        </w:rPr>
        <w:t>bfoulds@smmt.co.uk</w:t>
      </w:r>
    </w:hyperlink>
    <w:r>
      <w:rPr>
        <w:rFonts w:ascii="Arial" w:eastAsia="Times New Roman" w:hAnsi="Arial" w:cs="Arial"/>
        <w:color w:val="1074CB"/>
        <w:sz w:val="16"/>
        <w:szCs w:val="16"/>
      </w:rPr>
      <w:t xml:space="preserve"> </w:t>
    </w:r>
  </w:p>
  <w:p w:rsidR="00FD03AC" w:rsidRPr="00430DCC" w:rsidRDefault="00FD03AC" w:rsidP="00B94DB1">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3" w:history="1">
      <w:r w:rsidRPr="00120B6E">
        <w:rPr>
          <w:rStyle w:val="Hyperlink"/>
          <w:rFonts w:ascii="Arial" w:eastAsia="Times New Roman" w:hAnsi="Arial" w:cs="Arial"/>
          <w:sz w:val="16"/>
          <w:szCs w:val="16"/>
        </w:rPr>
        <w:t>amichaelides@smmt.co.uk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3AC" w:rsidRDefault="00FD03AC" w:rsidP="00C80E70">
      <w:r>
        <w:separator/>
      </w:r>
    </w:p>
  </w:footnote>
  <w:footnote w:type="continuationSeparator" w:id="0">
    <w:p w:rsidR="00FD03AC" w:rsidRDefault="00FD03AC" w:rsidP="00C80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AC" w:rsidRDefault="00FD03AC"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70"/>
    <w:rsid w:val="0001774D"/>
    <w:rsid w:val="00017BE7"/>
    <w:rsid w:val="000376DA"/>
    <w:rsid w:val="00037DBD"/>
    <w:rsid w:val="00040399"/>
    <w:rsid w:val="00054E31"/>
    <w:rsid w:val="00055008"/>
    <w:rsid w:val="00066F55"/>
    <w:rsid w:val="0008241D"/>
    <w:rsid w:val="00096A24"/>
    <w:rsid w:val="000B47D6"/>
    <w:rsid w:val="000C3FDE"/>
    <w:rsid w:val="000E5317"/>
    <w:rsid w:val="000E71FB"/>
    <w:rsid w:val="00110120"/>
    <w:rsid w:val="00116666"/>
    <w:rsid w:val="00121C86"/>
    <w:rsid w:val="00125D19"/>
    <w:rsid w:val="00133B87"/>
    <w:rsid w:val="0013617E"/>
    <w:rsid w:val="00142AE3"/>
    <w:rsid w:val="0014558C"/>
    <w:rsid w:val="001737CD"/>
    <w:rsid w:val="0017616F"/>
    <w:rsid w:val="00187E2B"/>
    <w:rsid w:val="00192CE4"/>
    <w:rsid w:val="00197C2C"/>
    <w:rsid w:val="001A1B4A"/>
    <w:rsid w:val="001A67B5"/>
    <w:rsid w:val="001B2FFA"/>
    <w:rsid w:val="001C389E"/>
    <w:rsid w:val="001D6CB9"/>
    <w:rsid w:val="001E2638"/>
    <w:rsid w:val="001E33CE"/>
    <w:rsid w:val="001E428D"/>
    <w:rsid w:val="001F079E"/>
    <w:rsid w:val="001F21A2"/>
    <w:rsid w:val="001F7274"/>
    <w:rsid w:val="00200A18"/>
    <w:rsid w:val="00200F65"/>
    <w:rsid w:val="00201A40"/>
    <w:rsid w:val="0020649D"/>
    <w:rsid w:val="00207B1F"/>
    <w:rsid w:val="00215AA6"/>
    <w:rsid w:val="00235019"/>
    <w:rsid w:val="00247A08"/>
    <w:rsid w:val="00252DCB"/>
    <w:rsid w:val="00263E82"/>
    <w:rsid w:val="00266A9A"/>
    <w:rsid w:val="00273FB1"/>
    <w:rsid w:val="002777B2"/>
    <w:rsid w:val="002A5934"/>
    <w:rsid w:val="002B4F7D"/>
    <w:rsid w:val="002C400E"/>
    <w:rsid w:val="002D17AA"/>
    <w:rsid w:val="002D6C6E"/>
    <w:rsid w:val="002F3F25"/>
    <w:rsid w:val="002F73AF"/>
    <w:rsid w:val="00325254"/>
    <w:rsid w:val="003372F6"/>
    <w:rsid w:val="00361AC4"/>
    <w:rsid w:val="00375DF8"/>
    <w:rsid w:val="003A0F07"/>
    <w:rsid w:val="003A3777"/>
    <w:rsid w:val="003B1C39"/>
    <w:rsid w:val="003C76B4"/>
    <w:rsid w:val="003D5459"/>
    <w:rsid w:val="003E4D46"/>
    <w:rsid w:val="003E69D3"/>
    <w:rsid w:val="003F69E6"/>
    <w:rsid w:val="00410539"/>
    <w:rsid w:val="00427213"/>
    <w:rsid w:val="00430DCC"/>
    <w:rsid w:val="00440369"/>
    <w:rsid w:val="00443FDD"/>
    <w:rsid w:val="00447CDA"/>
    <w:rsid w:val="004512F2"/>
    <w:rsid w:val="00456EBB"/>
    <w:rsid w:val="00464583"/>
    <w:rsid w:val="0046552A"/>
    <w:rsid w:val="00467D20"/>
    <w:rsid w:val="00471965"/>
    <w:rsid w:val="00472D14"/>
    <w:rsid w:val="00482D22"/>
    <w:rsid w:val="00486897"/>
    <w:rsid w:val="00494E5E"/>
    <w:rsid w:val="004B63BC"/>
    <w:rsid w:val="004B7047"/>
    <w:rsid w:val="004B723F"/>
    <w:rsid w:val="004B727E"/>
    <w:rsid w:val="004B7D45"/>
    <w:rsid w:val="004C6418"/>
    <w:rsid w:val="004C6507"/>
    <w:rsid w:val="004D2D65"/>
    <w:rsid w:val="004D592D"/>
    <w:rsid w:val="004F53F5"/>
    <w:rsid w:val="00505C8C"/>
    <w:rsid w:val="005068D3"/>
    <w:rsid w:val="005218AC"/>
    <w:rsid w:val="005230CA"/>
    <w:rsid w:val="0053217D"/>
    <w:rsid w:val="005407A6"/>
    <w:rsid w:val="00542422"/>
    <w:rsid w:val="00545182"/>
    <w:rsid w:val="00545EE2"/>
    <w:rsid w:val="005534B2"/>
    <w:rsid w:val="0055683E"/>
    <w:rsid w:val="005621BD"/>
    <w:rsid w:val="00567F13"/>
    <w:rsid w:val="00577A32"/>
    <w:rsid w:val="005926DF"/>
    <w:rsid w:val="005B33EF"/>
    <w:rsid w:val="005B536B"/>
    <w:rsid w:val="005C1474"/>
    <w:rsid w:val="005C668F"/>
    <w:rsid w:val="005D2BA5"/>
    <w:rsid w:val="005E2C9D"/>
    <w:rsid w:val="005F44DC"/>
    <w:rsid w:val="00603DD8"/>
    <w:rsid w:val="0060762E"/>
    <w:rsid w:val="00614891"/>
    <w:rsid w:val="00626F3D"/>
    <w:rsid w:val="006315A6"/>
    <w:rsid w:val="0063394A"/>
    <w:rsid w:val="006364F0"/>
    <w:rsid w:val="00652DC2"/>
    <w:rsid w:val="00653F42"/>
    <w:rsid w:val="0066216E"/>
    <w:rsid w:val="006623D6"/>
    <w:rsid w:val="006767F4"/>
    <w:rsid w:val="00686576"/>
    <w:rsid w:val="00687C4A"/>
    <w:rsid w:val="00696C6A"/>
    <w:rsid w:val="006B0F16"/>
    <w:rsid w:val="006B3606"/>
    <w:rsid w:val="006B4C72"/>
    <w:rsid w:val="006B7F8A"/>
    <w:rsid w:val="006C63D3"/>
    <w:rsid w:val="006D538E"/>
    <w:rsid w:val="006E5BF9"/>
    <w:rsid w:val="006F7AF9"/>
    <w:rsid w:val="00703767"/>
    <w:rsid w:val="00714EF7"/>
    <w:rsid w:val="00730F8C"/>
    <w:rsid w:val="00735C0B"/>
    <w:rsid w:val="00736FB6"/>
    <w:rsid w:val="0073709A"/>
    <w:rsid w:val="007430A2"/>
    <w:rsid w:val="007433FE"/>
    <w:rsid w:val="00750A6C"/>
    <w:rsid w:val="00753D31"/>
    <w:rsid w:val="00761183"/>
    <w:rsid w:val="00767145"/>
    <w:rsid w:val="00771A60"/>
    <w:rsid w:val="007851A1"/>
    <w:rsid w:val="00787B6E"/>
    <w:rsid w:val="00791C3D"/>
    <w:rsid w:val="007A1EAA"/>
    <w:rsid w:val="007B07B1"/>
    <w:rsid w:val="007B7669"/>
    <w:rsid w:val="007D36B3"/>
    <w:rsid w:val="007E0099"/>
    <w:rsid w:val="00800A86"/>
    <w:rsid w:val="008030A3"/>
    <w:rsid w:val="00804C47"/>
    <w:rsid w:val="00806662"/>
    <w:rsid w:val="00814473"/>
    <w:rsid w:val="00815724"/>
    <w:rsid w:val="00834B54"/>
    <w:rsid w:val="0084179B"/>
    <w:rsid w:val="00865D45"/>
    <w:rsid w:val="00867D0B"/>
    <w:rsid w:val="00880351"/>
    <w:rsid w:val="008902B9"/>
    <w:rsid w:val="00891F21"/>
    <w:rsid w:val="0089508C"/>
    <w:rsid w:val="008B50CB"/>
    <w:rsid w:val="008D1E45"/>
    <w:rsid w:val="008E4462"/>
    <w:rsid w:val="008F0A62"/>
    <w:rsid w:val="008F55A4"/>
    <w:rsid w:val="00924274"/>
    <w:rsid w:val="00931C26"/>
    <w:rsid w:val="00932034"/>
    <w:rsid w:val="009511F2"/>
    <w:rsid w:val="00951B31"/>
    <w:rsid w:val="009548FB"/>
    <w:rsid w:val="00964455"/>
    <w:rsid w:val="0097483C"/>
    <w:rsid w:val="00990D33"/>
    <w:rsid w:val="009A5488"/>
    <w:rsid w:val="009D44F7"/>
    <w:rsid w:val="009F17EB"/>
    <w:rsid w:val="009F5D30"/>
    <w:rsid w:val="00A056DE"/>
    <w:rsid w:val="00A2060E"/>
    <w:rsid w:val="00A24874"/>
    <w:rsid w:val="00A403B8"/>
    <w:rsid w:val="00A4405B"/>
    <w:rsid w:val="00A453EF"/>
    <w:rsid w:val="00A50F40"/>
    <w:rsid w:val="00A51715"/>
    <w:rsid w:val="00A67F90"/>
    <w:rsid w:val="00A72CAD"/>
    <w:rsid w:val="00A73903"/>
    <w:rsid w:val="00A773DB"/>
    <w:rsid w:val="00A86C6F"/>
    <w:rsid w:val="00A93760"/>
    <w:rsid w:val="00A93DE9"/>
    <w:rsid w:val="00A94474"/>
    <w:rsid w:val="00A96D25"/>
    <w:rsid w:val="00AA0E12"/>
    <w:rsid w:val="00AA2084"/>
    <w:rsid w:val="00AA7BF4"/>
    <w:rsid w:val="00AB33BB"/>
    <w:rsid w:val="00AB385F"/>
    <w:rsid w:val="00AC57E0"/>
    <w:rsid w:val="00AD65CE"/>
    <w:rsid w:val="00B01D92"/>
    <w:rsid w:val="00B12E13"/>
    <w:rsid w:val="00B142C0"/>
    <w:rsid w:val="00B22811"/>
    <w:rsid w:val="00B2588D"/>
    <w:rsid w:val="00B36DF8"/>
    <w:rsid w:val="00B4035F"/>
    <w:rsid w:val="00B40CCD"/>
    <w:rsid w:val="00B4715D"/>
    <w:rsid w:val="00B857A6"/>
    <w:rsid w:val="00B93687"/>
    <w:rsid w:val="00B94DB1"/>
    <w:rsid w:val="00B95B22"/>
    <w:rsid w:val="00BB3EB9"/>
    <w:rsid w:val="00BB49E2"/>
    <w:rsid w:val="00BB5F83"/>
    <w:rsid w:val="00BC3163"/>
    <w:rsid w:val="00BC5727"/>
    <w:rsid w:val="00BC7B6B"/>
    <w:rsid w:val="00BE1A62"/>
    <w:rsid w:val="00BE2CB3"/>
    <w:rsid w:val="00BF086E"/>
    <w:rsid w:val="00BF0928"/>
    <w:rsid w:val="00BF4C94"/>
    <w:rsid w:val="00C02170"/>
    <w:rsid w:val="00C065D0"/>
    <w:rsid w:val="00C07099"/>
    <w:rsid w:val="00C100C5"/>
    <w:rsid w:val="00C108FE"/>
    <w:rsid w:val="00C120C5"/>
    <w:rsid w:val="00C30AE8"/>
    <w:rsid w:val="00C4074C"/>
    <w:rsid w:val="00C53C0C"/>
    <w:rsid w:val="00C625B1"/>
    <w:rsid w:val="00C657AB"/>
    <w:rsid w:val="00C67372"/>
    <w:rsid w:val="00C73F08"/>
    <w:rsid w:val="00C80E70"/>
    <w:rsid w:val="00C83606"/>
    <w:rsid w:val="00CA41BC"/>
    <w:rsid w:val="00CB221D"/>
    <w:rsid w:val="00CB4D91"/>
    <w:rsid w:val="00CB6220"/>
    <w:rsid w:val="00CC3D52"/>
    <w:rsid w:val="00CC6098"/>
    <w:rsid w:val="00CD0659"/>
    <w:rsid w:val="00CE070B"/>
    <w:rsid w:val="00CE0EE1"/>
    <w:rsid w:val="00CE3518"/>
    <w:rsid w:val="00D12474"/>
    <w:rsid w:val="00D3229D"/>
    <w:rsid w:val="00D3306C"/>
    <w:rsid w:val="00D335A5"/>
    <w:rsid w:val="00D33AB3"/>
    <w:rsid w:val="00D41CAD"/>
    <w:rsid w:val="00D446D8"/>
    <w:rsid w:val="00D448CA"/>
    <w:rsid w:val="00D561FB"/>
    <w:rsid w:val="00D6067E"/>
    <w:rsid w:val="00D60A7A"/>
    <w:rsid w:val="00D6336B"/>
    <w:rsid w:val="00D65CB1"/>
    <w:rsid w:val="00D70424"/>
    <w:rsid w:val="00D82F6C"/>
    <w:rsid w:val="00D86627"/>
    <w:rsid w:val="00D911A4"/>
    <w:rsid w:val="00D92B21"/>
    <w:rsid w:val="00D94654"/>
    <w:rsid w:val="00D95284"/>
    <w:rsid w:val="00D96424"/>
    <w:rsid w:val="00DA78D8"/>
    <w:rsid w:val="00DB3140"/>
    <w:rsid w:val="00DB3768"/>
    <w:rsid w:val="00DC2D95"/>
    <w:rsid w:val="00DE0B9A"/>
    <w:rsid w:val="00DE5D6C"/>
    <w:rsid w:val="00DF19D9"/>
    <w:rsid w:val="00E14BEF"/>
    <w:rsid w:val="00E15193"/>
    <w:rsid w:val="00E25447"/>
    <w:rsid w:val="00E343D2"/>
    <w:rsid w:val="00E634A1"/>
    <w:rsid w:val="00E714BD"/>
    <w:rsid w:val="00E84E41"/>
    <w:rsid w:val="00E8542A"/>
    <w:rsid w:val="00EB1B2D"/>
    <w:rsid w:val="00EB2FB8"/>
    <w:rsid w:val="00EB4E51"/>
    <w:rsid w:val="00EB5EA2"/>
    <w:rsid w:val="00EC2476"/>
    <w:rsid w:val="00EC65AF"/>
    <w:rsid w:val="00EF35D8"/>
    <w:rsid w:val="00F16A23"/>
    <w:rsid w:val="00F205F0"/>
    <w:rsid w:val="00F339C4"/>
    <w:rsid w:val="00F40145"/>
    <w:rsid w:val="00F43472"/>
    <w:rsid w:val="00F43FD3"/>
    <w:rsid w:val="00F50E90"/>
    <w:rsid w:val="00F5185E"/>
    <w:rsid w:val="00F67060"/>
    <w:rsid w:val="00F84F7B"/>
    <w:rsid w:val="00F867E9"/>
    <w:rsid w:val="00F869E5"/>
    <w:rsid w:val="00FD03AC"/>
    <w:rsid w:val="00FF0482"/>
    <w:rsid w:val="00FF10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51554634">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45996207">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859976577">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04383851">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75435251">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44122228">
      <w:bodyDiv w:val="1"/>
      <w:marLeft w:val="0"/>
      <w:marRight w:val="0"/>
      <w:marTop w:val="0"/>
      <w:marBottom w:val="0"/>
      <w:divBdr>
        <w:top w:val="none" w:sz="0" w:space="0" w:color="auto"/>
        <w:left w:val="none" w:sz="0" w:space="0" w:color="auto"/>
        <w:bottom w:val="none" w:sz="0" w:space="0" w:color="auto"/>
        <w:right w:val="none" w:sz="0" w:space="0" w:color="auto"/>
      </w:divBdr>
    </w:div>
    <w:div w:id="170034985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michaelides@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ichaa\Documents\Copy%20of%20CAR-CV-PR-HEADLINE-CHARTS-FEB1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haa\Documents\Copy%20of%20CAR-CV-PR-HEADLINE-CHARTS-FEB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990308185562201"/>
          <c:y val="5.7019253933837999E-2"/>
          <c:w val="0.59045903482596995"/>
          <c:h val="0.71079554820140201"/>
        </c:manualLayout>
      </c:layout>
      <c:lineChart>
        <c:grouping val="standard"/>
        <c:varyColors val="0"/>
        <c:ser>
          <c:idx val="13"/>
          <c:order val="0"/>
          <c:tx>
            <c:strRef>
              <c:f>'PR&amp;12MONTHROLL-dataforcharts'!$B$7</c:f>
              <c:strCache>
                <c:ptCount val="1"/>
                <c:pt idx="0">
                  <c:v>Total CV</c:v>
                </c:pt>
              </c:strCache>
            </c:strRef>
          </c:tx>
          <c:spPr>
            <a:ln w="31750">
              <a:solidFill>
                <a:srgbClr val="002060"/>
              </a:solidFill>
              <a:prstDash val="solid"/>
            </a:ln>
          </c:spPr>
          <c:marker>
            <c:symbol val="none"/>
          </c:marker>
          <c:cat>
            <c:numRef>
              <c:f>'PR&amp;12MONTHROLL-dataforcharts'!$C$6:$CT$6</c:f>
              <c:numCache>
                <c:formatCode>General</c:formatCode>
                <c:ptCount val="96"/>
                <c:pt idx="0">
                  <c:v>2008</c:v>
                </c:pt>
                <c:pt idx="12">
                  <c:v>2009</c:v>
                </c:pt>
                <c:pt idx="24">
                  <c:v>2010</c:v>
                </c:pt>
                <c:pt idx="36">
                  <c:v>2011</c:v>
                </c:pt>
                <c:pt idx="48">
                  <c:v>2012</c:v>
                </c:pt>
                <c:pt idx="60">
                  <c:v>2013</c:v>
                </c:pt>
                <c:pt idx="72">
                  <c:v>2014</c:v>
                </c:pt>
                <c:pt idx="84">
                  <c:v>2015</c:v>
                </c:pt>
              </c:numCache>
            </c:numRef>
          </c:cat>
          <c:val>
            <c:numRef>
              <c:f>'PR&amp;12MONTHROLL-dataforcharts'!$C$7:$CT$7</c:f>
              <c:numCache>
                <c:formatCode>0.0,</c:formatCode>
                <c:ptCount val="96"/>
                <c:pt idx="0">
                  <c:v>216932</c:v>
                </c:pt>
                <c:pt idx="1">
                  <c:v>220090</c:v>
                </c:pt>
                <c:pt idx="2">
                  <c:v>218605</c:v>
                </c:pt>
                <c:pt idx="3">
                  <c:v>224066</c:v>
                </c:pt>
                <c:pt idx="4">
                  <c:v>224813</c:v>
                </c:pt>
                <c:pt idx="5">
                  <c:v>227243</c:v>
                </c:pt>
                <c:pt idx="6">
                  <c:v>234255</c:v>
                </c:pt>
                <c:pt idx="7">
                  <c:v>230579</c:v>
                </c:pt>
                <c:pt idx="8">
                  <c:v>231301</c:v>
                </c:pt>
                <c:pt idx="9">
                  <c:v>222191</c:v>
                </c:pt>
                <c:pt idx="10">
                  <c:v>211128</c:v>
                </c:pt>
                <c:pt idx="11">
                  <c:v>202896</c:v>
                </c:pt>
                <c:pt idx="12">
                  <c:v>190407</c:v>
                </c:pt>
                <c:pt idx="13">
                  <c:v>175628</c:v>
                </c:pt>
                <c:pt idx="14">
                  <c:v>164897</c:v>
                </c:pt>
                <c:pt idx="15">
                  <c:v>150568</c:v>
                </c:pt>
                <c:pt idx="16">
                  <c:v>137558</c:v>
                </c:pt>
                <c:pt idx="17">
                  <c:v>124563</c:v>
                </c:pt>
                <c:pt idx="18">
                  <c:v>112142</c:v>
                </c:pt>
                <c:pt idx="19">
                  <c:v>107607</c:v>
                </c:pt>
                <c:pt idx="20">
                  <c:v>96648</c:v>
                </c:pt>
                <c:pt idx="21">
                  <c:v>91477</c:v>
                </c:pt>
                <c:pt idx="22">
                  <c:v>89698</c:v>
                </c:pt>
                <c:pt idx="23">
                  <c:v>90679</c:v>
                </c:pt>
                <c:pt idx="24">
                  <c:v>91484</c:v>
                </c:pt>
                <c:pt idx="25">
                  <c:v>95840</c:v>
                </c:pt>
                <c:pt idx="26">
                  <c:v>100812</c:v>
                </c:pt>
                <c:pt idx="27">
                  <c:v>103934</c:v>
                </c:pt>
                <c:pt idx="28">
                  <c:v>109987</c:v>
                </c:pt>
                <c:pt idx="29">
                  <c:v>112111</c:v>
                </c:pt>
                <c:pt idx="30">
                  <c:v>113232</c:v>
                </c:pt>
                <c:pt idx="31">
                  <c:v>114296</c:v>
                </c:pt>
                <c:pt idx="32">
                  <c:v>115919</c:v>
                </c:pt>
                <c:pt idx="33">
                  <c:v>119658</c:v>
                </c:pt>
                <c:pt idx="34">
                  <c:v>121608</c:v>
                </c:pt>
                <c:pt idx="35">
                  <c:v>123019</c:v>
                </c:pt>
                <c:pt idx="36">
                  <c:v>123830</c:v>
                </c:pt>
                <c:pt idx="37">
                  <c:v>123527</c:v>
                </c:pt>
                <c:pt idx="38">
                  <c:v>122748</c:v>
                </c:pt>
                <c:pt idx="39">
                  <c:v>120604</c:v>
                </c:pt>
                <c:pt idx="40">
                  <c:v>120064</c:v>
                </c:pt>
                <c:pt idx="41">
                  <c:v>119833</c:v>
                </c:pt>
                <c:pt idx="42">
                  <c:v>119263</c:v>
                </c:pt>
                <c:pt idx="43">
                  <c:v>119811</c:v>
                </c:pt>
                <c:pt idx="44">
                  <c:v>120518</c:v>
                </c:pt>
                <c:pt idx="45">
                  <c:v>120181</c:v>
                </c:pt>
                <c:pt idx="46">
                  <c:v>120425</c:v>
                </c:pt>
                <c:pt idx="47">
                  <c:v>120189</c:v>
                </c:pt>
                <c:pt idx="48">
                  <c:v>120066</c:v>
                </c:pt>
                <c:pt idx="49">
                  <c:v>119798</c:v>
                </c:pt>
                <c:pt idx="50">
                  <c:v>117403</c:v>
                </c:pt>
                <c:pt idx="51">
                  <c:v>117683</c:v>
                </c:pt>
                <c:pt idx="52">
                  <c:v>116923</c:v>
                </c:pt>
                <c:pt idx="53">
                  <c:v>114865</c:v>
                </c:pt>
                <c:pt idx="54">
                  <c:v>114742</c:v>
                </c:pt>
                <c:pt idx="55">
                  <c:v>115917</c:v>
                </c:pt>
                <c:pt idx="56">
                  <c:v>113478</c:v>
                </c:pt>
                <c:pt idx="57">
                  <c:v>114040</c:v>
                </c:pt>
                <c:pt idx="58">
                  <c:v>113634</c:v>
                </c:pt>
                <c:pt idx="59">
                  <c:v>112039</c:v>
                </c:pt>
                <c:pt idx="60">
                  <c:v>110017</c:v>
                </c:pt>
                <c:pt idx="61">
                  <c:v>108367</c:v>
                </c:pt>
                <c:pt idx="62">
                  <c:v>106522</c:v>
                </c:pt>
                <c:pt idx="63">
                  <c:v>106232</c:v>
                </c:pt>
                <c:pt idx="64">
                  <c:v>104347</c:v>
                </c:pt>
                <c:pt idx="65">
                  <c:v>104460</c:v>
                </c:pt>
                <c:pt idx="66">
                  <c:v>103891</c:v>
                </c:pt>
                <c:pt idx="67">
                  <c:v>99977</c:v>
                </c:pt>
                <c:pt idx="68">
                  <c:v>97333</c:v>
                </c:pt>
                <c:pt idx="69">
                  <c:v>93309</c:v>
                </c:pt>
                <c:pt idx="70">
                  <c:v>89386</c:v>
                </c:pt>
                <c:pt idx="71">
                  <c:v>87671</c:v>
                </c:pt>
                <c:pt idx="72">
                  <c:v>86556</c:v>
                </c:pt>
                <c:pt idx="73">
                  <c:v>84790</c:v>
                </c:pt>
                <c:pt idx="74">
                  <c:v>83495</c:v>
                </c:pt>
                <c:pt idx="75">
                  <c:v>81179</c:v>
                </c:pt>
                <c:pt idx="76">
                  <c:v>78746</c:v>
                </c:pt>
                <c:pt idx="77">
                  <c:v>76614</c:v>
                </c:pt>
                <c:pt idx="78">
                  <c:v>74517</c:v>
                </c:pt>
                <c:pt idx="79">
                  <c:v>72953</c:v>
                </c:pt>
                <c:pt idx="80">
                  <c:v>70670</c:v>
                </c:pt>
                <c:pt idx="81">
                  <c:v>70030</c:v>
                </c:pt>
                <c:pt idx="82">
                  <c:v>70052</c:v>
                </c:pt>
                <c:pt idx="83">
                  <c:v>70731</c:v>
                </c:pt>
                <c:pt idx="84">
                  <c:v>69467</c:v>
                </c:pt>
                <c:pt idx="85">
                  <c:v>71572</c:v>
                </c:pt>
              </c:numCache>
            </c:numRef>
          </c:val>
          <c:smooth val="0"/>
        </c:ser>
        <c:dLbls>
          <c:showLegendKey val="0"/>
          <c:showVal val="0"/>
          <c:showCatName val="0"/>
          <c:showSerName val="0"/>
          <c:showPercent val="0"/>
          <c:showBubbleSize val="0"/>
        </c:dLbls>
        <c:marker val="1"/>
        <c:smooth val="0"/>
        <c:axId val="31452672"/>
        <c:axId val="37569664"/>
      </c:lineChart>
      <c:lineChart>
        <c:grouping val="standard"/>
        <c:varyColors val="0"/>
        <c:ser>
          <c:idx val="0"/>
          <c:order val="1"/>
          <c:tx>
            <c:strRef>
              <c:f>'PR&amp;12MONTHROLL-dataforcharts'!$B$8</c:f>
              <c:strCache>
                <c:ptCount val="1"/>
                <c:pt idx="0">
                  <c:v>for UK market</c:v>
                </c:pt>
              </c:strCache>
            </c:strRef>
          </c:tx>
          <c:spPr>
            <a:ln>
              <a:solidFill>
                <a:srgbClr val="1074CB"/>
              </a:solidFill>
              <a:prstDash val="solid"/>
            </a:ln>
          </c:spPr>
          <c:marker>
            <c:symbol val="none"/>
          </c:marker>
          <c:cat>
            <c:numRef>
              <c:f>'PR&amp;12MONTHROLL-dataforcharts'!$C$6:$CT$6</c:f>
              <c:numCache>
                <c:formatCode>General</c:formatCode>
                <c:ptCount val="96"/>
                <c:pt idx="0">
                  <c:v>2008</c:v>
                </c:pt>
                <c:pt idx="12">
                  <c:v>2009</c:v>
                </c:pt>
                <c:pt idx="24">
                  <c:v>2010</c:v>
                </c:pt>
                <c:pt idx="36">
                  <c:v>2011</c:v>
                </c:pt>
                <c:pt idx="48">
                  <c:v>2012</c:v>
                </c:pt>
                <c:pt idx="60">
                  <c:v>2013</c:v>
                </c:pt>
                <c:pt idx="72">
                  <c:v>2014</c:v>
                </c:pt>
                <c:pt idx="84">
                  <c:v>2015</c:v>
                </c:pt>
              </c:numCache>
            </c:numRef>
          </c:cat>
          <c:val>
            <c:numRef>
              <c:f>'PR&amp;12MONTHROLL-dataforcharts'!$C$8:$CT$8</c:f>
              <c:numCache>
                <c:formatCode>0.0,</c:formatCode>
                <c:ptCount val="96"/>
                <c:pt idx="0">
                  <c:v>84493</c:v>
                </c:pt>
                <c:pt idx="1">
                  <c:v>85992</c:v>
                </c:pt>
                <c:pt idx="2">
                  <c:v>84918</c:v>
                </c:pt>
                <c:pt idx="3">
                  <c:v>86909</c:v>
                </c:pt>
                <c:pt idx="4">
                  <c:v>86248</c:v>
                </c:pt>
                <c:pt idx="5">
                  <c:v>86789</c:v>
                </c:pt>
                <c:pt idx="6">
                  <c:v>90584</c:v>
                </c:pt>
                <c:pt idx="7">
                  <c:v>88633</c:v>
                </c:pt>
                <c:pt idx="8">
                  <c:v>88572</c:v>
                </c:pt>
                <c:pt idx="9">
                  <c:v>85340</c:v>
                </c:pt>
                <c:pt idx="10">
                  <c:v>80602</c:v>
                </c:pt>
                <c:pt idx="11">
                  <c:v>77285</c:v>
                </c:pt>
                <c:pt idx="12">
                  <c:v>70688</c:v>
                </c:pt>
                <c:pt idx="13">
                  <c:v>63155</c:v>
                </c:pt>
                <c:pt idx="14">
                  <c:v>57960</c:v>
                </c:pt>
                <c:pt idx="15">
                  <c:v>52234</c:v>
                </c:pt>
                <c:pt idx="16">
                  <c:v>47430</c:v>
                </c:pt>
                <c:pt idx="17">
                  <c:v>41864</c:v>
                </c:pt>
                <c:pt idx="18">
                  <c:v>35424</c:v>
                </c:pt>
                <c:pt idx="19">
                  <c:v>33620</c:v>
                </c:pt>
                <c:pt idx="20">
                  <c:v>28051</c:v>
                </c:pt>
                <c:pt idx="21">
                  <c:v>24372</c:v>
                </c:pt>
                <c:pt idx="22">
                  <c:v>23902</c:v>
                </c:pt>
                <c:pt idx="23">
                  <c:v>24225</c:v>
                </c:pt>
                <c:pt idx="24">
                  <c:v>24342</c:v>
                </c:pt>
                <c:pt idx="25">
                  <c:v>25658</c:v>
                </c:pt>
                <c:pt idx="26">
                  <c:v>28158</c:v>
                </c:pt>
                <c:pt idx="27">
                  <c:v>30129</c:v>
                </c:pt>
                <c:pt idx="28">
                  <c:v>32549</c:v>
                </c:pt>
                <c:pt idx="29">
                  <c:v>33238</c:v>
                </c:pt>
                <c:pt idx="30">
                  <c:v>33597</c:v>
                </c:pt>
                <c:pt idx="31">
                  <c:v>34234</c:v>
                </c:pt>
                <c:pt idx="32">
                  <c:v>34914</c:v>
                </c:pt>
                <c:pt idx="33">
                  <c:v>36760</c:v>
                </c:pt>
                <c:pt idx="34">
                  <c:v>37872</c:v>
                </c:pt>
                <c:pt idx="35">
                  <c:v>37472</c:v>
                </c:pt>
                <c:pt idx="36">
                  <c:v>39635</c:v>
                </c:pt>
                <c:pt idx="37">
                  <c:v>40526</c:v>
                </c:pt>
                <c:pt idx="38">
                  <c:v>40564</c:v>
                </c:pt>
                <c:pt idx="39">
                  <c:v>39936</c:v>
                </c:pt>
                <c:pt idx="40">
                  <c:v>40973</c:v>
                </c:pt>
                <c:pt idx="41">
                  <c:v>43352</c:v>
                </c:pt>
                <c:pt idx="42">
                  <c:v>44015</c:v>
                </c:pt>
                <c:pt idx="43">
                  <c:v>44579</c:v>
                </c:pt>
                <c:pt idx="44">
                  <c:v>45839</c:v>
                </c:pt>
                <c:pt idx="45">
                  <c:v>47274</c:v>
                </c:pt>
                <c:pt idx="46">
                  <c:v>48956</c:v>
                </c:pt>
                <c:pt idx="47">
                  <c:v>50813</c:v>
                </c:pt>
                <c:pt idx="48">
                  <c:v>50652</c:v>
                </c:pt>
                <c:pt idx="49">
                  <c:v>51085</c:v>
                </c:pt>
                <c:pt idx="50">
                  <c:v>50792</c:v>
                </c:pt>
                <c:pt idx="51">
                  <c:v>50656</c:v>
                </c:pt>
                <c:pt idx="52">
                  <c:v>49864</c:v>
                </c:pt>
                <c:pt idx="53">
                  <c:v>47235</c:v>
                </c:pt>
                <c:pt idx="54">
                  <c:v>47836</c:v>
                </c:pt>
                <c:pt idx="55">
                  <c:v>48619</c:v>
                </c:pt>
                <c:pt idx="56">
                  <c:v>47976</c:v>
                </c:pt>
                <c:pt idx="57">
                  <c:v>48474</c:v>
                </c:pt>
                <c:pt idx="58">
                  <c:v>48610</c:v>
                </c:pt>
                <c:pt idx="59">
                  <c:v>48306</c:v>
                </c:pt>
                <c:pt idx="60">
                  <c:v>48436</c:v>
                </c:pt>
                <c:pt idx="61">
                  <c:v>48541</c:v>
                </c:pt>
                <c:pt idx="62">
                  <c:v>48926</c:v>
                </c:pt>
                <c:pt idx="63">
                  <c:v>49694</c:v>
                </c:pt>
                <c:pt idx="64">
                  <c:v>49741</c:v>
                </c:pt>
                <c:pt idx="65">
                  <c:v>50272</c:v>
                </c:pt>
                <c:pt idx="66">
                  <c:v>48237</c:v>
                </c:pt>
                <c:pt idx="67">
                  <c:v>45927</c:v>
                </c:pt>
                <c:pt idx="68">
                  <c:v>45209</c:v>
                </c:pt>
                <c:pt idx="69">
                  <c:v>43718</c:v>
                </c:pt>
                <c:pt idx="70">
                  <c:v>42048</c:v>
                </c:pt>
                <c:pt idx="71">
                  <c:v>39761</c:v>
                </c:pt>
                <c:pt idx="72">
                  <c:v>39036</c:v>
                </c:pt>
                <c:pt idx="73">
                  <c:v>37838</c:v>
                </c:pt>
                <c:pt idx="74">
                  <c:v>36770</c:v>
                </c:pt>
                <c:pt idx="75">
                  <c:v>35803</c:v>
                </c:pt>
                <c:pt idx="76">
                  <c:v>35078</c:v>
                </c:pt>
                <c:pt idx="77">
                  <c:v>34485</c:v>
                </c:pt>
                <c:pt idx="78">
                  <c:v>34283</c:v>
                </c:pt>
                <c:pt idx="79">
                  <c:v>34174</c:v>
                </c:pt>
                <c:pt idx="80">
                  <c:v>32877</c:v>
                </c:pt>
                <c:pt idx="81">
                  <c:v>33497</c:v>
                </c:pt>
                <c:pt idx="82">
                  <c:v>34032</c:v>
                </c:pt>
                <c:pt idx="83">
                  <c:v>35909</c:v>
                </c:pt>
                <c:pt idx="84">
                  <c:v>35779</c:v>
                </c:pt>
                <c:pt idx="85">
                  <c:v>37444</c:v>
                </c:pt>
              </c:numCache>
            </c:numRef>
          </c:val>
          <c:smooth val="0"/>
        </c:ser>
        <c:dLbls>
          <c:showLegendKey val="0"/>
          <c:showVal val="0"/>
          <c:showCatName val="0"/>
          <c:showSerName val="0"/>
          <c:showPercent val="0"/>
          <c:showBubbleSize val="0"/>
        </c:dLbls>
        <c:marker val="1"/>
        <c:smooth val="0"/>
        <c:axId val="34267136"/>
        <c:axId val="36754496"/>
      </c:lineChart>
      <c:catAx>
        <c:axId val="31452672"/>
        <c:scaling>
          <c:orientation val="minMax"/>
        </c:scaling>
        <c:delete val="0"/>
        <c:axPos val="b"/>
        <c:numFmt formatCode="General" sourceLinked="0"/>
        <c:majorTickMark val="none"/>
        <c:minorTickMark val="none"/>
        <c:tickLblPos val="nextTo"/>
        <c:spPr>
          <a:ln w="3175">
            <a:solidFill>
              <a:srgbClr val="000000"/>
            </a:solidFill>
            <a:prstDash val="solid"/>
          </a:ln>
        </c:spPr>
        <c:txPr>
          <a:bodyPr rot="-1740000" vert="horz"/>
          <a:lstStyle/>
          <a:p>
            <a:pPr>
              <a:defRPr sz="800" b="0" i="1" u="none" strike="noStrike" baseline="0">
                <a:solidFill>
                  <a:srgbClr val="002060"/>
                </a:solidFill>
                <a:latin typeface="Arial"/>
                <a:ea typeface="Arial"/>
                <a:cs typeface="Arial"/>
              </a:defRPr>
            </a:pPr>
            <a:endParaRPr lang="en-US"/>
          </a:p>
        </c:txPr>
        <c:crossAx val="37569664"/>
        <c:crosses val="autoZero"/>
        <c:auto val="0"/>
        <c:lblAlgn val="ctr"/>
        <c:lblOffset val="100"/>
        <c:tickMarkSkip val="10"/>
        <c:noMultiLvlLbl val="0"/>
      </c:catAx>
      <c:valAx>
        <c:axId val="37569664"/>
        <c:scaling>
          <c:orientation val="minMax"/>
          <c:max val="240000"/>
          <c:min val="40000"/>
        </c:scaling>
        <c:delete val="0"/>
        <c:axPos val="l"/>
        <c:majorGridlines>
          <c:spPr>
            <a:ln w="3175">
              <a:solidFill>
                <a:srgbClr val="000000"/>
              </a:solidFill>
              <a:prstDash val="solid"/>
            </a:ln>
          </c:spPr>
        </c:majorGridlines>
        <c:title>
          <c:tx>
            <c:rich>
              <a:bodyPr/>
              <a:lstStyle/>
              <a:p>
                <a:pPr>
                  <a:defRPr sz="1000" b="1" i="1" u="none" strike="noStrike" baseline="0">
                    <a:solidFill>
                      <a:srgbClr val="002060"/>
                    </a:solidFill>
                    <a:latin typeface="Arial"/>
                    <a:ea typeface="Arial"/>
                    <a:cs typeface="Arial"/>
                  </a:defRPr>
                </a:pPr>
                <a:r>
                  <a:rPr lang="en-GB" sz="1000" baseline="0">
                    <a:solidFill>
                      <a:srgbClr val="002060"/>
                    </a:solidFill>
                  </a:rPr>
                  <a:t>Thousands</a:t>
                </a:r>
              </a:p>
            </c:rich>
          </c:tx>
          <c:layout>
            <c:manualLayout>
              <c:xMode val="edge"/>
              <c:yMode val="edge"/>
              <c:x val="1.22065727699531E-2"/>
              <c:y val="0.38760924396645502"/>
            </c:manualLayout>
          </c:layout>
          <c:overlay val="0"/>
        </c:title>
        <c:numFmt formatCode="#,##0" sourceLinked="0"/>
        <c:majorTickMark val="out"/>
        <c:minorTickMark val="none"/>
        <c:tickLblPos val="nextTo"/>
        <c:spPr>
          <a:ln w="3175">
            <a:solidFill>
              <a:srgbClr val="000000"/>
            </a:solidFill>
            <a:prstDash val="solid"/>
          </a:ln>
        </c:spPr>
        <c:txPr>
          <a:bodyPr rot="-900000" vert="horz"/>
          <a:lstStyle/>
          <a:p>
            <a:pPr>
              <a:defRPr sz="800" b="0" i="1" u="none" strike="noStrike" baseline="0">
                <a:solidFill>
                  <a:srgbClr val="002060"/>
                </a:solidFill>
                <a:latin typeface="Arial"/>
                <a:ea typeface="Arial"/>
                <a:cs typeface="Arial"/>
              </a:defRPr>
            </a:pPr>
            <a:endParaRPr lang="en-US"/>
          </a:p>
        </c:txPr>
        <c:crossAx val="31452672"/>
        <c:crosses val="autoZero"/>
        <c:crossBetween val="midCat"/>
      </c:valAx>
      <c:catAx>
        <c:axId val="34267136"/>
        <c:scaling>
          <c:orientation val="minMax"/>
        </c:scaling>
        <c:delete val="1"/>
        <c:axPos val="b"/>
        <c:numFmt formatCode="General" sourceLinked="1"/>
        <c:majorTickMark val="out"/>
        <c:minorTickMark val="none"/>
        <c:tickLblPos val="nextTo"/>
        <c:crossAx val="36754496"/>
        <c:crosses val="autoZero"/>
        <c:auto val="1"/>
        <c:lblAlgn val="ctr"/>
        <c:lblOffset val="100"/>
        <c:noMultiLvlLbl val="0"/>
      </c:catAx>
      <c:valAx>
        <c:axId val="36754496"/>
        <c:scaling>
          <c:orientation val="minMax"/>
          <c:max val="120000"/>
          <c:min val="20000"/>
        </c:scaling>
        <c:delete val="0"/>
        <c:axPos val="r"/>
        <c:numFmt formatCode="#,##0" sourceLinked="0"/>
        <c:majorTickMark val="out"/>
        <c:minorTickMark val="none"/>
        <c:tickLblPos val="nextTo"/>
        <c:txPr>
          <a:bodyPr/>
          <a:lstStyle/>
          <a:p>
            <a:pPr>
              <a:defRPr baseline="0">
                <a:solidFill>
                  <a:srgbClr val="002060"/>
                </a:solidFill>
              </a:defRPr>
            </a:pPr>
            <a:endParaRPr lang="en-US"/>
          </a:p>
        </c:txPr>
        <c:crossAx val="34267136"/>
        <c:crosses val="max"/>
        <c:crossBetween val="between"/>
      </c:valAx>
      <c:spPr>
        <a:noFill/>
        <a:ln w="12700">
          <a:solidFill>
            <a:srgbClr val="808080"/>
          </a:solidFill>
          <a:prstDash val="solid"/>
        </a:ln>
      </c:spPr>
    </c:plotArea>
    <c:legend>
      <c:legendPos val="r"/>
      <c:layout>
        <c:manualLayout>
          <c:xMode val="edge"/>
          <c:yMode val="edge"/>
          <c:x val="0.4605902444359089"/>
          <c:y val="0.10987204229063717"/>
          <c:w val="0.35071531551513802"/>
          <c:h val="7.3173804493950501E-2"/>
        </c:manualLayout>
      </c:layout>
      <c:overlay val="0"/>
      <c:spPr>
        <a:solidFill>
          <a:srgbClr val="FFFFFF"/>
        </a:solidFill>
        <a:ln w="3175">
          <a:noFill/>
          <a:prstDash val="solid"/>
        </a:ln>
      </c:spPr>
      <c:txPr>
        <a:bodyPr/>
        <a:lstStyle/>
        <a:p>
          <a:pPr>
            <a:defRPr sz="735" b="0" i="1" u="none" strike="noStrike" baseline="0">
              <a:solidFill>
                <a:srgbClr val="000000"/>
              </a:solidFill>
              <a:latin typeface="Arial"/>
              <a:ea typeface="Arial"/>
              <a:cs typeface="Arial"/>
            </a:defRPr>
          </a:pPr>
          <a:endParaRPr lang="en-US"/>
        </a:p>
      </c:txPr>
    </c:legend>
    <c:plotVisOnly val="1"/>
    <c:dispBlanksAs val="span"/>
    <c:showDLblsOverMax val="0"/>
  </c:chart>
  <c:spPr>
    <a:solidFill>
      <a:srgbClr val="FFFFFF"/>
    </a:solidFill>
    <a:ln w="3175">
      <a:noFill/>
      <a:prstDash val="solid"/>
    </a:ln>
  </c:spPr>
  <c:txPr>
    <a:bodyPr/>
    <a:lstStyle/>
    <a:p>
      <a:pPr>
        <a:defRPr sz="800" b="0" i="1"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5940921585985"/>
          <c:y val="6.8248760571595193E-2"/>
          <c:w val="0.76855611983413297"/>
          <c:h val="0.69702138439129402"/>
        </c:manualLayout>
      </c:layout>
      <c:barChart>
        <c:barDir val="col"/>
        <c:grouping val="clustered"/>
        <c:varyColors val="0"/>
        <c:ser>
          <c:idx val="1"/>
          <c:order val="0"/>
          <c:tx>
            <c:strRef>
              <c:f>'PR-charts'!$A$7</c:f>
              <c:strCache>
                <c:ptCount val="1"/>
                <c:pt idx="0">
                  <c:v>CVs</c:v>
                </c:pt>
              </c:strCache>
            </c:strRef>
          </c:tx>
          <c:spPr>
            <a:solidFill>
              <a:srgbClr val="1074CB"/>
            </a:solidFill>
            <a:ln>
              <a:noFill/>
            </a:ln>
          </c:spPr>
          <c:invertIfNegative val="0"/>
          <c:dPt>
            <c:idx val="6"/>
            <c:invertIfNegative val="0"/>
            <c:bubble3D val="0"/>
            <c:spPr>
              <a:solidFill>
                <a:srgbClr val="1074CB"/>
              </a:solidFill>
              <a:ln>
                <a:noFill/>
              </a:ln>
            </c:spPr>
          </c:dPt>
          <c:cat>
            <c:numRef>
              <c:f>'PR-charts'!$B$6:$E$6</c:f>
              <c:numCache>
                <c:formatCode>General</c:formatCode>
                <c:ptCount val="4"/>
                <c:pt idx="0">
                  <c:v>2009</c:v>
                </c:pt>
                <c:pt idx="1">
                  <c:v>2011</c:v>
                </c:pt>
                <c:pt idx="2">
                  <c:v>2013</c:v>
                </c:pt>
                <c:pt idx="3">
                  <c:v>2015</c:v>
                </c:pt>
              </c:numCache>
            </c:numRef>
          </c:cat>
          <c:val>
            <c:numRef>
              <c:f>'PR-charts'!$B$7:$E$7</c:f>
              <c:numCache>
                <c:formatCode>0</c:formatCode>
                <c:ptCount val="4"/>
                <c:pt idx="0" formatCode="General">
                  <c:v>14221</c:v>
                </c:pt>
                <c:pt idx="1">
                  <c:v>19890</c:v>
                </c:pt>
                <c:pt idx="2" formatCode="General">
                  <c:v>15827</c:v>
                </c:pt>
                <c:pt idx="3" formatCode="General">
                  <c:v>13787</c:v>
                </c:pt>
              </c:numCache>
            </c:numRef>
          </c:val>
        </c:ser>
        <c:dLbls>
          <c:showLegendKey val="0"/>
          <c:showVal val="0"/>
          <c:showCatName val="0"/>
          <c:showSerName val="0"/>
          <c:showPercent val="0"/>
          <c:showBubbleSize val="0"/>
        </c:dLbls>
        <c:gapWidth val="48"/>
        <c:axId val="31460864"/>
        <c:axId val="37570816"/>
      </c:barChart>
      <c:catAx>
        <c:axId val="31460864"/>
        <c:scaling>
          <c:orientation val="minMax"/>
        </c:scaling>
        <c:delete val="0"/>
        <c:axPos val="b"/>
        <c:numFmt formatCode="General" sourceLinked="1"/>
        <c:majorTickMark val="out"/>
        <c:minorTickMark val="none"/>
        <c:tickLblPos val="nextTo"/>
        <c:txPr>
          <a:bodyPr rot="-1980000" vert="horz"/>
          <a:lstStyle/>
          <a:p>
            <a:pPr>
              <a:defRPr sz="1000" b="0" i="0" u="none" strike="noStrike" baseline="0">
                <a:solidFill>
                  <a:srgbClr val="002060"/>
                </a:solidFill>
                <a:latin typeface="Arial"/>
                <a:ea typeface="Arial"/>
                <a:cs typeface="Arial"/>
              </a:defRPr>
            </a:pPr>
            <a:endParaRPr lang="en-US"/>
          </a:p>
        </c:txPr>
        <c:crossAx val="37570816"/>
        <c:crosses val="autoZero"/>
        <c:auto val="1"/>
        <c:lblAlgn val="ctr"/>
        <c:lblOffset val="100"/>
        <c:noMultiLvlLbl val="0"/>
      </c:catAx>
      <c:valAx>
        <c:axId val="37570816"/>
        <c:scaling>
          <c:orientation val="minMax"/>
        </c:scaling>
        <c:delete val="0"/>
        <c:axPos val="l"/>
        <c:majorGridlines/>
        <c:numFmt formatCode="#,##0" sourceLinked="0"/>
        <c:majorTickMark val="out"/>
        <c:minorTickMark val="none"/>
        <c:tickLblPos val="nextTo"/>
        <c:txPr>
          <a:bodyPr rot="-960000" vert="horz"/>
          <a:lstStyle/>
          <a:p>
            <a:pPr>
              <a:defRPr sz="1000" b="0" i="0" u="none" strike="noStrike" baseline="0">
                <a:solidFill>
                  <a:srgbClr val="002060"/>
                </a:solidFill>
                <a:latin typeface="Arial"/>
                <a:ea typeface="Arial"/>
                <a:cs typeface="Arial"/>
              </a:defRPr>
            </a:pPr>
            <a:endParaRPr lang="en-US"/>
          </a:p>
        </c:txPr>
        <c:crossAx val="31460864"/>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0.131</cdr:x>
      <cdr:y>0.75748</cdr:y>
    </cdr:from>
    <cdr:to>
      <cdr:x>0.67863</cdr:x>
      <cdr:y>0.82079</cdr:y>
    </cdr:to>
    <cdr:sp macro="" textlink="">
      <cdr:nvSpPr>
        <cdr:cNvPr id="2" name="TextBox 1"/>
        <cdr:cNvSpPr txBox="1"/>
      </cdr:nvSpPr>
      <cdr:spPr>
        <a:xfrm xmlns:a="http://schemas.openxmlformats.org/drawingml/2006/main">
          <a:off x="960120" y="3238500"/>
          <a:ext cx="3657600" cy="2971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51575-08BF-4C6F-81EE-87896257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14473BD9</Template>
  <TotalTime>2</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Alex Michaelides</cp:lastModifiedBy>
  <cp:revision>4</cp:revision>
  <cp:lastPrinted>2015-02-18T17:01:00Z</cp:lastPrinted>
  <dcterms:created xsi:type="dcterms:W3CDTF">2015-03-19T09:17:00Z</dcterms:created>
  <dcterms:modified xsi:type="dcterms:W3CDTF">2015-03-19T09:24:00Z</dcterms:modified>
</cp:coreProperties>
</file>