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6B0F16" w:rsidP="006B3606">
      <w:pPr>
        <w:pStyle w:val="Heading1"/>
        <w:ind w:right="142"/>
      </w:pPr>
      <w:r>
        <w:rPr>
          <w:rFonts w:ascii="Arial" w:eastAsiaTheme="minorEastAsia" w:hAnsi="Arial" w:cs="Arial"/>
          <w:b w:val="0"/>
          <w:bCs/>
          <w:color w:val="1074CB"/>
          <w:sz w:val="44"/>
          <w:szCs w:val="44"/>
        </w:rPr>
        <w:t>19 February</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January</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bookmarkStart w:id="0" w:name="_GoBack"/>
      <w:bookmarkEnd w:id="0"/>
      <w:r w:rsidR="006B3606" w:rsidRPr="00696C6A">
        <w:rPr>
          <w:rFonts w:ascii="Arial" w:eastAsiaTheme="minorEastAsia" w:hAnsi="Arial" w:cs="Arial"/>
          <w:b w:val="0"/>
          <w:bCs/>
          <w:color w:val="1074CB"/>
          <w:sz w:val="28"/>
          <w:szCs w:val="28"/>
        </w:rPr>
        <w:t>)</w:t>
      </w:r>
    </w:p>
    <w:p w:rsidR="00C80E70" w:rsidRPr="007B7D91" w:rsidRDefault="00730F8C" w:rsidP="00C80E70">
      <w:r>
        <w:rPr>
          <w:rFonts w:ascii="Arial" w:eastAsiaTheme="minorEastAsia" w:hAnsi="Arial" w:cs="Arial"/>
          <w:b/>
          <w:bCs/>
          <w:noProof/>
          <w:color w:val="1074CB"/>
          <w:sz w:val="20"/>
        </w:rPr>
        <mc:AlternateContent>
          <mc:Choice Requires="wps">
            <w:drawing>
              <wp:anchor distT="4294967292" distB="4294967292" distL="114300" distR="114300" simplePos="0" relativeHeight="251666432" behindDoc="0" locked="0" layoutInCell="1" allowOverlap="1" wp14:anchorId="48B50F3A" wp14:editId="6516040D">
                <wp:simplePos x="0" y="0"/>
                <wp:positionH relativeFrom="column">
                  <wp:posOffset>6985</wp:posOffset>
                </wp:positionH>
                <wp:positionV relativeFrom="paragraph">
                  <wp:posOffset>46989</wp:posOffset>
                </wp:positionV>
                <wp:extent cx="5892800" cy="0"/>
                <wp:effectExtent l="0" t="0" r="1270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mc:Fallback>
        </mc:AlternateContent>
      </w:r>
    </w:p>
    <w:p w:rsidR="00BE2CB3" w:rsidRPr="00F43FD3" w:rsidRDefault="00D3229D" w:rsidP="00BE2CB3">
      <w:pPr>
        <w:pStyle w:val="Heading1"/>
        <w:ind w:left="0" w:right="425" w:firstLine="0"/>
      </w:pPr>
      <w:r>
        <w:rPr>
          <w:rFonts w:ascii="Arial" w:hAnsi="Arial" w:cs="Arial"/>
          <w:color w:val="1074CB"/>
          <w:sz w:val="36"/>
          <w:szCs w:val="36"/>
        </w:rPr>
        <w:t>Positive</w:t>
      </w:r>
      <w:r w:rsidR="00A403B8">
        <w:rPr>
          <w:rFonts w:ascii="Arial" w:hAnsi="Arial" w:cs="Arial"/>
          <w:color w:val="1074CB"/>
          <w:sz w:val="36"/>
          <w:szCs w:val="36"/>
        </w:rPr>
        <w:t xml:space="preserve"> CV sector despite muted January</w:t>
      </w:r>
    </w:p>
    <w:p w:rsidR="00BE2CB3" w:rsidRDefault="00BE2CB3" w:rsidP="00BE2CB3">
      <w:pPr>
        <w:rPr>
          <w:rFonts w:eastAsiaTheme="minorHAnsi"/>
        </w:rPr>
      </w:pPr>
      <w:r>
        <w:rPr>
          <w:rFonts w:cs="Times"/>
          <w:szCs w:val="24"/>
        </w:rPr>
        <w:t> </w:t>
      </w:r>
    </w:p>
    <w:p w:rsidR="00BE2CB3" w:rsidRPr="007B07B1" w:rsidRDefault="00BE2CB3" w:rsidP="00BE2CB3">
      <w:pPr>
        <w:numPr>
          <w:ilvl w:val="0"/>
          <w:numId w:val="6"/>
        </w:numPr>
        <w:spacing w:line="360" w:lineRule="auto"/>
        <w:rPr>
          <w:sz w:val="20"/>
        </w:rPr>
      </w:pPr>
      <w:r w:rsidRPr="007B07B1">
        <w:rPr>
          <w:rFonts w:ascii="Arial" w:hAnsi="Arial" w:cs="Arial"/>
          <w:sz w:val="20"/>
        </w:rPr>
        <w:t xml:space="preserve">UK </w:t>
      </w:r>
      <w:r w:rsidR="00730F8C">
        <w:rPr>
          <w:rFonts w:ascii="Arial" w:hAnsi="Arial" w:cs="Arial"/>
          <w:sz w:val="20"/>
        </w:rPr>
        <w:t xml:space="preserve">produced 5,553 </w:t>
      </w:r>
      <w:r w:rsidRPr="007B07B1">
        <w:rPr>
          <w:rFonts w:ascii="Arial" w:hAnsi="Arial" w:cs="Arial"/>
          <w:sz w:val="20"/>
        </w:rPr>
        <w:t>commercial vehicle</w:t>
      </w:r>
      <w:r w:rsidR="00730F8C">
        <w:rPr>
          <w:rFonts w:ascii="Arial" w:hAnsi="Arial" w:cs="Arial"/>
          <w:sz w:val="20"/>
        </w:rPr>
        <w:t>s</w:t>
      </w:r>
      <w:r w:rsidRPr="007B07B1">
        <w:rPr>
          <w:rFonts w:ascii="Arial" w:hAnsi="Arial" w:cs="Arial"/>
          <w:sz w:val="20"/>
        </w:rPr>
        <w:t xml:space="preserve"> (CV) </w:t>
      </w:r>
      <w:r w:rsidR="00730F8C">
        <w:rPr>
          <w:rFonts w:ascii="Arial" w:hAnsi="Arial" w:cs="Arial"/>
          <w:sz w:val="20"/>
        </w:rPr>
        <w:t>in January.</w:t>
      </w:r>
    </w:p>
    <w:p w:rsidR="00B01D92" w:rsidRPr="007B07B1" w:rsidRDefault="00E25447" w:rsidP="00B01D92">
      <w:pPr>
        <w:numPr>
          <w:ilvl w:val="0"/>
          <w:numId w:val="6"/>
        </w:numPr>
        <w:spacing w:line="360" w:lineRule="auto"/>
        <w:rPr>
          <w:sz w:val="20"/>
        </w:rPr>
      </w:pPr>
      <w:r>
        <w:rPr>
          <w:rFonts w:ascii="Arial" w:hAnsi="Arial" w:cs="Arial"/>
          <w:sz w:val="20"/>
        </w:rPr>
        <w:t xml:space="preserve">Home market remains </w:t>
      </w:r>
      <w:r w:rsidR="00990D33">
        <w:rPr>
          <w:rFonts w:ascii="Arial" w:hAnsi="Arial" w:cs="Arial"/>
          <w:sz w:val="20"/>
        </w:rPr>
        <w:t xml:space="preserve">strong and </w:t>
      </w:r>
      <w:r>
        <w:rPr>
          <w:rFonts w:ascii="Arial" w:hAnsi="Arial" w:cs="Arial"/>
          <w:sz w:val="20"/>
        </w:rPr>
        <w:t>steady, while e</w:t>
      </w:r>
      <w:r w:rsidR="00753D31">
        <w:rPr>
          <w:rFonts w:ascii="Arial" w:hAnsi="Arial" w:cs="Arial"/>
          <w:sz w:val="20"/>
        </w:rPr>
        <w:t>xports stay subdued.</w:t>
      </w:r>
    </w:p>
    <w:p w:rsidR="00B01D92" w:rsidRPr="007B07B1" w:rsidRDefault="00753D31" w:rsidP="00B01D92">
      <w:pPr>
        <w:numPr>
          <w:ilvl w:val="0"/>
          <w:numId w:val="6"/>
        </w:numPr>
        <w:spacing w:line="360" w:lineRule="auto"/>
        <w:rPr>
          <w:rFonts w:ascii="Arial" w:hAnsi="Arial" w:cs="Arial"/>
          <w:sz w:val="20"/>
        </w:rPr>
      </w:pPr>
      <w:r>
        <w:rPr>
          <w:rFonts w:ascii="Arial" w:hAnsi="Arial" w:cs="Arial"/>
          <w:sz w:val="20"/>
        </w:rPr>
        <w:t>Ramping up production of new models is expected to yield growth later in the year.</w:t>
      </w:r>
    </w:p>
    <w:p w:rsidR="00BE2CB3" w:rsidRDefault="00BE2CB3" w:rsidP="00BE2CB3">
      <w:pPr>
        <w:spacing w:line="360" w:lineRule="auto"/>
        <w:ind w:left="360"/>
      </w:pPr>
      <w:r>
        <w:rPr>
          <w:sz w:val="20"/>
        </w:rPr>
        <w:t> </w:t>
      </w:r>
    </w:p>
    <w:p w:rsidR="00037DBD" w:rsidRDefault="00037DBD" w:rsidP="00037DBD">
      <w:pPr>
        <w:spacing w:line="276" w:lineRule="auto"/>
      </w:pPr>
      <w:r>
        <w:rPr>
          <w:rFonts w:ascii="Arial" w:hAnsi="Arial" w:cs="Arial"/>
          <w:sz w:val="20"/>
        </w:rPr>
        <w:t>"</w:t>
      </w:r>
      <w:r w:rsidR="00D95284">
        <w:rPr>
          <w:rFonts w:ascii="Arial" w:hAnsi="Arial" w:cs="Arial"/>
          <w:sz w:val="20"/>
        </w:rPr>
        <w:t xml:space="preserve">The commercial vehicle sector saw </w:t>
      </w:r>
      <w:r w:rsidR="00D3229D">
        <w:rPr>
          <w:rFonts w:ascii="Arial" w:hAnsi="Arial" w:cs="Arial"/>
          <w:sz w:val="20"/>
        </w:rPr>
        <w:t>manufacturing</w:t>
      </w:r>
      <w:r w:rsidR="00D95284">
        <w:rPr>
          <w:rFonts w:ascii="Arial" w:hAnsi="Arial" w:cs="Arial"/>
          <w:sz w:val="20"/>
        </w:rPr>
        <w:t xml:space="preserve"> output</w:t>
      </w:r>
      <w:r w:rsidR="00D3229D">
        <w:rPr>
          <w:rFonts w:ascii="Arial" w:hAnsi="Arial" w:cs="Arial"/>
          <w:sz w:val="20"/>
        </w:rPr>
        <w:t xml:space="preserve"> decrease</w:t>
      </w:r>
      <w:r w:rsidR="00D95284">
        <w:rPr>
          <w:rFonts w:ascii="Arial" w:hAnsi="Arial" w:cs="Arial"/>
          <w:sz w:val="20"/>
        </w:rPr>
        <w:t xml:space="preserve"> </w:t>
      </w:r>
      <w:r w:rsidR="00730F8C">
        <w:rPr>
          <w:rFonts w:ascii="Arial" w:hAnsi="Arial" w:cs="Arial"/>
          <w:sz w:val="20"/>
        </w:rPr>
        <w:t xml:space="preserve">year-on-year </w:t>
      </w:r>
      <w:r w:rsidR="00D95284">
        <w:rPr>
          <w:rFonts w:ascii="Arial" w:hAnsi="Arial" w:cs="Arial"/>
          <w:sz w:val="20"/>
        </w:rPr>
        <w:t>in January,</w:t>
      </w:r>
      <w:r w:rsidR="00F43FD3">
        <w:rPr>
          <w:rFonts w:ascii="Arial" w:hAnsi="Arial" w:cs="Arial"/>
          <w:sz w:val="20"/>
        </w:rPr>
        <w:t xml:space="preserve"> although there is still confidence in the sector</w:t>
      </w:r>
      <w:r>
        <w:rPr>
          <w:rFonts w:ascii="Arial" w:hAnsi="Arial" w:cs="Arial"/>
          <w:sz w:val="20"/>
        </w:rPr>
        <w:t>," said Mike Hawes, SMMT Chief Executive. "</w:t>
      </w:r>
      <w:r w:rsidR="00D95284">
        <w:rPr>
          <w:rFonts w:ascii="Arial" w:hAnsi="Arial" w:cs="Arial"/>
          <w:sz w:val="20"/>
        </w:rPr>
        <w:t xml:space="preserve">The home market for commercial vehicles has been strong in recent months and we expect a </w:t>
      </w:r>
      <w:r w:rsidR="00D3229D">
        <w:rPr>
          <w:rFonts w:ascii="Arial" w:hAnsi="Arial" w:cs="Arial"/>
          <w:sz w:val="20"/>
        </w:rPr>
        <w:t xml:space="preserve">continued </w:t>
      </w:r>
      <w:r w:rsidR="00D95284">
        <w:rPr>
          <w:rFonts w:ascii="Arial" w:hAnsi="Arial" w:cs="Arial"/>
          <w:sz w:val="20"/>
        </w:rPr>
        <w:t xml:space="preserve">resurgence to help drive growth. </w:t>
      </w:r>
      <w:r w:rsidR="00F43FD3">
        <w:rPr>
          <w:rFonts w:ascii="Arial" w:hAnsi="Arial" w:cs="Arial"/>
          <w:sz w:val="20"/>
        </w:rPr>
        <w:t xml:space="preserve">Production is expected to ramp up on recently introduced models which </w:t>
      </w:r>
      <w:r w:rsidR="00D3229D">
        <w:rPr>
          <w:rFonts w:ascii="Arial" w:hAnsi="Arial" w:cs="Arial"/>
          <w:sz w:val="20"/>
        </w:rPr>
        <w:t>will</w:t>
      </w:r>
      <w:r w:rsidR="00F43FD3">
        <w:rPr>
          <w:rFonts w:ascii="Arial" w:hAnsi="Arial" w:cs="Arial"/>
          <w:sz w:val="20"/>
        </w:rPr>
        <w:t xml:space="preserve"> increase output.</w:t>
      </w:r>
      <w:r w:rsidR="00990D33">
        <w:rPr>
          <w:rFonts w:ascii="Arial" w:hAnsi="Arial" w:cs="Arial"/>
          <w:sz w:val="20"/>
        </w:rPr>
        <w:t>”</w:t>
      </w:r>
      <w:r w:rsidR="00F43FD3">
        <w:rPr>
          <w:rFonts w:ascii="Arial" w:hAnsi="Arial" w:cs="Arial"/>
          <w:sz w:val="20"/>
        </w:rPr>
        <w:t xml:space="preserve"> </w:t>
      </w:r>
    </w:p>
    <w:p w:rsidR="00BE2CB3" w:rsidRDefault="00BE2CB3" w:rsidP="00BE2CB3">
      <w:r w:rsidRPr="00BE2CB3">
        <w:rPr>
          <w:rFonts w:ascii="Arial" w:hAnsi="Arial" w:cs="Arial"/>
          <w:sz w:val="20"/>
        </w:rPr>
        <w:t> </w:t>
      </w:r>
    </w:p>
    <w:tbl>
      <w:tblPr>
        <w:tblW w:w="9464" w:type="dxa"/>
        <w:tblCellMar>
          <w:left w:w="0" w:type="dxa"/>
          <w:right w:w="0" w:type="dxa"/>
        </w:tblCellMar>
        <w:tblLook w:val="04A0" w:firstRow="1" w:lastRow="0" w:firstColumn="1" w:lastColumn="0" w:noHBand="0" w:noVBand="1"/>
      </w:tblPr>
      <w:tblGrid>
        <w:gridCol w:w="2093"/>
        <w:gridCol w:w="1276"/>
        <w:gridCol w:w="1134"/>
        <w:gridCol w:w="1275"/>
        <w:gridCol w:w="1276"/>
        <w:gridCol w:w="1134"/>
        <w:gridCol w:w="1276"/>
      </w:tblGrid>
      <w:tr w:rsidR="006B0F16"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Jan-14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Jan-15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center"/>
              <w:rPr>
                <w:rFonts w:ascii="Arial" w:hAnsi="Arial" w:cs="Arial"/>
                <w:b/>
                <w:color w:val="002060"/>
                <w:sz w:val="20"/>
              </w:rPr>
            </w:pPr>
            <w:r w:rsidRPr="006B0F16">
              <w:rPr>
                <w:rFonts w:ascii="Arial" w:hAnsi="Arial" w:cs="Arial"/>
                <w:b/>
                <w:color w:val="002060"/>
                <w:sz w:val="20"/>
              </w:rPr>
              <w:t>% Change</w:t>
            </w:r>
          </w:p>
        </w:tc>
      </w:tr>
      <w:tr w:rsidR="006B0F16"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b/>
                <w:color w:val="002060"/>
                <w:sz w:val="20"/>
              </w:rPr>
            </w:pPr>
            <w:r w:rsidRPr="006B0F16">
              <w:rPr>
                <w:rFonts w:ascii="Arial" w:hAnsi="Arial" w:cs="Arial"/>
                <w:b/>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6,707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5,443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-18.8%</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6,707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5,443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-18.8%</w:t>
            </w:r>
          </w:p>
        </w:tc>
      </w:tr>
      <w:tr w:rsidR="006B0F16"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3,471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3,341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-3.7%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3,471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3,341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-3.7%</w:t>
            </w:r>
          </w:p>
        </w:tc>
      </w:tr>
      <w:tr w:rsidR="006B0F16"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3,236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2,102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-35.0%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3,236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2,102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18"/>
                <w:szCs w:val="18"/>
              </w:rPr>
            </w:pPr>
            <w:r w:rsidRPr="006B0F16">
              <w:rPr>
                <w:rFonts w:ascii="Arial" w:hAnsi="Arial" w:cs="Arial"/>
                <w:color w:val="002060"/>
                <w:sz w:val="18"/>
                <w:szCs w:val="18"/>
              </w:rPr>
              <w:t>-35.0%</w:t>
            </w:r>
          </w:p>
        </w:tc>
      </w:tr>
      <w:tr w:rsidR="006B0F16"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48.2%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38.6%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48.2%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38.6%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6B0F16" w:rsidRPr="006B0F16" w:rsidRDefault="006B0F16">
            <w:pPr>
              <w:jc w:val="right"/>
              <w:rPr>
                <w:rFonts w:ascii="Arial" w:hAnsi="Arial" w:cs="Arial"/>
                <w:color w:val="002060"/>
                <w:sz w:val="20"/>
              </w:rPr>
            </w:pPr>
            <w:r w:rsidRPr="006B0F16">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CV output – January-</w:t>
      </w:r>
      <w:r w:rsidR="00D33AB3">
        <w:rPr>
          <w:rFonts w:ascii="Arial" w:hAnsi="Arial" w:cs="Arial"/>
          <w:b/>
          <w:color w:val="0D2255"/>
          <w:sz w:val="20"/>
        </w:rPr>
        <w:t>November</w:t>
      </w:r>
      <w:r w:rsidRPr="00325254">
        <w:rPr>
          <w:rFonts w:ascii="Arial" w:hAnsi="Arial" w:cs="Arial"/>
          <w:b/>
          <w:color w:val="0D2255"/>
          <w:sz w:val="20"/>
        </w:rPr>
        <w:t>, 2012-2014</w:t>
      </w:r>
    </w:p>
    <w:p w:rsidR="00A93760" w:rsidRDefault="00A93760" w:rsidP="00142AE3">
      <w:pPr>
        <w:rPr>
          <w:rFonts w:ascii="Arial" w:hAnsi="Arial" w:cs="Arial"/>
          <w:b/>
          <w:color w:val="0D2255"/>
          <w:sz w:val="20"/>
        </w:rPr>
      </w:pPr>
    </w:p>
    <w:p w:rsidR="000B47D6" w:rsidRPr="00247A08" w:rsidRDefault="00F43FD3" w:rsidP="00C4074C">
      <w:pPr>
        <w:rPr>
          <w:rFonts w:ascii="Arial" w:hAnsi="Arial" w:cs="Arial"/>
          <w:b/>
          <w:color w:val="0D2255"/>
          <w:sz w:val="20"/>
        </w:rPr>
      </w:pPr>
      <w:r>
        <w:rPr>
          <w:noProof/>
        </w:rPr>
        <w:drawing>
          <wp:inline distT="0" distB="0" distL="0" distR="0" wp14:anchorId="22924A0A" wp14:editId="612F2ECF">
            <wp:extent cx="2672862" cy="238271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93760">
        <w:rPr>
          <w:rFonts w:ascii="Arial" w:hAnsi="Arial" w:cs="Arial"/>
          <w:b/>
          <w:color w:val="0D2255"/>
          <w:sz w:val="20"/>
        </w:rPr>
        <w:t xml:space="preserve">         </w:t>
      </w:r>
      <w:r>
        <w:rPr>
          <w:noProof/>
        </w:rPr>
        <w:drawing>
          <wp:inline distT="0" distB="0" distL="0" distR="0" wp14:anchorId="6A23987C" wp14:editId="729DAC5A">
            <wp:extent cx="2848708" cy="2312377"/>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B47D6" w:rsidRPr="00247A08" w:rsidSect="00A72CAD">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BC" w:rsidRDefault="004B63BC" w:rsidP="00C80E70">
      <w:r>
        <w:separator/>
      </w:r>
    </w:p>
  </w:endnote>
  <w:endnote w:type="continuationSeparator" w:id="0">
    <w:p w:rsidR="004B63BC" w:rsidRDefault="004B63BC"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1" w:rsidRPr="00853E71" w:rsidRDefault="007B07B1"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7B07B1" w:rsidRPr="00853E71" w:rsidRDefault="007B07B1" w:rsidP="007A1EAA">
    <w:pPr>
      <w:spacing w:afterAutospacing="1"/>
      <w:contextualSpacing/>
      <w:rPr>
        <w:rFonts w:ascii="Arial" w:eastAsia="Times New Roman" w:hAnsi="Arial" w:cs="Arial"/>
        <w:color w:val="1074CB"/>
        <w:sz w:val="16"/>
        <w:szCs w:val="16"/>
      </w:rPr>
    </w:pPr>
  </w:p>
  <w:p w:rsidR="007B07B1" w:rsidRPr="00853E71" w:rsidRDefault="007B07B1"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7B07B1" w:rsidRPr="00853E71" w:rsidRDefault="007B07B1"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B07B1" w:rsidRDefault="007B07B1" w:rsidP="00B94DB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F56359">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7B07B1" w:rsidRPr="00430DCC" w:rsidRDefault="007B07B1"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BC" w:rsidRDefault="004B63BC" w:rsidP="00C80E70">
      <w:r>
        <w:separator/>
      </w:r>
    </w:p>
  </w:footnote>
  <w:footnote w:type="continuationSeparator" w:id="0">
    <w:p w:rsidR="004B63BC" w:rsidRDefault="004B63BC"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1" w:rsidRDefault="007B07B1"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1774D"/>
    <w:rsid w:val="00017BE7"/>
    <w:rsid w:val="000376DA"/>
    <w:rsid w:val="00037DBD"/>
    <w:rsid w:val="00040399"/>
    <w:rsid w:val="00054E31"/>
    <w:rsid w:val="00055008"/>
    <w:rsid w:val="00066F55"/>
    <w:rsid w:val="0008241D"/>
    <w:rsid w:val="00096A24"/>
    <w:rsid w:val="000B47D6"/>
    <w:rsid w:val="000C3FDE"/>
    <w:rsid w:val="000E5317"/>
    <w:rsid w:val="00110120"/>
    <w:rsid w:val="00116666"/>
    <w:rsid w:val="00121C86"/>
    <w:rsid w:val="00125D19"/>
    <w:rsid w:val="00133B87"/>
    <w:rsid w:val="0013617E"/>
    <w:rsid w:val="00142AE3"/>
    <w:rsid w:val="0014558C"/>
    <w:rsid w:val="001737CD"/>
    <w:rsid w:val="0017616F"/>
    <w:rsid w:val="00187E2B"/>
    <w:rsid w:val="00192CE4"/>
    <w:rsid w:val="001A1B4A"/>
    <w:rsid w:val="001A67B5"/>
    <w:rsid w:val="001B2FFA"/>
    <w:rsid w:val="001C389E"/>
    <w:rsid w:val="001D6CB9"/>
    <w:rsid w:val="001E2638"/>
    <w:rsid w:val="001E33CE"/>
    <w:rsid w:val="001E428D"/>
    <w:rsid w:val="001F079E"/>
    <w:rsid w:val="001F21A2"/>
    <w:rsid w:val="001F7274"/>
    <w:rsid w:val="00200A18"/>
    <w:rsid w:val="00200F65"/>
    <w:rsid w:val="00201A40"/>
    <w:rsid w:val="0020649D"/>
    <w:rsid w:val="00207B1F"/>
    <w:rsid w:val="00215AA6"/>
    <w:rsid w:val="00235019"/>
    <w:rsid w:val="00247A08"/>
    <w:rsid w:val="00252DCB"/>
    <w:rsid w:val="00263E82"/>
    <w:rsid w:val="00266A9A"/>
    <w:rsid w:val="002777B2"/>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3F69E6"/>
    <w:rsid w:val="00410539"/>
    <w:rsid w:val="00427213"/>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6418"/>
    <w:rsid w:val="004C6507"/>
    <w:rsid w:val="004D2D65"/>
    <w:rsid w:val="004D592D"/>
    <w:rsid w:val="004F53F5"/>
    <w:rsid w:val="00505C8C"/>
    <w:rsid w:val="005068D3"/>
    <w:rsid w:val="005218AC"/>
    <w:rsid w:val="005230CA"/>
    <w:rsid w:val="005407A6"/>
    <w:rsid w:val="00542422"/>
    <w:rsid w:val="00545182"/>
    <w:rsid w:val="00545EE2"/>
    <w:rsid w:val="005534B2"/>
    <w:rsid w:val="0055683E"/>
    <w:rsid w:val="005621BD"/>
    <w:rsid w:val="00567F13"/>
    <w:rsid w:val="00577A32"/>
    <w:rsid w:val="005926DF"/>
    <w:rsid w:val="005B33EF"/>
    <w:rsid w:val="005B536B"/>
    <w:rsid w:val="005C1474"/>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96C6A"/>
    <w:rsid w:val="006B0F16"/>
    <w:rsid w:val="006B3606"/>
    <w:rsid w:val="006B4C72"/>
    <w:rsid w:val="006B7F8A"/>
    <w:rsid w:val="006C63D3"/>
    <w:rsid w:val="006D538E"/>
    <w:rsid w:val="006E5BF9"/>
    <w:rsid w:val="006F7AF9"/>
    <w:rsid w:val="00703767"/>
    <w:rsid w:val="00714EF7"/>
    <w:rsid w:val="00730F8C"/>
    <w:rsid w:val="00735C0B"/>
    <w:rsid w:val="00736FB6"/>
    <w:rsid w:val="0073709A"/>
    <w:rsid w:val="007430A2"/>
    <w:rsid w:val="007433FE"/>
    <w:rsid w:val="00750A6C"/>
    <w:rsid w:val="00753D31"/>
    <w:rsid w:val="00761183"/>
    <w:rsid w:val="00767145"/>
    <w:rsid w:val="00771A60"/>
    <w:rsid w:val="007851A1"/>
    <w:rsid w:val="00787B6E"/>
    <w:rsid w:val="00791C3D"/>
    <w:rsid w:val="007A1EAA"/>
    <w:rsid w:val="007B07B1"/>
    <w:rsid w:val="007B7669"/>
    <w:rsid w:val="007D36B3"/>
    <w:rsid w:val="00800A86"/>
    <w:rsid w:val="008030A3"/>
    <w:rsid w:val="00804C47"/>
    <w:rsid w:val="00806662"/>
    <w:rsid w:val="00815724"/>
    <w:rsid w:val="00834B54"/>
    <w:rsid w:val="00865D45"/>
    <w:rsid w:val="00867D0B"/>
    <w:rsid w:val="00880351"/>
    <w:rsid w:val="008902B9"/>
    <w:rsid w:val="00891F21"/>
    <w:rsid w:val="008B50CB"/>
    <w:rsid w:val="008D1E45"/>
    <w:rsid w:val="008E4462"/>
    <w:rsid w:val="008F0A62"/>
    <w:rsid w:val="008F55A4"/>
    <w:rsid w:val="00924274"/>
    <w:rsid w:val="00931C26"/>
    <w:rsid w:val="00932034"/>
    <w:rsid w:val="009511F2"/>
    <w:rsid w:val="00951B31"/>
    <w:rsid w:val="009548FB"/>
    <w:rsid w:val="00964455"/>
    <w:rsid w:val="0097483C"/>
    <w:rsid w:val="00990D33"/>
    <w:rsid w:val="009A5488"/>
    <w:rsid w:val="009D44F7"/>
    <w:rsid w:val="009F17EB"/>
    <w:rsid w:val="009F5D30"/>
    <w:rsid w:val="00A2060E"/>
    <w:rsid w:val="00A24874"/>
    <w:rsid w:val="00A403B8"/>
    <w:rsid w:val="00A4405B"/>
    <w:rsid w:val="00A453EF"/>
    <w:rsid w:val="00A50F40"/>
    <w:rsid w:val="00A51715"/>
    <w:rsid w:val="00A67F90"/>
    <w:rsid w:val="00A72CAD"/>
    <w:rsid w:val="00A73903"/>
    <w:rsid w:val="00A773DB"/>
    <w:rsid w:val="00A86C6F"/>
    <w:rsid w:val="00A93760"/>
    <w:rsid w:val="00A93DE9"/>
    <w:rsid w:val="00A94474"/>
    <w:rsid w:val="00A96D25"/>
    <w:rsid w:val="00AA0E12"/>
    <w:rsid w:val="00AA2084"/>
    <w:rsid w:val="00AA7BF4"/>
    <w:rsid w:val="00AB33BB"/>
    <w:rsid w:val="00AC57E0"/>
    <w:rsid w:val="00AD65CE"/>
    <w:rsid w:val="00B01D92"/>
    <w:rsid w:val="00B12E13"/>
    <w:rsid w:val="00B142C0"/>
    <w:rsid w:val="00B22811"/>
    <w:rsid w:val="00B2588D"/>
    <w:rsid w:val="00B36DF8"/>
    <w:rsid w:val="00B4035F"/>
    <w:rsid w:val="00B40CCD"/>
    <w:rsid w:val="00B4715D"/>
    <w:rsid w:val="00B857A6"/>
    <w:rsid w:val="00B93687"/>
    <w:rsid w:val="00B94DB1"/>
    <w:rsid w:val="00B95B22"/>
    <w:rsid w:val="00BB3EB9"/>
    <w:rsid w:val="00BB49E2"/>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67372"/>
    <w:rsid w:val="00C73F08"/>
    <w:rsid w:val="00C80E70"/>
    <w:rsid w:val="00C83606"/>
    <w:rsid w:val="00CA41BC"/>
    <w:rsid w:val="00CB221D"/>
    <w:rsid w:val="00CB4D91"/>
    <w:rsid w:val="00CB6220"/>
    <w:rsid w:val="00CC3D52"/>
    <w:rsid w:val="00CC6098"/>
    <w:rsid w:val="00CD0659"/>
    <w:rsid w:val="00CE070B"/>
    <w:rsid w:val="00CE0EE1"/>
    <w:rsid w:val="00CE3518"/>
    <w:rsid w:val="00D12474"/>
    <w:rsid w:val="00D3229D"/>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5284"/>
    <w:rsid w:val="00D96424"/>
    <w:rsid w:val="00DA78D8"/>
    <w:rsid w:val="00DB3140"/>
    <w:rsid w:val="00DB3768"/>
    <w:rsid w:val="00DC2D95"/>
    <w:rsid w:val="00DE0B9A"/>
    <w:rsid w:val="00DE5D6C"/>
    <w:rsid w:val="00DF19D9"/>
    <w:rsid w:val="00E14BEF"/>
    <w:rsid w:val="00E15193"/>
    <w:rsid w:val="00E25447"/>
    <w:rsid w:val="00E343D2"/>
    <w:rsid w:val="00E634A1"/>
    <w:rsid w:val="00E714BD"/>
    <w:rsid w:val="00E84E41"/>
    <w:rsid w:val="00E8542A"/>
    <w:rsid w:val="00EB1B2D"/>
    <w:rsid w:val="00EB2FB8"/>
    <w:rsid w:val="00EB4E51"/>
    <w:rsid w:val="00EB5EA2"/>
    <w:rsid w:val="00EC2476"/>
    <w:rsid w:val="00EC65AF"/>
    <w:rsid w:val="00EF35D8"/>
    <w:rsid w:val="00F16A23"/>
    <w:rsid w:val="00F205F0"/>
    <w:rsid w:val="00F339C4"/>
    <w:rsid w:val="00F40145"/>
    <w:rsid w:val="00F43472"/>
    <w:rsid w:val="00F43FD3"/>
    <w:rsid w:val="00F50E90"/>
    <w:rsid w:val="00F5185E"/>
    <w:rsid w:val="00F67060"/>
    <w:rsid w:val="00F84F7B"/>
    <w:rsid w:val="00F867E9"/>
    <w:rsid w:val="00F869E5"/>
    <w:rsid w:val="00FF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PR-HEADLINES-JAN-ToAM-170215%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PR-HEADLINES-JAN-ToAM-170215%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04335203239085"/>
          <c:y val="9.6496566660510694E-2"/>
          <c:w val="0.75615357417457574"/>
          <c:h val="0.67846901599986564"/>
        </c:manualLayout>
      </c:layout>
      <c:lineChart>
        <c:grouping val="standard"/>
        <c:varyColors val="0"/>
        <c:ser>
          <c:idx val="0"/>
          <c:order val="0"/>
          <c:tx>
            <c:strRef>
              <c:f>'PR&amp;12MONTHROLL-CHARTS'!$B$9</c:f>
              <c:strCache>
                <c:ptCount val="1"/>
                <c:pt idx="0">
                  <c:v>Total CV</c:v>
                </c:pt>
              </c:strCache>
            </c:strRef>
          </c:tx>
          <c:spPr>
            <a:ln>
              <a:solidFill>
                <a:schemeClr val="tx2">
                  <a:lumMod val="75000"/>
                </a:schemeClr>
              </a:solidFill>
            </a:ln>
          </c:spPr>
          <c:marker>
            <c:symbol val="none"/>
          </c:marker>
          <c:cat>
            <c:numRef>
              <c:f>'PR&amp;12MONTHROLL-CHARTS'!$C$8:$CT$8</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'PR&amp;12MONTHROLL-CHARTS'!$C$9:$CT$9</c:f>
              <c:numCache>
                <c:formatCode>General</c:formatCode>
                <c:ptCount val="96"/>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164.89700000000005</c:v>
                </c:pt>
                <c:pt idx="15">
                  <c:v>150.56800000000001</c:v>
                </c:pt>
                <c:pt idx="16">
                  <c:v>137.55800000000005</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103.93400000000003</c:v>
                </c:pt>
                <c:pt idx="28">
                  <c:v>109.98699999999999</c:v>
                </c:pt>
                <c:pt idx="29">
                  <c:v>112.111</c:v>
                </c:pt>
                <c:pt idx="30">
                  <c:v>113.232</c:v>
                </c:pt>
                <c:pt idx="31">
                  <c:v>114.29600000000002</c:v>
                </c:pt>
                <c:pt idx="32">
                  <c:v>115.91900000000003</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115.91700000000003</c:v>
                </c:pt>
                <c:pt idx="56">
                  <c:v>113.47799999999999</c:v>
                </c:pt>
                <c:pt idx="57">
                  <c:v>114.04</c:v>
                </c:pt>
                <c:pt idx="58">
                  <c:v>113.634</c:v>
                </c:pt>
                <c:pt idx="59">
                  <c:v>112.039</c:v>
                </c:pt>
                <c:pt idx="60">
                  <c:v>110.01700000000002</c:v>
                </c:pt>
                <c:pt idx="61">
                  <c:v>108.367</c:v>
                </c:pt>
                <c:pt idx="62">
                  <c:v>106.52200000000001</c:v>
                </c:pt>
                <c:pt idx="63">
                  <c:v>106.232</c:v>
                </c:pt>
                <c:pt idx="64">
                  <c:v>104.34699999999999</c:v>
                </c:pt>
                <c:pt idx="65">
                  <c:v>104.46000000000002</c:v>
                </c:pt>
                <c:pt idx="66">
                  <c:v>103.89100000000002</c:v>
                </c:pt>
                <c:pt idx="67">
                  <c:v>99.977000000000004</c:v>
                </c:pt>
                <c:pt idx="68">
                  <c:v>97.332999999999998</c:v>
                </c:pt>
                <c:pt idx="69">
                  <c:v>93.308999999999983</c:v>
                </c:pt>
                <c:pt idx="70">
                  <c:v>89.385999999999981</c:v>
                </c:pt>
                <c:pt idx="71">
                  <c:v>87.670999999999978</c:v>
                </c:pt>
                <c:pt idx="72">
                  <c:v>86.555999999999983</c:v>
                </c:pt>
                <c:pt idx="73">
                  <c:v>84.79</c:v>
                </c:pt>
                <c:pt idx="74">
                  <c:v>83.495000000000005</c:v>
                </c:pt>
                <c:pt idx="75">
                  <c:v>81.178999999999988</c:v>
                </c:pt>
                <c:pt idx="76">
                  <c:v>78.745999999999995</c:v>
                </c:pt>
                <c:pt idx="77">
                  <c:v>76.614000000000004</c:v>
                </c:pt>
                <c:pt idx="78">
                  <c:v>74.516999999999996</c:v>
                </c:pt>
                <c:pt idx="79">
                  <c:v>72.953000000000003</c:v>
                </c:pt>
                <c:pt idx="80">
                  <c:v>70.669999999999987</c:v>
                </c:pt>
                <c:pt idx="81">
                  <c:v>70.03</c:v>
                </c:pt>
                <c:pt idx="82">
                  <c:v>70.051999999999992</c:v>
                </c:pt>
                <c:pt idx="83">
                  <c:v>70.730999999999995</c:v>
                </c:pt>
                <c:pt idx="84">
                  <c:v>69.467000000000027</c:v>
                </c:pt>
              </c:numCache>
            </c:numRef>
          </c:val>
          <c:smooth val="0"/>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numRef>
              <c:f>'PR&amp;12MONTHROLL-CHARTS'!$C$8:$CT$8</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'PR&amp;12MONTHROLL-CHARTS'!$C$10:$CT$10</c:f>
              <c:numCache>
                <c:formatCode>General</c:formatCode>
                <c:ptCount val="96"/>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136.85100000000006</c:v>
                </c:pt>
                <c:pt idx="10">
                  <c:v>130.52600000000001</c:v>
                </c:pt>
                <c:pt idx="11">
                  <c:v>125.611</c:v>
                </c:pt>
                <c:pt idx="12">
                  <c:v>119.71899999999999</c:v>
                </c:pt>
                <c:pt idx="13">
                  <c:v>112.473</c:v>
                </c:pt>
                <c:pt idx="14">
                  <c:v>106.93700000000003</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78.872999999999976</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69.375999999999976</c:v>
                </c:pt>
                <c:pt idx="48">
                  <c:v>69.41400000000003</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46.725000000000016</c:v>
                </c:pt>
                <c:pt idx="75">
                  <c:v>45.376000000000005</c:v>
                </c:pt>
                <c:pt idx="76">
                  <c:v>43.668000000000013</c:v>
                </c:pt>
                <c:pt idx="77">
                  <c:v>42.129000000000012</c:v>
                </c:pt>
                <c:pt idx="78">
                  <c:v>40.234000000000002</c:v>
                </c:pt>
                <c:pt idx="79">
                  <c:v>38.779000000000003</c:v>
                </c:pt>
                <c:pt idx="80">
                  <c:v>37.793000000000013</c:v>
                </c:pt>
                <c:pt idx="81">
                  <c:v>36.533000000000001</c:v>
                </c:pt>
                <c:pt idx="82">
                  <c:v>36.020000000000003</c:v>
                </c:pt>
                <c:pt idx="83">
                  <c:v>34.822000000000003</c:v>
                </c:pt>
                <c:pt idx="84">
                  <c:v>33.688000000000002</c:v>
                </c:pt>
              </c:numCache>
            </c:numRef>
          </c:val>
          <c:smooth val="0"/>
        </c:ser>
        <c:dLbls>
          <c:showLegendKey val="0"/>
          <c:showVal val="0"/>
          <c:showCatName val="0"/>
          <c:showSerName val="0"/>
          <c:showPercent val="0"/>
          <c:showBubbleSize val="0"/>
        </c:dLbls>
        <c:marker val="1"/>
        <c:smooth val="0"/>
        <c:axId val="755758080"/>
        <c:axId val="718708736"/>
      </c:lineChart>
      <c:catAx>
        <c:axId val="755758080"/>
        <c:scaling>
          <c:orientation val="minMax"/>
        </c:scaling>
        <c:delete val="0"/>
        <c:axPos val="b"/>
        <c:numFmt formatCode="General" sourceLinked="1"/>
        <c:majorTickMark val="none"/>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718708736"/>
        <c:crosses val="autoZero"/>
        <c:auto val="1"/>
        <c:lblAlgn val="ctr"/>
        <c:lblOffset val="100"/>
        <c:tickMarkSkip val="12"/>
        <c:noMultiLvlLbl val="0"/>
      </c:catAx>
      <c:valAx>
        <c:axId val="718708736"/>
        <c:scaling>
          <c:orientation val="minMax"/>
          <c:max val="250"/>
          <c:min val="0"/>
        </c:scaling>
        <c:delete val="0"/>
        <c:axPos val="l"/>
        <c:majorGridlines/>
        <c:title>
          <c:tx>
            <c:rich>
              <a:bodyPr/>
              <a:lstStyle/>
              <a:p>
                <a:pPr>
                  <a:defRPr sz="1000" b="1" i="0" u="none" strike="noStrike" baseline="0">
                    <a:solidFill>
                      <a:srgbClr val="002060"/>
                    </a:solidFill>
                    <a:latin typeface="Arial"/>
                    <a:ea typeface="Arial"/>
                    <a:cs typeface="Arial"/>
                  </a:defRPr>
                </a:pPr>
                <a:r>
                  <a:rPr lang="en-GB">
                    <a:solidFill>
                      <a:srgbClr val="002060"/>
                    </a:solidFill>
                  </a:rPr>
                  <a:t>Thousands</a:t>
                </a:r>
              </a:p>
            </c:rich>
          </c:tx>
          <c:overlay val="0"/>
        </c:title>
        <c:numFmt formatCode="General" sourceLinked="1"/>
        <c:majorTickMark val="none"/>
        <c:minorTickMark val="none"/>
        <c:tickLblPos val="nextTo"/>
        <c:txPr>
          <a:bodyPr rot="0" vert="horz"/>
          <a:lstStyle/>
          <a:p>
            <a:pPr>
              <a:defRPr sz="1000" b="0" i="0" u="none" strike="noStrike" baseline="0">
                <a:solidFill>
                  <a:srgbClr val="002060"/>
                </a:solidFill>
                <a:latin typeface="Arial"/>
                <a:ea typeface="Arial"/>
                <a:cs typeface="Arial"/>
              </a:defRPr>
            </a:pPr>
            <a:endParaRPr lang="en-US"/>
          </a:p>
        </c:txPr>
        <c:crossAx val="755758080"/>
        <c:crosses val="autoZero"/>
        <c:crossBetween val="between"/>
        <c:majorUnit val="50"/>
      </c:valAx>
    </c:plotArea>
    <c:legend>
      <c:legendPos val="r"/>
      <c:layout>
        <c:manualLayout>
          <c:xMode val="edge"/>
          <c:yMode val="edge"/>
          <c:x val="0.5567198305724308"/>
          <c:y val="0.21864555025204671"/>
          <c:w val="0.32990804774662558"/>
          <c:h val="0.14337413131281751"/>
        </c:manualLayout>
      </c:layout>
      <c:overlay val="0"/>
      <c:txPr>
        <a:bodyPr/>
        <a:lstStyle/>
        <a:p>
          <a:pPr>
            <a:defRPr sz="77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092158598536"/>
          <c:y val="6.8248760571595207E-2"/>
          <c:w val="0.76855611983413319"/>
          <c:h val="0.69702138439129424"/>
        </c:manualLayout>
      </c:layout>
      <c:barChart>
        <c:barDir val="col"/>
        <c:grouping val="clustered"/>
        <c:varyColors val="0"/>
        <c:ser>
          <c:idx val="1"/>
          <c:order val="0"/>
          <c:tx>
            <c:strRef>
              <c:f>'PR-MONTH-CHART-JAN'!$B$8</c:f>
              <c:strCache>
                <c:ptCount val="1"/>
                <c:pt idx="0">
                  <c:v>CVs</c:v>
                </c:pt>
              </c:strCache>
            </c:strRef>
          </c:tx>
          <c:spPr>
            <a:solidFill>
              <a:srgbClr val="1074CB"/>
            </a:solidFill>
            <a:ln>
              <a:noFill/>
            </a:ln>
          </c:spPr>
          <c:invertIfNegative val="0"/>
          <c:cat>
            <c:strRef>
              <c:f>'PR-MONTH-CHART-JAN'!$C$7:$F$7</c:f>
              <c:strCache>
                <c:ptCount val="4"/>
                <c:pt idx="0">
                  <c:v>2013</c:v>
                </c:pt>
                <c:pt idx="1">
                  <c:v>2014</c:v>
                </c:pt>
                <c:pt idx="2">
                  <c:v>2015</c:v>
                </c:pt>
                <c:pt idx="3">
                  <c:v>Mean:2009-14</c:v>
                </c:pt>
              </c:strCache>
            </c:strRef>
          </c:cat>
          <c:val>
            <c:numRef>
              <c:f>'PR-MONTH-CHART-JAN'!$C$8:$F$8</c:f>
              <c:numCache>
                <c:formatCode>General</c:formatCode>
                <c:ptCount val="4"/>
                <c:pt idx="0" formatCode="0">
                  <c:v>7822</c:v>
                </c:pt>
                <c:pt idx="1">
                  <c:v>6707</c:v>
                </c:pt>
                <c:pt idx="2">
                  <c:v>5443</c:v>
                </c:pt>
                <c:pt idx="3">
                  <c:v>8641</c:v>
                </c:pt>
              </c:numCache>
            </c:numRef>
          </c:val>
        </c:ser>
        <c:dLbls>
          <c:showLegendKey val="0"/>
          <c:showVal val="0"/>
          <c:showCatName val="0"/>
          <c:showSerName val="0"/>
          <c:showPercent val="0"/>
          <c:showBubbleSize val="0"/>
        </c:dLbls>
        <c:gapWidth val="48"/>
        <c:axId val="755758592"/>
        <c:axId val="713634304"/>
      </c:barChart>
      <c:catAx>
        <c:axId val="755758592"/>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713634304"/>
        <c:crosses val="autoZero"/>
        <c:auto val="1"/>
        <c:lblAlgn val="ctr"/>
        <c:lblOffset val="100"/>
        <c:noMultiLvlLbl val="0"/>
      </c:catAx>
      <c:valAx>
        <c:axId val="713634304"/>
        <c:scaling>
          <c:orientation val="minMax"/>
          <c:max val="10000"/>
          <c:min val="5000"/>
        </c:scaling>
        <c:delete val="0"/>
        <c:axPos val="l"/>
        <c:majorGridlines/>
        <c:numFmt formatCode="#,##0" sourceLinked="0"/>
        <c:majorTickMark val="out"/>
        <c:minorTickMark val="none"/>
        <c:tickLblPos val="nextTo"/>
        <c:txPr>
          <a:bodyPr rot="-960000" vert="horz"/>
          <a:lstStyle/>
          <a:p>
            <a:pPr>
              <a:defRPr sz="1000" b="0" i="0" u="none" strike="noStrike" baseline="0">
                <a:solidFill>
                  <a:srgbClr val="002060"/>
                </a:solidFill>
                <a:latin typeface="Arial"/>
                <a:ea typeface="Arial"/>
                <a:cs typeface="Arial"/>
              </a:defRPr>
            </a:pPr>
            <a:endParaRPr lang="en-US"/>
          </a:p>
        </c:txPr>
        <c:crossAx val="755758592"/>
        <c:crosses val="autoZero"/>
        <c:crossBetween val="between"/>
        <c:majorUnit val="1000"/>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227DC-012A-470B-BF70-57253FC3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89BBE7D8</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2</cp:revision>
  <cp:lastPrinted>2015-02-18T17:01:00Z</cp:lastPrinted>
  <dcterms:created xsi:type="dcterms:W3CDTF">2015-02-19T08:45:00Z</dcterms:created>
  <dcterms:modified xsi:type="dcterms:W3CDTF">2015-02-19T08:45:00Z</dcterms:modified>
</cp:coreProperties>
</file>