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9A" w:rsidRDefault="00C80E70" w:rsidP="00DE0B9A">
      <w:pPr>
        <w:pStyle w:val="Heading1"/>
        <w:ind w:left="0" w:right="142" w:firstLine="0"/>
        <w:rPr>
          <w:rFonts w:ascii="Arial" w:eastAsiaTheme="minorEastAsia" w:hAnsi="Arial" w:cs="Arial"/>
          <w:b w:val="0"/>
          <w:bCs/>
          <w:color w:val="1074CB"/>
          <w:szCs w:val="24"/>
        </w:rPr>
      </w:pPr>
      <w:bookmarkStart w:id="0" w:name="_GoBack"/>
      <w:bookmarkEnd w:id="0"/>
      <w:r>
        <w:rPr>
          <w:rFonts w:ascii="Arial" w:eastAsiaTheme="minorEastAsia" w:hAnsi="Arial" w:cs="Arial"/>
          <w:bCs/>
          <w:color w:val="1074CB"/>
          <w:sz w:val="44"/>
          <w:szCs w:val="44"/>
        </w:rPr>
        <w:t>UK ENGINE</w:t>
      </w:r>
      <w:r w:rsidRPr="00D62A9D">
        <w:rPr>
          <w:rFonts w:ascii="Arial" w:eastAsiaTheme="minorEastAsia" w:hAnsi="Arial" w:cs="Arial"/>
          <w:bCs/>
          <w:color w:val="1074CB"/>
          <w:sz w:val="44"/>
          <w:szCs w:val="44"/>
        </w:rPr>
        <w:t xml:space="preserve"> MANUFACTURING</w:t>
      </w:r>
    </w:p>
    <w:p w:rsidR="00C80E70" w:rsidRPr="007C4C5E" w:rsidRDefault="007C4C5E" w:rsidP="00FD59F4">
      <w:pPr>
        <w:pStyle w:val="Heading1"/>
        <w:ind w:right="142"/>
      </w:pPr>
      <w:r>
        <w:rPr>
          <w:rFonts w:ascii="Arial" w:eastAsiaTheme="minorEastAsia" w:hAnsi="Arial" w:cs="Arial"/>
          <w:b w:val="0"/>
          <w:bCs/>
          <w:color w:val="1074CB"/>
          <w:sz w:val="44"/>
          <w:szCs w:val="44"/>
        </w:rPr>
        <w:t>19</w:t>
      </w:r>
      <w:r w:rsidR="005D63A7" w:rsidRPr="007C4C5E">
        <w:rPr>
          <w:rFonts w:ascii="Arial" w:eastAsiaTheme="minorEastAsia" w:hAnsi="Arial" w:cs="Arial"/>
          <w:b w:val="0"/>
          <w:bCs/>
          <w:color w:val="1074CB"/>
          <w:sz w:val="44"/>
          <w:szCs w:val="44"/>
        </w:rPr>
        <w:t xml:space="preserve"> </w:t>
      </w:r>
      <w:r>
        <w:rPr>
          <w:rFonts w:ascii="Arial" w:eastAsiaTheme="minorEastAsia" w:hAnsi="Arial" w:cs="Arial"/>
          <w:b w:val="0"/>
          <w:bCs/>
          <w:color w:val="1074CB"/>
          <w:sz w:val="44"/>
          <w:szCs w:val="44"/>
        </w:rPr>
        <w:t>February</w:t>
      </w:r>
      <w:r w:rsidR="00D45EFE" w:rsidRPr="007C4C5E">
        <w:rPr>
          <w:rFonts w:ascii="Arial" w:eastAsiaTheme="minorEastAsia" w:hAnsi="Arial" w:cs="Arial"/>
          <w:b w:val="0"/>
          <w:bCs/>
          <w:color w:val="1074CB"/>
          <w:sz w:val="44"/>
          <w:szCs w:val="44"/>
        </w:rPr>
        <w:t xml:space="preserve"> </w:t>
      </w:r>
      <w:r w:rsidR="00FD59F4" w:rsidRPr="007C4C5E">
        <w:rPr>
          <w:rFonts w:ascii="Arial" w:eastAsiaTheme="minorEastAsia" w:hAnsi="Arial" w:cs="Arial"/>
          <w:b w:val="0"/>
          <w:bCs/>
          <w:color w:val="1074CB"/>
          <w:sz w:val="44"/>
          <w:szCs w:val="44"/>
        </w:rPr>
        <w:t>201</w:t>
      </w:r>
      <w:r>
        <w:rPr>
          <w:rFonts w:ascii="Arial" w:eastAsiaTheme="minorEastAsia" w:hAnsi="Arial" w:cs="Arial"/>
          <w:b w:val="0"/>
          <w:bCs/>
          <w:color w:val="1074CB"/>
          <w:sz w:val="44"/>
          <w:szCs w:val="44"/>
        </w:rPr>
        <w:t>5</w:t>
      </w:r>
      <w:r w:rsidR="00FD59F4" w:rsidRPr="007C4C5E">
        <w:rPr>
          <w:rFonts w:ascii="Arial" w:eastAsiaTheme="minorEastAsia" w:hAnsi="Arial" w:cs="Arial"/>
          <w:bCs/>
          <w:color w:val="FF0000"/>
          <w:sz w:val="44"/>
          <w:szCs w:val="44"/>
        </w:rPr>
        <w:t xml:space="preserve"> </w:t>
      </w:r>
      <w:r w:rsidR="00FD59F4" w:rsidRPr="007C4C5E">
        <w:rPr>
          <w:rFonts w:ascii="Arial" w:eastAsiaTheme="minorEastAsia" w:hAnsi="Arial" w:cs="Arial"/>
          <w:b w:val="0"/>
          <w:bCs/>
          <w:color w:val="1074CB"/>
          <w:sz w:val="28"/>
          <w:szCs w:val="28"/>
        </w:rPr>
        <w:t xml:space="preserve">(data for </w:t>
      </w:r>
      <w:r>
        <w:rPr>
          <w:rFonts w:ascii="Arial" w:eastAsiaTheme="minorEastAsia" w:hAnsi="Arial" w:cs="Arial"/>
          <w:b w:val="0"/>
          <w:bCs/>
          <w:color w:val="1074CB"/>
          <w:sz w:val="28"/>
          <w:szCs w:val="28"/>
        </w:rPr>
        <w:t>January 2015</w:t>
      </w:r>
      <w:r w:rsidR="00FD59F4" w:rsidRPr="007C4C5E">
        <w:rPr>
          <w:rFonts w:ascii="Arial" w:eastAsiaTheme="minorEastAsia" w:hAnsi="Arial" w:cs="Arial"/>
          <w:b w:val="0"/>
          <w:bCs/>
          <w:color w:val="1074CB"/>
          <w:sz w:val="28"/>
          <w:szCs w:val="28"/>
        </w:rPr>
        <w:t>)</w:t>
      </w:r>
    </w:p>
    <w:p w:rsidR="00C80E70" w:rsidRPr="007B7D91" w:rsidRDefault="008676F7" w:rsidP="00C80E70">
      <w:r>
        <w:rPr>
          <w:rFonts w:ascii="Arial" w:eastAsiaTheme="minorEastAsia" w:hAnsi="Arial" w:cs="Arial"/>
          <w:b/>
          <w:bCs/>
          <w:noProof/>
          <w:color w:val="1074CB"/>
          <w:sz w:val="20"/>
        </w:rPr>
        <mc:AlternateContent>
          <mc:Choice Requires="wps">
            <w:drawing>
              <wp:anchor distT="4294967293" distB="4294967293" distL="114300" distR="114300" simplePos="0" relativeHeight="251659264" behindDoc="0" locked="0" layoutInCell="1" allowOverlap="1">
                <wp:simplePos x="0" y="0"/>
                <wp:positionH relativeFrom="column">
                  <wp:posOffset>6985</wp:posOffset>
                </wp:positionH>
                <wp:positionV relativeFrom="paragraph">
                  <wp:posOffset>46989</wp:posOffset>
                </wp:positionV>
                <wp:extent cx="5845175" cy="0"/>
                <wp:effectExtent l="0" t="0" r="22225" b="1905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3.7pt" to="460.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" strokecolor="#1074cb"/>
            </w:pict>
          </mc:Fallback>
        </mc:AlternateContent>
      </w:r>
    </w:p>
    <w:p w:rsidR="00924274" w:rsidRPr="00DE1D6C" w:rsidRDefault="00DE1D6C" w:rsidP="00924274">
      <w:pPr>
        <w:pStyle w:val="Heading1"/>
        <w:tabs>
          <w:tab w:val="right" w:pos="8907"/>
        </w:tabs>
        <w:ind w:left="0" w:right="425" w:firstLine="0"/>
        <w:rPr>
          <w:rFonts w:ascii="Arial" w:eastAsiaTheme="minorEastAsia" w:hAnsi="Arial" w:cs="Arial"/>
          <w:bCs/>
          <w:color w:val="1074CB"/>
          <w:sz w:val="36"/>
          <w:szCs w:val="36"/>
        </w:rPr>
      </w:pPr>
      <w:r>
        <w:rPr>
          <w:rFonts w:ascii="Arial" w:eastAsiaTheme="minorEastAsia" w:hAnsi="Arial" w:cs="Arial"/>
          <w:bCs/>
          <w:color w:val="1074CB"/>
          <w:sz w:val="36"/>
          <w:szCs w:val="36"/>
        </w:rPr>
        <w:t>Engine manufacturing starts year with growth</w:t>
      </w:r>
    </w:p>
    <w:p w:rsidR="00C80E70" w:rsidRPr="00ED4C6E" w:rsidRDefault="00C80E70" w:rsidP="00C80E70">
      <w:pPr>
        <w:spacing w:line="276" w:lineRule="auto"/>
        <w:rPr>
          <w:rFonts w:ascii="Verdana" w:hAnsi="Verdana"/>
          <w:strike/>
          <w:sz w:val="20"/>
        </w:rPr>
      </w:pPr>
    </w:p>
    <w:p w:rsidR="00642552" w:rsidRDefault="007C4C5E" w:rsidP="005F4C35">
      <w:pPr>
        <w:pStyle w:val="ListParagraph"/>
        <w:numPr>
          <w:ilvl w:val="0"/>
          <w:numId w:val="1"/>
        </w:numPr>
        <w:ind w:left="357" w:hanging="357"/>
        <w:rPr>
          <w:rFonts w:ascii="Arial" w:hAnsi="Arial" w:cs="Arial"/>
          <w:sz w:val="20"/>
        </w:rPr>
      </w:pPr>
      <w:r>
        <w:rPr>
          <w:rFonts w:ascii="Arial" w:hAnsi="Arial" w:cs="Arial"/>
          <w:sz w:val="20"/>
        </w:rPr>
        <w:t>UK engine manufacturing up 0.2% in January, producing 206,686 units,</w:t>
      </w:r>
    </w:p>
    <w:p w:rsidR="00642552" w:rsidRDefault="00642552" w:rsidP="00642552">
      <w:pPr>
        <w:pStyle w:val="ListParagraph"/>
        <w:ind w:left="357"/>
        <w:rPr>
          <w:rFonts w:ascii="Arial" w:hAnsi="Arial" w:cs="Arial"/>
          <w:sz w:val="20"/>
        </w:rPr>
      </w:pPr>
    </w:p>
    <w:p w:rsidR="005F4C35" w:rsidRDefault="007C4C5E" w:rsidP="005F4C35">
      <w:pPr>
        <w:pStyle w:val="ListParagraph"/>
        <w:numPr>
          <w:ilvl w:val="0"/>
          <w:numId w:val="1"/>
        </w:numPr>
        <w:ind w:left="357" w:hanging="357"/>
        <w:rPr>
          <w:rFonts w:ascii="Arial" w:hAnsi="Arial" w:cs="Arial"/>
          <w:sz w:val="20"/>
        </w:rPr>
      </w:pPr>
      <w:r>
        <w:rPr>
          <w:rFonts w:ascii="Arial" w:hAnsi="Arial" w:cs="Arial"/>
          <w:sz w:val="20"/>
        </w:rPr>
        <w:t>Home demand drives sector growth, up 11.2%</w:t>
      </w:r>
      <w:r w:rsidR="000779F2">
        <w:rPr>
          <w:rFonts w:ascii="Arial" w:hAnsi="Arial" w:cs="Arial"/>
          <w:sz w:val="20"/>
        </w:rPr>
        <w:t>.</w:t>
      </w:r>
    </w:p>
    <w:p w:rsidR="005F4C35" w:rsidRPr="00642552" w:rsidRDefault="005F4C35" w:rsidP="00642552">
      <w:pPr>
        <w:rPr>
          <w:rFonts w:ascii="Arial" w:hAnsi="Arial" w:cs="Arial"/>
          <w:sz w:val="20"/>
        </w:rPr>
      </w:pPr>
    </w:p>
    <w:p w:rsidR="005F4C35" w:rsidRDefault="007C4C5E" w:rsidP="005F4C35">
      <w:pPr>
        <w:pStyle w:val="ListParagraph"/>
        <w:numPr>
          <w:ilvl w:val="0"/>
          <w:numId w:val="1"/>
        </w:numPr>
        <w:ind w:left="357" w:hanging="357"/>
        <w:rPr>
          <w:rFonts w:ascii="Arial" w:hAnsi="Arial" w:cs="Arial"/>
          <w:sz w:val="20"/>
        </w:rPr>
      </w:pPr>
      <w:r>
        <w:rPr>
          <w:rFonts w:ascii="Arial" w:hAnsi="Arial" w:cs="Arial"/>
          <w:sz w:val="20"/>
        </w:rPr>
        <w:t>Outlook bright for UK engine ma</w:t>
      </w:r>
      <w:r w:rsidR="00BC334E">
        <w:rPr>
          <w:rFonts w:ascii="Arial" w:hAnsi="Arial" w:cs="Arial"/>
          <w:sz w:val="20"/>
        </w:rPr>
        <w:t>nufacturing following major investments in recent years.</w:t>
      </w:r>
    </w:p>
    <w:p w:rsidR="00BC334E" w:rsidRPr="00BC334E" w:rsidRDefault="00BC334E" w:rsidP="00BC334E">
      <w:pPr>
        <w:pStyle w:val="ListParagraph"/>
        <w:rPr>
          <w:rFonts w:ascii="Arial" w:hAnsi="Arial" w:cs="Arial"/>
          <w:sz w:val="20"/>
        </w:rPr>
      </w:pPr>
    </w:p>
    <w:p w:rsidR="00BC334E" w:rsidRDefault="00BC334E" w:rsidP="00BC334E">
      <w:pPr>
        <w:rPr>
          <w:rFonts w:ascii="Arial" w:hAnsi="Arial" w:cs="Arial"/>
          <w:sz w:val="20"/>
        </w:rPr>
      </w:pPr>
    </w:p>
    <w:p w:rsidR="00BC334E" w:rsidRPr="00BC334E" w:rsidRDefault="00BC334E" w:rsidP="00BC334E">
      <w:pPr>
        <w:rPr>
          <w:rFonts w:ascii="Arial" w:hAnsi="Arial" w:cs="Arial"/>
          <w:sz w:val="20"/>
        </w:rPr>
      </w:pPr>
      <w:r>
        <w:rPr>
          <w:rFonts w:ascii="Arial" w:hAnsi="Arial" w:cs="Arial"/>
          <w:sz w:val="20"/>
        </w:rPr>
        <w:t>“UK engine manufacturing has had a solid start to the year, posting positive growth in January,</w:t>
      </w:r>
      <w:r w:rsidR="007C0AA0">
        <w:rPr>
          <w:rFonts w:ascii="Arial" w:hAnsi="Arial" w:cs="Arial"/>
          <w:sz w:val="20"/>
        </w:rPr>
        <w:t xml:space="preserve"> driven by demand in the home market,</w:t>
      </w:r>
      <w:r>
        <w:rPr>
          <w:rFonts w:ascii="Arial" w:hAnsi="Arial" w:cs="Arial"/>
          <w:sz w:val="20"/>
        </w:rPr>
        <w:t>” said Mike Hawes, SMMT Chief Executive. “</w:t>
      </w:r>
      <w:r w:rsidR="007C0AA0">
        <w:rPr>
          <w:rFonts w:ascii="Arial" w:hAnsi="Arial" w:cs="Arial"/>
          <w:sz w:val="20"/>
        </w:rPr>
        <w:t>Manufacturers have invested over £1 billion to UK engine production in recent years, which is expected to yield an increase in output.”</w:t>
      </w:r>
    </w:p>
    <w:p w:rsidR="00C42957" w:rsidRPr="005F4C35" w:rsidRDefault="00C42957" w:rsidP="005F4C35"/>
    <w:tbl>
      <w:tblPr>
        <w:tblW w:w="9453" w:type="dxa"/>
        <w:jc w:val="center"/>
        <w:tblBorders>
          <w:top w:val="single" w:sz="8" w:space="0" w:color="548DD4"/>
          <w:left w:val="single" w:sz="8" w:space="0" w:color="548DD4"/>
          <w:bottom w:val="single" w:sz="8" w:space="0" w:color="548DD4"/>
          <w:right w:val="single" w:sz="8" w:space="0" w:color="548DD4"/>
          <w:insideH w:val="single" w:sz="6" w:space="0" w:color="548DD4"/>
          <w:insideV w:val="single" w:sz="6" w:space="0" w:color="548DD4"/>
        </w:tblBorders>
        <w:tblLook w:val="04A0" w:firstRow="1" w:lastRow="0" w:firstColumn="1" w:lastColumn="0" w:noHBand="0" w:noVBand="1"/>
      </w:tblPr>
      <w:tblGrid>
        <w:gridCol w:w="2448"/>
        <w:gridCol w:w="1109"/>
        <w:gridCol w:w="992"/>
        <w:gridCol w:w="1276"/>
        <w:gridCol w:w="1134"/>
        <w:gridCol w:w="1140"/>
        <w:gridCol w:w="1354"/>
      </w:tblGrid>
      <w:tr w:rsidR="00ED4C6E" w:rsidRPr="00761183" w:rsidTr="001112AB">
        <w:trPr>
          <w:trHeight w:val="270"/>
          <w:jc w:val="center"/>
        </w:trPr>
        <w:tc>
          <w:tcPr>
            <w:tcW w:w="2448" w:type="dxa"/>
            <w:shd w:val="clear" w:color="auto" w:fill="auto"/>
            <w:noWrap/>
            <w:hideMark/>
          </w:tcPr>
          <w:p w:rsidR="00ED4C6E" w:rsidRPr="00ED4C6E" w:rsidRDefault="00ED4C6E">
            <w:pPr>
              <w:jc w:val="center"/>
              <w:rPr>
                <w:rFonts w:ascii="Arial" w:hAnsi="Arial" w:cs="Arial"/>
                <w:b/>
                <w:color w:val="002060"/>
                <w:sz w:val="20"/>
              </w:rPr>
            </w:pPr>
            <w:r w:rsidRPr="00ED4C6E">
              <w:rPr>
                <w:rFonts w:ascii="Arial" w:hAnsi="Arial" w:cs="Arial"/>
                <w:b/>
                <w:color w:val="002060"/>
                <w:sz w:val="20"/>
              </w:rPr>
              <w:t>Engine manufacturing</w:t>
            </w:r>
          </w:p>
        </w:tc>
        <w:tc>
          <w:tcPr>
            <w:tcW w:w="1109" w:type="dxa"/>
            <w:shd w:val="clear" w:color="auto" w:fill="auto"/>
            <w:noWrap/>
            <w:vAlign w:val="bottom"/>
            <w:hideMark/>
          </w:tcPr>
          <w:p w:rsidR="00ED4C6E" w:rsidRPr="00ED4C6E" w:rsidRDefault="00ED4C6E">
            <w:pPr>
              <w:jc w:val="center"/>
              <w:rPr>
                <w:rFonts w:ascii="Arial" w:hAnsi="Arial" w:cs="Arial"/>
                <w:b/>
                <w:color w:val="002060"/>
                <w:sz w:val="20"/>
              </w:rPr>
            </w:pPr>
            <w:r w:rsidRPr="00ED4C6E">
              <w:rPr>
                <w:rFonts w:ascii="Arial" w:hAnsi="Arial" w:cs="Arial"/>
                <w:b/>
                <w:color w:val="002060"/>
                <w:sz w:val="20"/>
              </w:rPr>
              <w:t>Jan-14</w:t>
            </w:r>
          </w:p>
        </w:tc>
        <w:tc>
          <w:tcPr>
            <w:tcW w:w="992" w:type="dxa"/>
            <w:shd w:val="clear" w:color="auto" w:fill="auto"/>
            <w:noWrap/>
            <w:vAlign w:val="bottom"/>
            <w:hideMark/>
          </w:tcPr>
          <w:p w:rsidR="00ED4C6E" w:rsidRPr="00ED4C6E" w:rsidRDefault="00ED4C6E">
            <w:pPr>
              <w:jc w:val="center"/>
              <w:rPr>
                <w:rFonts w:ascii="Arial" w:hAnsi="Arial" w:cs="Arial"/>
                <w:b/>
                <w:color w:val="002060"/>
                <w:sz w:val="20"/>
              </w:rPr>
            </w:pPr>
            <w:r w:rsidRPr="00ED4C6E">
              <w:rPr>
                <w:rFonts w:ascii="Arial" w:hAnsi="Arial" w:cs="Arial"/>
                <w:b/>
                <w:color w:val="002060"/>
                <w:sz w:val="20"/>
              </w:rPr>
              <w:t>Jan-15</w:t>
            </w:r>
          </w:p>
        </w:tc>
        <w:tc>
          <w:tcPr>
            <w:tcW w:w="1276" w:type="dxa"/>
            <w:shd w:val="clear" w:color="auto" w:fill="auto"/>
            <w:noWrap/>
            <w:vAlign w:val="bottom"/>
            <w:hideMark/>
          </w:tcPr>
          <w:p w:rsidR="00ED4C6E" w:rsidRPr="00ED4C6E" w:rsidRDefault="00ED4C6E">
            <w:pPr>
              <w:jc w:val="center"/>
              <w:rPr>
                <w:rFonts w:ascii="Arial" w:hAnsi="Arial" w:cs="Arial"/>
                <w:b/>
                <w:color w:val="002060"/>
                <w:sz w:val="20"/>
              </w:rPr>
            </w:pPr>
            <w:r w:rsidRPr="00ED4C6E">
              <w:rPr>
                <w:rFonts w:ascii="Arial" w:hAnsi="Arial" w:cs="Arial"/>
                <w:b/>
                <w:color w:val="002060"/>
                <w:sz w:val="20"/>
              </w:rPr>
              <w:t xml:space="preserve">% Change </w:t>
            </w:r>
          </w:p>
        </w:tc>
        <w:tc>
          <w:tcPr>
            <w:tcW w:w="1134" w:type="dxa"/>
            <w:shd w:val="clear" w:color="auto" w:fill="auto"/>
            <w:noWrap/>
            <w:vAlign w:val="bottom"/>
            <w:hideMark/>
          </w:tcPr>
          <w:p w:rsidR="00ED4C6E" w:rsidRPr="00ED4C6E" w:rsidRDefault="00ED4C6E">
            <w:pPr>
              <w:jc w:val="center"/>
              <w:rPr>
                <w:rFonts w:ascii="Arial" w:hAnsi="Arial" w:cs="Arial"/>
                <w:b/>
                <w:color w:val="002060"/>
                <w:sz w:val="20"/>
              </w:rPr>
            </w:pPr>
            <w:r w:rsidRPr="00ED4C6E">
              <w:rPr>
                <w:rFonts w:ascii="Arial" w:hAnsi="Arial" w:cs="Arial"/>
                <w:b/>
                <w:color w:val="002060"/>
                <w:sz w:val="20"/>
              </w:rPr>
              <w:t>YTD-14</w:t>
            </w:r>
          </w:p>
        </w:tc>
        <w:tc>
          <w:tcPr>
            <w:tcW w:w="1140" w:type="dxa"/>
            <w:shd w:val="clear" w:color="auto" w:fill="auto"/>
            <w:noWrap/>
            <w:vAlign w:val="bottom"/>
            <w:hideMark/>
          </w:tcPr>
          <w:p w:rsidR="00ED4C6E" w:rsidRPr="00ED4C6E" w:rsidRDefault="00ED4C6E">
            <w:pPr>
              <w:jc w:val="center"/>
              <w:rPr>
                <w:rFonts w:ascii="Arial" w:hAnsi="Arial" w:cs="Arial"/>
                <w:b/>
                <w:color w:val="002060"/>
                <w:sz w:val="20"/>
              </w:rPr>
            </w:pPr>
            <w:r w:rsidRPr="00ED4C6E">
              <w:rPr>
                <w:rFonts w:ascii="Arial" w:hAnsi="Arial" w:cs="Arial"/>
                <w:b/>
                <w:color w:val="002060"/>
                <w:sz w:val="20"/>
              </w:rPr>
              <w:t>YTD-15</w:t>
            </w:r>
          </w:p>
        </w:tc>
        <w:tc>
          <w:tcPr>
            <w:tcW w:w="1354" w:type="dxa"/>
            <w:shd w:val="clear" w:color="auto" w:fill="auto"/>
            <w:noWrap/>
            <w:vAlign w:val="bottom"/>
            <w:hideMark/>
          </w:tcPr>
          <w:p w:rsidR="00ED4C6E" w:rsidRPr="00ED4C6E" w:rsidRDefault="00ED4C6E">
            <w:pPr>
              <w:jc w:val="center"/>
              <w:rPr>
                <w:rFonts w:ascii="Arial" w:hAnsi="Arial" w:cs="Arial"/>
                <w:b/>
                <w:color w:val="002060"/>
                <w:sz w:val="20"/>
              </w:rPr>
            </w:pPr>
            <w:r w:rsidRPr="00ED4C6E">
              <w:rPr>
                <w:rFonts w:ascii="Arial" w:hAnsi="Arial" w:cs="Arial"/>
                <w:b/>
                <w:color w:val="002060"/>
                <w:sz w:val="20"/>
              </w:rPr>
              <w:t>% Change</w:t>
            </w:r>
          </w:p>
        </w:tc>
      </w:tr>
      <w:tr w:rsidR="00ED4C6E" w:rsidRPr="00761183" w:rsidTr="001112AB">
        <w:trPr>
          <w:trHeight w:val="270"/>
          <w:jc w:val="center"/>
        </w:trPr>
        <w:tc>
          <w:tcPr>
            <w:tcW w:w="2448" w:type="dxa"/>
            <w:shd w:val="clear" w:color="auto" w:fill="auto"/>
            <w:noWrap/>
            <w:vAlign w:val="bottom"/>
            <w:hideMark/>
          </w:tcPr>
          <w:p w:rsidR="00ED4C6E" w:rsidRPr="00ED4C6E" w:rsidRDefault="00ED4C6E">
            <w:pPr>
              <w:jc w:val="right"/>
              <w:rPr>
                <w:rFonts w:ascii="Arial" w:hAnsi="Arial" w:cs="Arial"/>
                <w:b/>
                <w:color w:val="002060"/>
                <w:sz w:val="20"/>
              </w:rPr>
            </w:pPr>
            <w:r w:rsidRPr="00ED4C6E">
              <w:rPr>
                <w:rFonts w:ascii="Arial" w:hAnsi="Arial" w:cs="Arial"/>
                <w:b/>
                <w:color w:val="002060"/>
                <w:sz w:val="20"/>
              </w:rPr>
              <w:t>Total</w:t>
            </w:r>
          </w:p>
        </w:tc>
        <w:tc>
          <w:tcPr>
            <w:tcW w:w="1109" w:type="dxa"/>
            <w:shd w:val="clear" w:color="auto" w:fill="auto"/>
            <w:noWrap/>
            <w:hideMark/>
          </w:tcPr>
          <w:p w:rsidR="00ED4C6E" w:rsidRPr="00ED4C6E" w:rsidRDefault="00ED4C6E">
            <w:pPr>
              <w:jc w:val="center"/>
              <w:rPr>
                <w:rFonts w:ascii="Arial" w:hAnsi="Arial" w:cs="Arial"/>
                <w:color w:val="002060"/>
                <w:sz w:val="20"/>
              </w:rPr>
            </w:pPr>
            <w:r w:rsidRPr="00ED4C6E">
              <w:rPr>
                <w:rFonts w:ascii="Arial" w:hAnsi="Arial" w:cs="Arial"/>
                <w:color w:val="002060"/>
                <w:sz w:val="20"/>
              </w:rPr>
              <w:t>206,291</w:t>
            </w:r>
          </w:p>
        </w:tc>
        <w:tc>
          <w:tcPr>
            <w:tcW w:w="992" w:type="dxa"/>
            <w:shd w:val="clear" w:color="auto" w:fill="auto"/>
            <w:noWrap/>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206,686</w:t>
            </w:r>
          </w:p>
        </w:tc>
        <w:tc>
          <w:tcPr>
            <w:tcW w:w="1276" w:type="dxa"/>
            <w:shd w:val="clear" w:color="auto" w:fill="auto"/>
            <w:noWrap/>
            <w:vAlign w:val="bottom"/>
            <w:hideMark/>
          </w:tcPr>
          <w:p w:rsidR="00ED4C6E" w:rsidRPr="00ED4C6E" w:rsidRDefault="00ED4C6E">
            <w:pPr>
              <w:jc w:val="right"/>
              <w:rPr>
                <w:rFonts w:ascii="Arial" w:hAnsi="Arial" w:cs="Arial"/>
                <w:color w:val="002060"/>
                <w:sz w:val="18"/>
                <w:szCs w:val="18"/>
              </w:rPr>
            </w:pPr>
            <w:r w:rsidRPr="00ED4C6E">
              <w:rPr>
                <w:rFonts w:ascii="Arial" w:hAnsi="Arial" w:cs="Arial"/>
                <w:color w:val="002060"/>
                <w:sz w:val="18"/>
                <w:szCs w:val="18"/>
              </w:rPr>
              <w:t>0.2%</w:t>
            </w:r>
          </w:p>
        </w:tc>
        <w:tc>
          <w:tcPr>
            <w:tcW w:w="1134" w:type="dxa"/>
            <w:shd w:val="clear" w:color="auto" w:fill="auto"/>
            <w:noWrap/>
            <w:hideMark/>
          </w:tcPr>
          <w:p w:rsidR="00ED4C6E" w:rsidRPr="00ED4C6E" w:rsidRDefault="00ED4C6E">
            <w:pPr>
              <w:jc w:val="center"/>
              <w:rPr>
                <w:rFonts w:ascii="Arial" w:hAnsi="Arial" w:cs="Arial"/>
                <w:color w:val="002060"/>
                <w:sz w:val="20"/>
              </w:rPr>
            </w:pPr>
            <w:r w:rsidRPr="00ED4C6E">
              <w:rPr>
                <w:rFonts w:ascii="Arial" w:hAnsi="Arial" w:cs="Arial"/>
                <w:color w:val="002060"/>
                <w:sz w:val="20"/>
              </w:rPr>
              <w:t>206,291</w:t>
            </w:r>
          </w:p>
        </w:tc>
        <w:tc>
          <w:tcPr>
            <w:tcW w:w="1140" w:type="dxa"/>
            <w:shd w:val="clear" w:color="auto" w:fill="auto"/>
            <w:noWrap/>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206,686</w:t>
            </w:r>
          </w:p>
        </w:tc>
        <w:tc>
          <w:tcPr>
            <w:tcW w:w="1354" w:type="dxa"/>
            <w:shd w:val="clear" w:color="auto" w:fill="auto"/>
            <w:noWrap/>
            <w:vAlign w:val="bottom"/>
            <w:hideMark/>
          </w:tcPr>
          <w:p w:rsidR="00ED4C6E" w:rsidRPr="00ED4C6E" w:rsidRDefault="00ED4C6E">
            <w:pPr>
              <w:jc w:val="right"/>
              <w:rPr>
                <w:rFonts w:ascii="Arial" w:hAnsi="Arial" w:cs="Arial"/>
                <w:color w:val="002060"/>
                <w:sz w:val="18"/>
                <w:szCs w:val="18"/>
              </w:rPr>
            </w:pPr>
            <w:r w:rsidRPr="00ED4C6E">
              <w:rPr>
                <w:rFonts w:ascii="Arial" w:hAnsi="Arial" w:cs="Arial"/>
                <w:color w:val="002060"/>
                <w:sz w:val="18"/>
                <w:szCs w:val="18"/>
              </w:rPr>
              <w:t>0.2%</w:t>
            </w:r>
          </w:p>
        </w:tc>
      </w:tr>
      <w:tr w:rsidR="00ED4C6E" w:rsidRPr="00761183" w:rsidTr="001112AB">
        <w:trPr>
          <w:trHeight w:val="270"/>
          <w:jc w:val="center"/>
        </w:trPr>
        <w:tc>
          <w:tcPr>
            <w:tcW w:w="2448" w:type="dxa"/>
            <w:shd w:val="clear" w:color="auto" w:fill="auto"/>
            <w:noWrap/>
            <w:vAlign w:val="bottom"/>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Home</w:t>
            </w:r>
          </w:p>
        </w:tc>
        <w:tc>
          <w:tcPr>
            <w:tcW w:w="1109" w:type="dxa"/>
            <w:shd w:val="clear" w:color="auto" w:fill="auto"/>
            <w:noWrap/>
            <w:hideMark/>
          </w:tcPr>
          <w:p w:rsidR="00ED4C6E" w:rsidRPr="00ED4C6E" w:rsidRDefault="00ED4C6E">
            <w:pPr>
              <w:jc w:val="center"/>
              <w:rPr>
                <w:rFonts w:ascii="Arial" w:hAnsi="Arial" w:cs="Arial"/>
                <w:color w:val="002060"/>
                <w:sz w:val="20"/>
              </w:rPr>
            </w:pPr>
            <w:r w:rsidRPr="00ED4C6E">
              <w:rPr>
                <w:rFonts w:ascii="Arial" w:hAnsi="Arial" w:cs="Arial"/>
                <w:color w:val="002060"/>
                <w:sz w:val="20"/>
              </w:rPr>
              <w:t>71,016</w:t>
            </w:r>
          </w:p>
        </w:tc>
        <w:tc>
          <w:tcPr>
            <w:tcW w:w="992" w:type="dxa"/>
            <w:shd w:val="clear" w:color="auto" w:fill="auto"/>
            <w:noWrap/>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78,960</w:t>
            </w:r>
          </w:p>
        </w:tc>
        <w:tc>
          <w:tcPr>
            <w:tcW w:w="1276" w:type="dxa"/>
            <w:shd w:val="clear" w:color="auto" w:fill="auto"/>
            <w:noWrap/>
            <w:vAlign w:val="bottom"/>
            <w:hideMark/>
          </w:tcPr>
          <w:p w:rsidR="00ED4C6E" w:rsidRPr="00ED4C6E" w:rsidRDefault="00ED4C6E">
            <w:pPr>
              <w:jc w:val="right"/>
              <w:rPr>
                <w:rFonts w:ascii="Arial" w:hAnsi="Arial" w:cs="Arial"/>
                <w:color w:val="002060"/>
                <w:sz w:val="18"/>
                <w:szCs w:val="18"/>
              </w:rPr>
            </w:pPr>
            <w:r w:rsidRPr="00ED4C6E">
              <w:rPr>
                <w:rFonts w:ascii="Arial" w:hAnsi="Arial" w:cs="Arial"/>
                <w:color w:val="002060"/>
                <w:sz w:val="18"/>
                <w:szCs w:val="18"/>
              </w:rPr>
              <w:t>11.2%</w:t>
            </w:r>
          </w:p>
        </w:tc>
        <w:tc>
          <w:tcPr>
            <w:tcW w:w="1134" w:type="dxa"/>
            <w:shd w:val="clear" w:color="auto" w:fill="auto"/>
            <w:noWrap/>
            <w:vAlign w:val="bottom"/>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71,016</w:t>
            </w:r>
          </w:p>
        </w:tc>
        <w:tc>
          <w:tcPr>
            <w:tcW w:w="1140" w:type="dxa"/>
            <w:shd w:val="clear" w:color="auto" w:fill="auto"/>
            <w:noWrap/>
            <w:vAlign w:val="bottom"/>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78,960</w:t>
            </w:r>
          </w:p>
        </w:tc>
        <w:tc>
          <w:tcPr>
            <w:tcW w:w="1354" w:type="dxa"/>
            <w:shd w:val="clear" w:color="auto" w:fill="auto"/>
            <w:noWrap/>
            <w:vAlign w:val="bottom"/>
            <w:hideMark/>
          </w:tcPr>
          <w:p w:rsidR="00ED4C6E" w:rsidRPr="00ED4C6E" w:rsidRDefault="00ED4C6E">
            <w:pPr>
              <w:jc w:val="right"/>
              <w:rPr>
                <w:rFonts w:ascii="Arial" w:hAnsi="Arial" w:cs="Arial"/>
                <w:color w:val="002060"/>
                <w:sz w:val="18"/>
                <w:szCs w:val="18"/>
              </w:rPr>
            </w:pPr>
            <w:r w:rsidRPr="00ED4C6E">
              <w:rPr>
                <w:rFonts w:ascii="Arial" w:hAnsi="Arial" w:cs="Arial"/>
                <w:color w:val="002060"/>
                <w:sz w:val="18"/>
                <w:szCs w:val="18"/>
              </w:rPr>
              <w:t>11.2%</w:t>
            </w:r>
          </w:p>
        </w:tc>
      </w:tr>
      <w:tr w:rsidR="00ED4C6E" w:rsidRPr="00761183" w:rsidTr="00994322">
        <w:trPr>
          <w:trHeight w:val="270"/>
          <w:jc w:val="center"/>
        </w:trPr>
        <w:tc>
          <w:tcPr>
            <w:tcW w:w="2448" w:type="dxa"/>
            <w:shd w:val="clear" w:color="auto" w:fill="auto"/>
            <w:noWrap/>
            <w:vAlign w:val="bottom"/>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Export</w:t>
            </w:r>
          </w:p>
        </w:tc>
        <w:tc>
          <w:tcPr>
            <w:tcW w:w="1109" w:type="dxa"/>
            <w:shd w:val="clear" w:color="auto" w:fill="auto"/>
            <w:noWrap/>
            <w:vAlign w:val="bottom"/>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135,275</w:t>
            </w:r>
          </w:p>
        </w:tc>
        <w:tc>
          <w:tcPr>
            <w:tcW w:w="992" w:type="dxa"/>
            <w:shd w:val="clear" w:color="auto" w:fill="auto"/>
            <w:noWrap/>
            <w:vAlign w:val="bottom"/>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127,726</w:t>
            </w:r>
          </w:p>
        </w:tc>
        <w:tc>
          <w:tcPr>
            <w:tcW w:w="1276" w:type="dxa"/>
            <w:shd w:val="clear" w:color="auto" w:fill="auto"/>
            <w:noWrap/>
            <w:vAlign w:val="bottom"/>
            <w:hideMark/>
          </w:tcPr>
          <w:p w:rsidR="00ED4C6E" w:rsidRPr="00ED4C6E" w:rsidRDefault="00ED4C6E">
            <w:pPr>
              <w:jc w:val="right"/>
              <w:rPr>
                <w:rFonts w:ascii="Arial" w:hAnsi="Arial" w:cs="Arial"/>
                <w:color w:val="002060"/>
                <w:sz w:val="18"/>
                <w:szCs w:val="18"/>
              </w:rPr>
            </w:pPr>
            <w:r w:rsidRPr="00ED4C6E">
              <w:rPr>
                <w:rFonts w:ascii="Arial" w:hAnsi="Arial" w:cs="Arial"/>
                <w:color w:val="002060"/>
                <w:sz w:val="18"/>
                <w:szCs w:val="18"/>
              </w:rPr>
              <w:t>-5.6%</w:t>
            </w:r>
          </w:p>
        </w:tc>
        <w:tc>
          <w:tcPr>
            <w:tcW w:w="1134" w:type="dxa"/>
            <w:shd w:val="clear" w:color="auto" w:fill="auto"/>
            <w:noWrap/>
            <w:vAlign w:val="bottom"/>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135,275</w:t>
            </w:r>
          </w:p>
        </w:tc>
        <w:tc>
          <w:tcPr>
            <w:tcW w:w="1140" w:type="dxa"/>
            <w:shd w:val="clear" w:color="auto" w:fill="auto"/>
            <w:noWrap/>
            <w:vAlign w:val="bottom"/>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127,726</w:t>
            </w:r>
          </w:p>
        </w:tc>
        <w:tc>
          <w:tcPr>
            <w:tcW w:w="1354" w:type="dxa"/>
            <w:shd w:val="clear" w:color="auto" w:fill="auto"/>
            <w:noWrap/>
            <w:vAlign w:val="bottom"/>
            <w:hideMark/>
          </w:tcPr>
          <w:p w:rsidR="00ED4C6E" w:rsidRPr="00ED4C6E" w:rsidRDefault="00ED4C6E">
            <w:pPr>
              <w:jc w:val="right"/>
              <w:rPr>
                <w:rFonts w:ascii="Arial" w:hAnsi="Arial" w:cs="Arial"/>
                <w:color w:val="002060"/>
                <w:sz w:val="18"/>
                <w:szCs w:val="18"/>
              </w:rPr>
            </w:pPr>
            <w:r w:rsidRPr="00ED4C6E">
              <w:rPr>
                <w:rFonts w:ascii="Arial" w:hAnsi="Arial" w:cs="Arial"/>
                <w:color w:val="002060"/>
                <w:sz w:val="18"/>
                <w:szCs w:val="18"/>
              </w:rPr>
              <w:t>-5.6%</w:t>
            </w:r>
          </w:p>
        </w:tc>
      </w:tr>
      <w:tr w:rsidR="00ED4C6E" w:rsidRPr="00761183" w:rsidTr="00994322">
        <w:trPr>
          <w:trHeight w:val="270"/>
          <w:jc w:val="center"/>
        </w:trPr>
        <w:tc>
          <w:tcPr>
            <w:tcW w:w="2448" w:type="dxa"/>
            <w:shd w:val="clear" w:color="auto" w:fill="auto"/>
            <w:noWrap/>
            <w:vAlign w:val="bottom"/>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 export</w:t>
            </w:r>
          </w:p>
        </w:tc>
        <w:tc>
          <w:tcPr>
            <w:tcW w:w="1109" w:type="dxa"/>
            <w:shd w:val="clear" w:color="auto" w:fill="auto"/>
            <w:noWrap/>
            <w:vAlign w:val="bottom"/>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65.6%</w:t>
            </w:r>
          </w:p>
        </w:tc>
        <w:tc>
          <w:tcPr>
            <w:tcW w:w="992" w:type="dxa"/>
            <w:shd w:val="clear" w:color="auto" w:fill="auto"/>
            <w:noWrap/>
            <w:vAlign w:val="bottom"/>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61.8%</w:t>
            </w:r>
          </w:p>
        </w:tc>
        <w:tc>
          <w:tcPr>
            <w:tcW w:w="1276" w:type="dxa"/>
            <w:shd w:val="clear" w:color="auto" w:fill="auto"/>
            <w:noWrap/>
            <w:vAlign w:val="bottom"/>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 </w:t>
            </w:r>
          </w:p>
        </w:tc>
        <w:tc>
          <w:tcPr>
            <w:tcW w:w="1134" w:type="dxa"/>
            <w:shd w:val="clear" w:color="auto" w:fill="auto"/>
            <w:noWrap/>
            <w:vAlign w:val="bottom"/>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65.6%</w:t>
            </w:r>
          </w:p>
        </w:tc>
        <w:tc>
          <w:tcPr>
            <w:tcW w:w="1140" w:type="dxa"/>
            <w:shd w:val="clear" w:color="auto" w:fill="auto"/>
            <w:noWrap/>
            <w:vAlign w:val="bottom"/>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61.8%</w:t>
            </w:r>
          </w:p>
        </w:tc>
        <w:tc>
          <w:tcPr>
            <w:tcW w:w="1354" w:type="dxa"/>
            <w:shd w:val="clear" w:color="auto" w:fill="auto"/>
            <w:noWrap/>
            <w:vAlign w:val="bottom"/>
            <w:hideMark/>
          </w:tcPr>
          <w:p w:rsidR="00ED4C6E" w:rsidRPr="00ED4C6E" w:rsidRDefault="00ED4C6E">
            <w:pPr>
              <w:jc w:val="right"/>
              <w:rPr>
                <w:rFonts w:ascii="Arial" w:hAnsi="Arial" w:cs="Arial"/>
                <w:color w:val="002060"/>
                <w:sz w:val="20"/>
              </w:rPr>
            </w:pPr>
            <w:r w:rsidRPr="00ED4C6E">
              <w:rPr>
                <w:rFonts w:ascii="Arial" w:hAnsi="Arial" w:cs="Arial"/>
                <w:color w:val="002060"/>
                <w:sz w:val="20"/>
              </w:rPr>
              <w:t> </w:t>
            </w:r>
          </w:p>
        </w:tc>
      </w:tr>
    </w:tbl>
    <w:p w:rsidR="00761183" w:rsidRDefault="00761183" w:rsidP="00C80E70">
      <w:pPr>
        <w:ind w:left="360"/>
        <w:rPr>
          <w:rFonts w:ascii="Arial" w:hAnsi="Arial" w:cs="Arial"/>
          <w:sz w:val="20"/>
        </w:rPr>
      </w:pPr>
    </w:p>
    <w:p w:rsidR="00ED4C6E" w:rsidRDefault="00ED4C6E" w:rsidP="000B47D6">
      <w:pPr>
        <w:rPr>
          <w:rFonts w:ascii="Arial" w:hAnsi="Arial" w:cs="Arial"/>
          <w:b/>
          <w:color w:val="0D2255"/>
          <w:sz w:val="20"/>
        </w:rPr>
      </w:pPr>
    </w:p>
    <w:p w:rsidR="00ED4C6E" w:rsidRDefault="00C80E70" w:rsidP="000B47D6">
      <w:pPr>
        <w:rPr>
          <w:rFonts w:ascii="Arial" w:hAnsi="Arial" w:cs="Arial"/>
          <w:b/>
          <w:color w:val="0D2255"/>
          <w:sz w:val="20"/>
        </w:rPr>
      </w:pPr>
      <w:r>
        <w:rPr>
          <w:rFonts w:ascii="Arial" w:hAnsi="Arial" w:cs="Arial"/>
          <w:b/>
          <w:color w:val="0D2255"/>
          <w:sz w:val="20"/>
        </w:rPr>
        <w:t>Engine</w:t>
      </w:r>
      <w:r w:rsidRPr="00D62A9D">
        <w:rPr>
          <w:rFonts w:ascii="Arial" w:hAnsi="Arial" w:cs="Arial"/>
          <w:b/>
          <w:color w:val="0D2255"/>
          <w:sz w:val="20"/>
        </w:rPr>
        <w:t xml:space="preserve"> output </w:t>
      </w:r>
      <w:r w:rsidR="00CB7097">
        <w:rPr>
          <w:rFonts w:ascii="Arial" w:hAnsi="Arial" w:cs="Arial"/>
          <w:b/>
          <w:color w:val="0D2255"/>
          <w:sz w:val="20"/>
        </w:rPr>
        <w:t xml:space="preserve">– </w:t>
      </w:r>
      <w:r w:rsidRPr="00D62A9D">
        <w:rPr>
          <w:rFonts w:ascii="Arial" w:hAnsi="Arial" w:cs="Arial"/>
          <w:b/>
          <w:color w:val="0D2255"/>
          <w:sz w:val="20"/>
        </w:rPr>
        <w:t>rolling year total</w:t>
      </w:r>
      <w:r w:rsidR="006D687A">
        <w:rPr>
          <w:rFonts w:ascii="Arial" w:hAnsi="Arial" w:cs="Arial"/>
          <w:b/>
          <w:color w:val="0D2255"/>
          <w:sz w:val="20"/>
        </w:rPr>
        <w:tab/>
      </w:r>
      <w:r w:rsidR="0090726B">
        <w:rPr>
          <w:rFonts w:ascii="Arial" w:hAnsi="Arial" w:cs="Arial"/>
          <w:b/>
          <w:color w:val="0D2255"/>
          <w:sz w:val="20"/>
        </w:rPr>
        <w:t xml:space="preserve">         </w:t>
      </w:r>
      <w:r w:rsidR="00393036">
        <w:rPr>
          <w:rFonts w:ascii="Arial" w:hAnsi="Arial" w:cs="Arial"/>
          <w:b/>
          <w:color w:val="0D2255"/>
          <w:sz w:val="20"/>
        </w:rPr>
        <w:t xml:space="preserve">     </w:t>
      </w:r>
      <w:r w:rsidR="00545182">
        <w:rPr>
          <w:rFonts w:ascii="Arial" w:hAnsi="Arial" w:cs="Arial"/>
          <w:b/>
          <w:color w:val="0D2255"/>
          <w:sz w:val="20"/>
        </w:rPr>
        <w:t>Engine output</w:t>
      </w:r>
      <w:r w:rsidR="0088378B">
        <w:rPr>
          <w:rFonts w:ascii="Arial" w:hAnsi="Arial" w:cs="Arial"/>
          <w:b/>
          <w:color w:val="0D2255"/>
          <w:sz w:val="20"/>
        </w:rPr>
        <w:t xml:space="preserve"> – 2013-2015</w:t>
      </w:r>
      <w:r w:rsidR="00C0322D">
        <w:rPr>
          <w:rFonts w:ascii="Arial" w:hAnsi="Arial" w:cs="Arial"/>
          <w:b/>
          <w:color w:val="0D2255"/>
          <w:sz w:val="20"/>
        </w:rPr>
        <w:t xml:space="preserve"> and mean 2009-2014</w:t>
      </w:r>
    </w:p>
    <w:p w:rsidR="000B47D6" w:rsidRPr="00ED4C6E" w:rsidRDefault="00ED4C6E" w:rsidP="000B47D6">
      <w:pPr>
        <w:rPr>
          <w:rFonts w:ascii="Verdana" w:hAnsi="Verdana"/>
          <w:sz w:val="20"/>
        </w:rPr>
      </w:pPr>
      <w:r w:rsidRPr="00FC5CD3">
        <w:rPr>
          <w:rFonts w:ascii="Arial" w:hAnsi="Arial" w:cs="Arial"/>
          <w:noProof/>
        </w:rPr>
        <w:drawing>
          <wp:inline distT="0" distB="0" distL="0" distR="0" wp14:anchorId="13803CD1" wp14:editId="39A9D36D">
            <wp:extent cx="2787588" cy="2778711"/>
            <wp:effectExtent l="0" t="0" r="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FC5CD3">
        <w:rPr>
          <w:rFonts w:ascii="Arial" w:hAnsi="Arial" w:cs="Arial"/>
          <w:noProof/>
        </w:rPr>
        <w:drawing>
          <wp:inline distT="0" distB="0" distL="0" distR="0" wp14:anchorId="213F6F7A" wp14:editId="19A460C8">
            <wp:extent cx="3133817" cy="2849732"/>
            <wp:effectExtent l="0" t="0" r="0" b="825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sectPr w:rsidR="000B47D6" w:rsidRPr="00ED4C6E" w:rsidSect="00A72CAD">
      <w:headerReference w:type="default" r:id="rId11"/>
      <w:footerReference w:type="default" r:id="rId12"/>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7D" w:rsidRDefault="00C4687D" w:rsidP="00C80E70">
      <w:r>
        <w:separator/>
      </w:r>
    </w:p>
  </w:endnote>
  <w:endnote w:type="continuationSeparator" w:id="0">
    <w:p w:rsidR="00C4687D" w:rsidRDefault="00C4687D" w:rsidP="00C8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7A" w:rsidRPr="00853E71" w:rsidRDefault="006D687A" w:rsidP="00F843C1">
    <w:pPr>
      <w:rPr>
        <w:rFonts w:ascii="Arial" w:eastAsia="Times New Roman" w:hAnsi="Arial" w:cs="Arial"/>
        <w:b/>
        <w:color w:val="1074CB"/>
        <w:sz w:val="16"/>
        <w:szCs w:val="16"/>
      </w:rPr>
    </w:pPr>
    <w:r w:rsidRPr="00853E71">
      <w:rPr>
        <w:rFonts w:ascii="Arial" w:eastAsia="Times New Roman" w:hAnsi="Arial" w:cs="Arial"/>
        <w:b/>
        <w:color w:val="1074CB"/>
        <w:sz w:val="16"/>
        <w:szCs w:val="16"/>
      </w:rPr>
      <w:t>About SMMT and the UK automotive industry</w:t>
    </w:r>
  </w:p>
  <w:p w:rsidR="006D687A" w:rsidRPr="00853E71" w:rsidRDefault="006D687A"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6D687A" w:rsidRPr="00853E71" w:rsidRDefault="006D687A" w:rsidP="00F843C1">
    <w:pPr>
      <w:spacing w:afterAutospacing="1"/>
      <w:contextualSpacing/>
      <w:rPr>
        <w:rFonts w:ascii="Arial" w:eastAsia="Times New Roman" w:hAnsi="Arial" w:cs="Arial"/>
        <w:color w:val="1074CB"/>
        <w:sz w:val="16"/>
        <w:szCs w:val="16"/>
      </w:rPr>
    </w:pPr>
  </w:p>
  <w:p w:rsidR="006D687A" w:rsidRPr="00853E71" w:rsidRDefault="006D687A" w:rsidP="00F843C1">
    <w:pPr>
      <w:spacing w:afterAutospacing="1"/>
      <w:contextualSpacing/>
      <w:rPr>
        <w:rFonts w:ascii="Arial" w:eastAsia="Times New Roman" w:hAnsi="Arial" w:cs="Arial"/>
        <w:color w:val="1074CB"/>
        <w:sz w:val="16"/>
        <w:szCs w:val="16"/>
      </w:rPr>
    </w:pPr>
    <w:r w:rsidRPr="00853E71">
      <w:rPr>
        <w:rFonts w:ascii="Arial" w:eastAsia="Times New Roman" w:hAnsi="Arial" w:cs="Arial"/>
        <w:color w:val="1074CB"/>
        <w:sz w:val="16"/>
        <w:szCs w:val="16"/>
      </w:rPr>
      <w:t xml:space="preserve">The automotive industry is a vital part of the UK economy accounting for more than </w:t>
    </w:r>
    <w:r w:rsidRPr="00853E71">
      <w:rPr>
        <w:rFonts w:ascii="Arial" w:eastAsia="Calibri" w:hAnsi="Arial" w:cs="Arial"/>
        <w:b/>
        <w:bCs/>
        <w:color w:val="1074CB"/>
        <w:sz w:val="16"/>
      </w:rPr>
      <w:t>£64 billion turnover</w:t>
    </w:r>
    <w:r w:rsidRPr="00853E71">
      <w:rPr>
        <w:rFonts w:ascii="Arial" w:eastAsia="Times New Roman" w:hAnsi="Arial" w:cs="Arial"/>
        <w:color w:val="1074CB"/>
        <w:sz w:val="16"/>
        <w:szCs w:val="16"/>
      </w:rPr>
      <w:t xml:space="preserve"> and </w:t>
    </w:r>
    <w:r w:rsidRPr="00853E71">
      <w:rPr>
        <w:rFonts w:ascii="Arial" w:eastAsia="Calibri" w:hAnsi="Arial" w:cs="Arial"/>
        <w:b/>
        <w:bCs/>
        <w:color w:val="1074CB"/>
        <w:sz w:val="16"/>
      </w:rPr>
      <w:t>£12 billion value added</w:t>
    </w:r>
    <w:r w:rsidRPr="00853E71">
      <w:rPr>
        <w:rFonts w:ascii="Arial" w:eastAsia="Times New Roman" w:hAnsi="Arial" w:cs="Arial"/>
        <w:color w:val="1074CB"/>
        <w:sz w:val="16"/>
        <w:szCs w:val="16"/>
      </w:rPr>
      <w:t xml:space="preserve">. With more than </w:t>
    </w:r>
    <w:r w:rsidRPr="00853E71">
      <w:rPr>
        <w:rFonts w:ascii="Arial" w:eastAsia="Times New Roman" w:hAnsi="Arial" w:cs="Arial"/>
        <w:b/>
        <w:bCs/>
        <w:color w:val="1074CB"/>
        <w:sz w:val="16"/>
        <w:szCs w:val="16"/>
      </w:rPr>
      <w:t>160,000</w:t>
    </w:r>
    <w:r w:rsidRPr="00853E71">
      <w:rPr>
        <w:rFonts w:ascii="Arial" w:eastAsia="Times New Roman" w:hAnsi="Arial" w:cs="Arial"/>
        <w:color w:val="1074CB"/>
        <w:sz w:val="16"/>
        <w:szCs w:val="16"/>
      </w:rPr>
      <w:t xml:space="preserve"> people employed directly in manufacturing and in excess of </w:t>
    </w:r>
    <w:r w:rsidRPr="00853E71">
      <w:rPr>
        <w:rFonts w:ascii="Arial" w:eastAsia="Calibri" w:hAnsi="Arial" w:cs="Arial"/>
        <w:b/>
        <w:bCs/>
        <w:color w:val="1074CB"/>
        <w:sz w:val="16"/>
      </w:rPr>
      <w:t xml:space="preserve">770,000 across </w:t>
    </w:r>
    <w:r w:rsidRPr="00853E71">
      <w:rPr>
        <w:rFonts w:ascii="Arial" w:eastAsia="Times New Roman" w:hAnsi="Arial" w:cs="Arial"/>
        <w:color w:val="1074CB"/>
        <w:sz w:val="16"/>
        <w:szCs w:val="16"/>
      </w:rPr>
      <w:t xml:space="preserve">the wider automotive industry, it accounts for </w:t>
    </w:r>
    <w:r w:rsidRPr="00853E71">
      <w:rPr>
        <w:rFonts w:ascii="Arial" w:eastAsia="Calibri" w:hAnsi="Arial" w:cs="Arial"/>
        <w:b/>
        <w:bCs/>
        <w:color w:val="1074CB"/>
        <w:sz w:val="16"/>
      </w:rPr>
      <w:t>10% of total UK export</w:t>
    </w:r>
    <w:r w:rsidRPr="00853E71">
      <w:rPr>
        <w:rFonts w:ascii="Arial" w:eastAsia="Times New Roman" w:hAnsi="Arial" w:cs="Arial"/>
        <w:b/>
        <w:bCs/>
        <w:color w:val="1074CB"/>
        <w:sz w:val="16"/>
        <w:szCs w:val="16"/>
      </w:rPr>
      <w:t xml:space="preserve"> of goods</w:t>
    </w:r>
    <w:r w:rsidRPr="00853E71">
      <w:rPr>
        <w:rFonts w:ascii="Arial" w:eastAsia="Times New Roman" w:hAnsi="Arial" w:cs="Arial"/>
        <w:color w:val="1074CB"/>
        <w:sz w:val="16"/>
        <w:szCs w:val="16"/>
      </w:rPr>
      <w:t xml:space="preserve"> and invests </w:t>
    </w:r>
    <w:r w:rsidRPr="00853E71">
      <w:rPr>
        <w:rFonts w:ascii="Arial" w:eastAsia="Calibri" w:hAnsi="Arial" w:cs="Arial"/>
        <w:b/>
        <w:bCs/>
        <w:color w:val="1074CB"/>
        <w:sz w:val="16"/>
      </w:rPr>
      <w:t>£1.9 billion</w:t>
    </w:r>
    <w:r w:rsidRPr="00853E71">
      <w:rPr>
        <w:rFonts w:ascii="Arial" w:eastAsia="Times New Roman" w:hAnsi="Arial" w:cs="Arial"/>
        <w:color w:val="1074CB"/>
        <w:sz w:val="16"/>
        <w:szCs w:val="16"/>
      </w:rPr>
      <w:t xml:space="preserve"> each year in automotive R&amp;D. More than </w:t>
    </w:r>
    <w:r w:rsidRPr="00853E71">
      <w:rPr>
        <w:rFonts w:ascii="Arial" w:eastAsia="Calibri" w:hAnsi="Arial" w:cs="Arial"/>
        <w:b/>
        <w:bCs/>
        <w:color w:val="1074CB"/>
        <w:sz w:val="16"/>
      </w:rPr>
      <w:t>30 manufacturers</w:t>
    </w:r>
    <w:r w:rsidRPr="00853E71">
      <w:rPr>
        <w:rFonts w:ascii="Arial" w:eastAsia="Times New Roman" w:hAnsi="Arial" w:cs="Arial"/>
        <w:color w:val="1074CB"/>
        <w:sz w:val="16"/>
        <w:szCs w:val="16"/>
      </w:rPr>
      <w:t xml:space="preserve"> build in excess of </w:t>
    </w:r>
    <w:r w:rsidRPr="00853E71">
      <w:rPr>
        <w:rFonts w:ascii="Arial" w:eastAsia="Calibri" w:hAnsi="Arial" w:cs="Arial"/>
        <w:b/>
        <w:bCs/>
        <w:color w:val="1074CB"/>
        <w:sz w:val="16"/>
      </w:rPr>
      <w:t>70 models</w:t>
    </w:r>
    <w:r w:rsidRPr="00853E71">
      <w:rPr>
        <w:rFonts w:ascii="Arial" w:eastAsia="Times New Roman" w:hAnsi="Arial" w:cs="Arial"/>
        <w:color w:val="1074CB"/>
        <w:sz w:val="16"/>
        <w:szCs w:val="16"/>
      </w:rPr>
      <w:t xml:space="preserve"> of vehicle in the UK supported by around </w:t>
    </w:r>
    <w:r w:rsidRPr="00853E71">
      <w:rPr>
        <w:rFonts w:ascii="Arial" w:eastAsia="Calibri" w:hAnsi="Arial" w:cs="Arial"/>
        <w:b/>
        <w:bCs/>
        <w:color w:val="1074CB"/>
        <w:sz w:val="16"/>
      </w:rPr>
      <w:t>2,500 component providers</w:t>
    </w:r>
    <w:r w:rsidRPr="00853E71">
      <w:rPr>
        <w:rFonts w:ascii="Arial" w:eastAsia="Times New Roman" w:hAnsi="Arial" w:cs="Arial"/>
        <w:color w:val="1074CB"/>
        <w:sz w:val="16"/>
        <w:szCs w:val="16"/>
      </w:rPr>
      <w:t xml:space="preserve"> and some of the world's most </w:t>
    </w:r>
    <w:r w:rsidRPr="00853E71">
      <w:rPr>
        <w:rFonts w:ascii="Arial" w:eastAsia="Calibri" w:hAnsi="Arial" w:cs="Arial"/>
        <w:b/>
        <w:bCs/>
        <w:color w:val="1074CB"/>
        <w:sz w:val="16"/>
      </w:rPr>
      <w:t>skilled engineers</w:t>
    </w:r>
    <w:r w:rsidRPr="00853E71">
      <w:rPr>
        <w:rFonts w:ascii="Arial" w:eastAsia="Times New Roman" w:hAnsi="Arial" w:cs="Arial"/>
        <w:color w:val="1074CB"/>
        <w:sz w:val="16"/>
        <w:szCs w:val="16"/>
      </w:rPr>
      <w:t>.</w:t>
    </w:r>
  </w:p>
  <w:p w:rsidR="006D687A" w:rsidRPr="00853E71" w:rsidRDefault="006D687A" w:rsidP="00F843C1">
    <w:pPr>
      <w:spacing w:afterAutospacing="1"/>
      <w:contextualSpacing/>
      <w:rPr>
        <w:rFonts w:ascii="Arial" w:eastAsia="Times New Roman" w:hAnsi="Arial" w:cs="Arial"/>
        <w:color w:val="1074CB"/>
        <w:sz w:val="16"/>
        <w:szCs w:val="16"/>
      </w:rPr>
    </w:pPr>
  </w:p>
  <w:p w:rsidR="006D687A" w:rsidRPr="00853E71" w:rsidRDefault="006D687A" w:rsidP="00F843C1">
    <w:pPr>
      <w:spacing w:afterAutospacing="1"/>
      <w:contextualSpacing/>
      <w:rPr>
        <w:rFonts w:ascii="Arial" w:eastAsia="Times New Roman" w:hAnsi="Arial" w:cs="Arial"/>
        <w:sz w:val="16"/>
        <w:szCs w:val="16"/>
      </w:rPr>
    </w:pPr>
    <w:r w:rsidRPr="00853E71">
      <w:rPr>
        <w:rFonts w:ascii="Arial" w:eastAsia="Times New Roman" w:hAnsi="Arial" w:cs="Arial"/>
        <w:color w:val="1074CB"/>
        <w:sz w:val="16"/>
        <w:szCs w:val="16"/>
      </w:rPr>
      <w:t xml:space="preserve">More detail on UK automotive available in SMMT's Motor Industry Facts 2014 publication at </w:t>
    </w:r>
    <w:hyperlink r:id="rId1" w:history="1">
      <w:r w:rsidRPr="00853E71">
        <w:rPr>
          <w:rFonts w:ascii="Arial" w:eastAsia="Times New Roman" w:hAnsi="Arial" w:cs="Arial"/>
          <w:color w:val="0000FF"/>
          <w:sz w:val="16"/>
          <w:u w:val="single"/>
        </w:rPr>
        <w:t>www.smmt.co.uk/facts14</w:t>
      </w:r>
    </w:hyperlink>
    <w:r w:rsidRPr="00853E71">
      <w:rPr>
        <w:rFonts w:ascii="Arial" w:eastAsia="Times New Roman" w:hAnsi="Arial" w:cs="Arial"/>
        <w:color w:val="1074CB"/>
        <w:sz w:val="16"/>
        <w:szCs w:val="16"/>
      </w:rPr>
      <w:t>.</w:t>
    </w:r>
  </w:p>
  <w:p w:rsidR="006D687A" w:rsidRPr="00853E71" w:rsidRDefault="006D687A" w:rsidP="00F843C1">
    <w:pPr>
      <w:spacing w:afterAutospacing="1"/>
      <w:contextualSpacing/>
      <w:rPr>
        <w:rFonts w:ascii="Arial" w:eastAsia="Times New Roman" w:hAnsi="Arial" w:cs="Arial"/>
        <w:color w:val="1074CB"/>
        <w:sz w:val="16"/>
        <w:szCs w:val="16"/>
      </w:rPr>
    </w:pPr>
  </w:p>
  <w:p w:rsidR="006D687A" w:rsidRPr="00853E71" w:rsidRDefault="006D687A" w:rsidP="00F843C1">
    <w:pPr>
      <w:spacing w:afterAutospacing="1"/>
      <w:rPr>
        <w:rFonts w:ascii="Arial" w:eastAsia="Calibri" w:hAnsi="Arial" w:cs="Arial"/>
        <w:bCs/>
        <w:color w:val="1074CB"/>
        <w:sz w:val="16"/>
      </w:rPr>
    </w:pPr>
    <w:r w:rsidRPr="00853E71">
      <w:rPr>
        <w:rFonts w:ascii="Arial" w:eastAsia="Calibri" w:hAnsi="Arial" w:cs="Arial"/>
        <w:b/>
        <w:bCs/>
        <w:color w:val="1074CB"/>
        <w:sz w:val="16"/>
        <w:u w:val="single"/>
      </w:rPr>
      <w:t>Broadcasters</w:t>
    </w:r>
    <w:r w:rsidRPr="00853E71">
      <w:rPr>
        <w:rFonts w:ascii="Arial" w:eastAsia="Calibri" w:hAnsi="Arial" w:cs="Arial"/>
        <w:b/>
        <w:bCs/>
        <w:color w:val="1074CB"/>
        <w:sz w:val="16"/>
      </w:rPr>
      <w:t>: SMMT has an ISDN studio and access to expert spokespeople, case studies and regional representatives.</w:t>
    </w:r>
  </w:p>
  <w:p w:rsidR="006D687A" w:rsidRPr="00853E71" w:rsidRDefault="006D687A" w:rsidP="00F843C1">
    <w:pPr>
      <w:rPr>
        <w:rFonts w:ascii="Arial" w:eastAsia="Times New Roman" w:hAnsi="Arial" w:cs="Arial"/>
        <w:color w:val="1074CB"/>
        <w:sz w:val="16"/>
        <w:szCs w:val="16"/>
      </w:rPr>
    </w:pPr>
    <w:r w:rsidRPr="00853E71">
      <w:rPr>
        <w:rFonts w:ascii="Arial" w:eastAsia="Times New Roman" w:hAnsi="Arial" w:cs="Arial"/>
        <w:b/>
        <w:color w:val="1074CB"/>
        <w:sz w:val="16"/>
        <w:szCs w:val="16"/>
      </w:rPr>
      <w:t>Media contacts</w:t>
    </w:r>
  </w:p>
  <w:p w:rsidR="006D687A" w:rsidRDefault="006D687A" w:rsidP="00C80E70">
    <w:pPr>
      <w:rPr>
        <w:rFonts w:ascii="Arial" w:eastAsia="Times New Roman" w:hAnsi="Arial" w:cs="Arial"/>
        <w:color w:val="1074CB"/>
        <w:sz w:val="16"/>
        <w:szCs w:val="16"/>
      </w:rPr>
    </w:pPr>
    <w:r>
      <w:rPr>
        <w:rFonts w:ascii="Arial" w:eastAsia="Times New Roman" w:hAnsi="Arial" w:cs="Arial"/>
        <w:color w:val="1074CB"/>
        <w:sz w:val="16"/>
        <w:szCs w:val="16"/>
      </w:rPr>
      <w:t>Ben Foulds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020 7344 9222</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2" w:history="1">
      <w:r w:rsidRPr="001C0FBF">
        <w:rPr>
          <w:rStyle w:val="Hyperlink"/>
          <w:rFonts w:ascii="Arial" w:eastAsia="Times New Roman" w:hAnsi="Arial" w:cs="Arial"/>
          <w:sz w:val="16"/>
          <w:szCs w:val="16"/>
        </w:rPr>
        <w:t>bfoulds@smmt.co.uk</w:t>
      </w:r>
    </w:hyperlink>
    <w:r>
      <w:rPr>
        <w:rFonts w:ascii="Arial" w:eastAsia="Times New Roman" w:hAnsi="Arial" w:cs="Arial"/>
        <w:color w:val="1074CB"/>
        <w:sz w:val="16"/>
        <w:szCs w:val="16"/>
      </w:rPr>
      <w:t xml:space="preserve"> </w:t>
    </w:r>
  </w:p>
  <w:p w:rsidR="006D687A" w:rsidRPr="00CB7097" w:rsidRDefault="006D687A" w:rsidP="00C80E70">
    <w:pPr>
      <w:rPr>
        <w:rFonts w:eastAsia="Times New Roman" w:cs="Times"/>
        <w:szCs w:val="24"/>
      </w:rPr>
    </w:pPr>
    <w:r>
      <w:rPr>
        <w:rFonts w:ascii="Arial" w:eastAsia="Times New Roman" w:hAnsi="Arial" w:cs="Arial"/>
        <w:color w:val="1074CB"/>
        <w:sz w:val="16"/>
        <w:szCs w:val="16"/>
      </w:rPr>
      <w:t>Alex Michaelides</w:t>
    </w:r>
    <w:r>
      <w:rPr>
        <w:rFonts w:ascii="Arial" w:eastAsia="Times New Roman" w:hAnsi="Arial" w:cs="Arial"/>
        <w:color w:val="1074CB"/>
        <w:sz w:val="16"/>
        <w:szCs w:val="16"/>
      </w:rPr>
      <w:tab/>
    </w:r>
    <w:r>
      <w:rPr>
        <w:rFonts w:ascii="Arial" w:eastAsia="Times New Roman" w:hAnsi="Arial" w:cs="Arial"/>
        <w:color w:val="1074CB"/>
        <w:sz w:val="16"/>
        <w:szCs w:val="16"/>
      </w:rPr>
      <w:tab/>
    </w:r>
    <w:r>
      <w:rPr>
        <w:rFonts w:ascii="Arial" w:eastAsia="Times New Roman" w:hAnsi="Arial" w:cs="Arial"/>
        <w:color w:val="1074CB"/>
        <w:sz w:val="16"/>
        <w:szCs w:val="16"/>
      </w:rPr>
      <w:tab/>
      <w:t>020 7344 1667</w:t>
    </w:r>
    <w:r>
      <w:rPr>
        <w:rFonts w:ascii="Arial" w:eastAsia="Times New Roman" w:hAnsi="Arial" w:cs="Arial"/>
        <w:color w:val="1074CB"/>
        <w:sz w:val="16"/>
        <w:szCs w:val="16"/>
      </w:rPr>
      <w:tab/>
    </w:r>
    <w:r>
      <w:rPr>
        <w:rFonts w:ascii="Arial" w:eastAsia="Times New Roman" w:hAnsi="Arial" w:cs="Arial"/>
        <w:color w:val="1074CB"/>
        <w:sz w:val="16"/>
        <w:szCs w:val="16"/>
      </w:rPr>
      <w:tab/>
    </w:r>
    <w:hyperlink r:id="rId3" w:history="1">
      <w:r w:rsidRPr="00120B6E">
        <w:rPr>
          <w:rStyle w:val="Hyperlink"/>
          <w:rFonts w:ascii="Arial" w:eastAsia="Times New Roman" w:hAnsi="Arial" w:cs="Arial"/>
          <w:sz w:val="16"/>
          <w:szCs w:val="16"/>
        </w:rPr>
        <w:t>amichaelides@smmt.co.uk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7D" w:rsidRDefault="00C4687D" w:rsidP="00C80E70">
      <w:r>
        <w:separator/>
      </w:r>
    </w:p>
  </w:footnote>
  <w:footnote w:type="continuationSeparator" w:id="0">
    <w:p w:rsidR="00C4687D" w:rsidRDefault="00C4687D" w:rsidP="00C80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87A" w:rsidRDefault="006D687A" w:rsidP="00447CDA">
    <w:pPr>
      <w:pStyle w:val="Header"/>
      <w:rPr>
        <w:rStyle w:val="Strong"/>
        <w:rFonts w:ascii="Arial" w:hAnsi="Arial" w:cs="Arial"/>
        <w:color w:val="1074CB"/>
        <w:sz w:val="20"/>
      </w:rPr>
    </w:pPr>
    <w:r>
      <w:rPr>
        <w:rFonts w:ascii="Arial" w:hAnsi="Arial" w:cs="Arial"/>
        <w:b/>
        <w:bCs/>
        <w:noProof/>
        <w:color w:val="1074CB"/>
        <w:sz w:val="20"/>
      </w:rPr>
      <w:drawing>
        <wp:anchor distT="0" distB="0" distL="114300" distR="114300" simplePos="0" relativeHeight="251659264" behindDoc="0" locked="0" layoutInCell="1" allowOverlap="1">
          <wp:simplePos x="0" y="0"/>
          <wp:positionH relativeFrom="column">
            <wp:posOffset>4106021</wp:posOffset>
          </wp:positionH>
          <wp:positionV relativeFrom="paragraph">
            <wp:posOffset>-307092</wp:posOffset>
          </wp:positionV>
          <wp:extent cx="1952873" cy="747423"/>
          <wp:effectExtent l="19050" t="0" r="9277" b="0"/>
          <wp:wrapNone/>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1952873" cy="74742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FBD"/>
    <w:multiLevelType w:val="hybridMultilevel"/>
    <w:tmpl w:val="10E6B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BB86563"/>
    <w:multiLevelType w:val="hybridMultilevel"/>
    <w:tmpl w:val="AA806066"/>
    <w:lvl w:ilvl="0" w:tplc="6056268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0D321C"/>
    <w:multiLevelType w:val="hybridMultilevel"/>
    <w:tmpl w:val="E94457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70"/>
    <w:rsid w:val="000041AA"/>
    <w:rsid w:val="00011D05"/>
    <w:rsid w:val="00054E31"/>
    <w:rsid w:val="00066F55"/>
    <w:rsid w:val="000779F2"/>
    <w:rsid w:val="000B47D6"/>
    <w:rsid w:val="000C3FDE"/>
    <w:rsid w:val="000E5317"/>
    <w:rsid w:val="000F250B"/>
    <w:rsid w:val="00116666"/>
    <w:rsid w:val="001315F1"/>
    <w:rsid w:val="00133B87"/>
    <w:rsid w:val="00135FAF"/>
    <w:rsid w:val="0013617E"/>
    <w:rsid w:val="00153877"/>
    <w:rsid w:val="0015444C"/>
    <w:rsid w:val="001726A7"/>
    <w:rsid w:val="001737CD"/>
    <w:rsid w:val="00192CE4"/>
    <w:rsid w:val="001A1450"/>
    <w:rsid w:val="001A67B5"/>
    <w:rsid w:val="001B20EB"/>
    <w:rsid w:val="001B65F4"/>
    <w:rsid w:val="001C389E"/>
    <w:rsid w:val="001D111B"/>
    <w:rsid w:val="001D6CB9"/>
    <w:rsid w:val="001E33CE"/>
    <w:rsid w:val="001E428D"/>
    <w:rsid w:val="001E454F"/>
    <w:rsid w:val="001E4D53"/>
    <w:rsid w:val="00200F65"/>
    <w:rsid w:val="0020649D"/>
    <w:rsid w:val="00223BD9"/>
    <w:rsid w:val="00252DCB"/>
    <w:rsid w:val="00266A9A"/>
    <w:rsid w:val="00267446"/>
    <w:rsid w:val="0028093B"/>
    <w:rsid w:val="002843B6"/>
    <w:rsid w:val="002A5934"/>
    <w:rsid w:val="002B4F7D"/>
    <w:rsid w:val="002D17AA"/>
    <w:rsid w:val="002F3F25"/>
    <w:rsid w:val="0030510B"/>
    <w:rsid w:val="00346C59"/>
    <w:rsid w:val="00364066"/>
    <w:rsid w:val="003702E1"/>
    <w:rsid w:val="00375DF8"/>
    <w:rsid w:val="00391BAE"/>
    <w:rsid w:val="00392D44"/>
    <w:rsid w:val="00393036"/>
    <w:rsid w:val="003A0F07"/>
    <w:rsid w:val="003A31D4"/>
    <w:rsid w:val="003B1C39"/>
    <w:rsid w:val="003E4D46"/>
    <w:rsid w:val="003E662E"/>
    <w:rsid w:val="003E69D3"/>
    <w:rsid w:val="00410539"/>
    <w:rsid w:val="00426240"/>
    <w:rsid w:val="00443FDD"/>
    <w:rsid w:val="00447CDA"/>
    <w:rsid w:val="00456EBB"/>
    <w:rsid w:val="00456F5B"/>
    <w:rsid w:val="0046552A"/>
    <w:rsid w:val="00467D20"/>
    <w:rsid w:val="00471965"/>
    <w:rsid w:val="00472D14"/>
    <w:rsid w:val="00482D22"/>
    <w:rsid w:val="00486897"/>
    <w:rsid w:val="00494E5E"/>
    <w:rsid w:val="004B727E"/>
    <w:rsid w:val="004C6507"/>
    <w:rsid w:val="004F23C3"/>
    <w:rsid w:val="00500805"/>
    <w:rsid w:val="00505C8C"/>
    <w:rsid w:val="005218AC"/>
    <w:rsid w:val="00522757"/>
    <w:rsid w:val="005230CA"/>
    <w:rsid w:val="005407A6"/>
    <w:rsid w:val="00542422"/>
    <w:rsid w:val="00542F6F"/>
    <w:rsid w:val="00545182"/>
    <w:rsid w:val="005534B2"/>
    <w:rsid w:val="0055683E"/>
    <w:rsid w:val="00577A32"/>
    <w:rsid w:val="00584692"/>
    <w:rsid w:val="005926DF"/>
    <w:rsid w:val="005B0881"/>
    <w:rsid w:val="005B33EF"/>
    <w:rsid w:val="005B536B"/>
    <w:rsid w:val="005C668F"/>
    <w:rsid w:val="005D63A7"/>
    <w:rsid w:val="005E2C9D"/>
    <w:rsid w:val="005F44DC"/>
    <w:rsid w:val="005F4C35"/>
    <w:rsid w:val="006068D1"/>
    <w:rsid w:val="0060762E"/>
    <w:rsid w:val="00614891"/>
    <w:rsid w:val="00620857"/>
    <w:rsid w:val="00622903"/>
    <w:rsid w:val="006315A6"/>
    <w:rsid w:val="00642552"/>
    <w:rsid w:val="00653F42"/>
    <w:rsid w:val="006623D6"/>
    <w:rsid w:val="00664173"/>
    <w:rsid w:val="006765D3"/>
    <w:rsid w:val="00686576"/>
    <w:rsid w:val="00696C6A"/>
    <w:rsid w:val="006A1D88"/>
    <w:rsid w:val="006B4C72"/>
    <w:rsid w:val="006B7F8A"/>
    <w:rsid w:val="006D4F9B"/>
    <w:rsid w:val="006D538E"/>
    <w:rsid w:val="006D687A"/>
    <w:rsid w:val="006E5BF9"/>
    <w:rsid w:val="006F36E7"/>
    <w:rsid w:val="006F4F9F"/>
    <w:rsid w:val="00700F0A"/>
    <w:rsid w:val="00714EF7"/>
    <w:rsid w:val="00735C0B"/>
    <w:rsid w:val="0073709A"/>
    <w:rsid w:val="007430A2"/>
    <w:rsid w:val="007433FE"/>
    <w:rsid w:val="00750A6C"/>
    <w:rsid w:val="00754F52"/>
    <w:rsid w:val="00755FE5"/>
    <w:rsid w:val="00761183"/>
    <w:rsid w:val="007727F1"/>
    <w:rsid w:val="007851A1"/>
    <w:rsid w:val="00787B6E"/>
    <w:rsid w:val="00791C3D"/>
    <w:rsid w:val="007B7669"/>
    <w:rsid w:val="007C0AA0"/>
    <w:rsid w:val="007C4C5E"/>
    <w:rsid w:val="007D36B3"/>
    <w:rsid w:val="007D6B3B"/>
    <w:rsid w:val="007D6D7A"/>
    <w:rsid w:val="00800D5B"/>
    <w:rsid w:val="008030A3"/>
    <w:rsid w:val="00804C47"/>
    <w:rsid w:val="00806662"/>
    <w:rsid w:val="00825E32"/>
    <w:rsid w:val="00834F60"/>
    <w:rsid w:val="008676F7"/>
    <w:rsid w:val="00874FE7"/>
    <w:rsid w:val="008753AA"/>
    <w:rsid w:val="0088378B"/>
    <w:rsid w:val="008B50CB"/>
    <w:rsid w:val="008D1B5B"/>
    <w:rsid w:val="008E4462"/>
    <w:rsid w:val="008F55A4"/>
    <w:rsid w:val="0090726B"/>
    <w:rsid w:val="00924274"/>
    <w:rsid w:val="00931C26"/>
    <w:rsid w:val="00932034"/>
    <w:rsid w:val="00932A9E"/>
    <w:rsid w:val="0095076B"/>
    <w:rsid w:val="00950FE1"/>
    <w:rsid w:val="00964455"/>
    <w:rsid w:val="0097483C"/>
    <w:rsid w:val="00980EC9"/>
    <w:rsid w:val="00994322"/>
    <w:rsid w:val="00996630"/>
    <w:rsid w:val="009B4269"/>
    <w:rsid w:val="009E082D"/>
    <w:rsid w:val="009F5D30"/>
    <w:rsid w:val="00A2060E"/>
    <w:rsid w:val="00A24874"/>
    <w:rsid w:val="00A641F6"/>
    <w:rsid w:val="00A67F90"/>
    <w:rsid w:val="00A72CAD"/>
    <w:rsid w:val="00A773DB"/>
    <w:rsid w:val="00A81BFB"/>
    <w:rsid w:val="00A93DE9"/>
    <w:rsid w:val="00A94474"/>
    <w:rsid w:val="00AA2084"/>
    <w:rsid w:val="00AA63EF"/>
    <w:rsid w:val="00AB33BB"/>
    <w:rsid w:val="00AB7B42"/>
    <w:rsid w:val="00AD65CE"/>
    <w:rsid w:val="00B04793"/>
    <w:rsid w:val="00B12E13"/>
    <w:rsid w:val="00B23658"/>
    <w:rsid w:val="00B2588D"/>
    <w:rsid w:val="00B36DF8"/>
    <w:rsid w:val="00B4035F"/>
    <w:rsid w:val="00B40CCD"/>
    <w:rsid w:val="00B53ADC"/>
    <w:rsid w:val="00B66F10"/>
    <w:rsid w:val="00B8181D"/>
    <w:rsid w:val="00B95B22"/>
    <w:rsid w:val="00BB5B9F"/>
    <w:rsid w:val="00BC334E"/>
    <w:rsid w:val="00BC5727"/>
    <w:rsid w:val="00BC7B6B"/>
    <w:rsid w:val="00BF0928"/>
    <w:rsid w:val="00BF4C94"/>
    <w:rsid w:val="00C0322D"/>
    <w:rsid w:val="00C03896"/>
    <w:rsid w:val="00C065D0"/>
    <w:rsid w:val="00C07099"/>
    <w:rsid w:val="00C100C5"/>
    <w:rsid w:val="00C108FE"/>
    <w:rsid w:val="00C37406"/>
    <w:rsid w:val="00C42957"/>
    <w:rsid w:val="00C4687D"/>
    <w:rsid w:val="00C623F2"/>
    <w:rsid w:val="00C657AB"/>
    <w:rsid w:val="00C7079C"/>
    <w:rsid w:val="00C73F08"/>
    <w:rsid w:val="00C80E70"/>
    <w:rsid w:val="00C83606"/>
    <w:rsid w:val="00C83858"/>
    <w:rsid w:val="00C847EC"/>
    <w:rsid w:val="00C90478"/>
    <w:rsid w:val="00CB7097"/>
    <w:rsid w:val="00CC79C5"/>
    <w:rsid w:val="00CD0659"/>
    <w:rsid w:val="00CE070B"/>
    <w:rsid w:val="00CE3518"/>
    <w:rsid w:val="00CF02B6"/>
    <w:rsid w:val="00D032AA"/>
    <w:rsid w:val="00D262EB"/>
    <w:rsid w:val="00D446D8"/>
    <w:rsid w:val="00D45EFE"/>
    <w:rsid w:val="00D561FB"/>
    <w:rsid w:val="00D6067E"/>
    <w:rsid w:val="00D6336B"/>
    <w:rsid w:val="00D82F6C"/>
    <w:rsid w:val="00D86627"/>
    <w:rsid w:val="00D911A4"/>
    <w:rsid w:val="00D926E2"/>
    <w:rsid w:val="00D92B21"/>
    <w:rsid w:val="00DA030B"/>
    <w:rsid w:val="00DB3140"/>
    <w:rsid w:val="00DB3768"/>
    <w:rsid w:val="00DE0B9A"/>
    <w:rsid w:val="00DE1D6C"/>
    <w:rsid w:val="00DE5D6C"/>
    <w:rsid w:val="00DF19D9"/>
    <w:rsid w:val="00DF4E26"/>
    <w:rsid w:val="00E005CA"/>
    <w:rsid w:val="00E343D2"/>
    <w:rsid w:val="00E3450A"/>
    <w:rsid w:val="00E5680B"/>
    <w:rsid w:val="00E634A1"/>
    <w:rsid w:val="00E84E41"/>
    <w:rsid w:val="00EB2FB8"/>
    <w:rsid w:val="00EB5EA2"/>
    <w:rsid w:val="00EC65AF"/>
    <w:rsid w:val="00ED4C6E"/>
    <w:rsid w:val="00EF35D8"/>
    <w:rsid w:val="00F205F0"/>
    <w:rsid w:val="00F23688"/>
    <w:rsid w:val="00F30199"/>
    <w:rsid w:val="00F30490"/>
    <w:rsid w:val="00F43472"/>
    <w:rsid w:val="00F45379"/>
    <w:rsid w:val="00F50E90"/>
    <w:rsid w:val="00F843C1"/>
    <w:rsid w:val="00F965DC"/>
    <w:rsid w:val="00FA0FF6"/>
    <w:rsid w:val="00FC34F4"/>
    <w:rsid w:val="00FD5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E70"/>
    <w:pPr>
      <w:spacing w:line="240" w:lineRule="auto"/>
    </w:pPr>
    <w:rPr>
      <w:rFonts w:ascii="Times" w:eastAsia="Times" w:hAnsi="Times" w:cs="Times New Roman"/>
      <w:sz w:val="24"/>
      <w:szCs w:val="20"/>
      <w:lang w:eastAsia="en-GB"/>
    </w:rPr>
  </w:style>
  <w:style w:type="paragraph" w:styleId="Heading1">
    <w:name w:val="heading 1"/>
    <w:basedOn w:val="Normal"/>
    <w:next w:val="Normal"/>
    <w:link w:val="Heading1Char"/>
    <w:qFormat/>
    <w:rsid w:val="00C80E70"/>
    <w:pPr>
      <w:keepNext/>
      <w:widowControl w:val="0"/>
      <w:autoSpaceDE w:val="0"/>
      <w:autoSpaceDN w:val="0"/>
      <w:adjustRightInd w:val="0"/>
      <w:ind w:left="720" w:hanging="720"/>
      <w:outlineLvl w:val="0"/>
    </w:pPr>
    <w:rPr>
      <w:rFonts w:ascii="Arial Bold" w:eastAsia="Times New Roman"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E70"/>
    <w:pPr>
      <w:tabs>
        <w:tab w:val="center" w:pos="4513"/>
        <w:tab w:val="right" w:pos="9026"/>
      </w:tabs>
    </w:pPr>
  </w:style>
  <w:style w:type="character" w:customStyle="1" w:styleId="HeaderChar">
    <w:name w:val="Header Char"/>
    <w:basedOn w:val="DefaultParagraphFont"/>
    <w:link w:val="Header"/>
    <w:uiPriority w:val="99"/>
    <w:rsid w:val="00C80E70"/>
  </w:style>
  <w:style w:type="paragraph" w:styleId="Footer">
    <w:name w:val="footer"/>
    <w:basedOn w:val="Normal"/>
    <w:link w:val="FooterChar"/>
    <w:uiPriority w:val="99"/>
    <w:unhideWhenUsed/>
    <w:rsid w:val="00C80E70"/>
    <w:pPr>
      <w:tabs>
        <w:tab w:val="center" w:pos="4513"/>
        <w:tab w:val="right" w:pos="9026"/>
      </w:tabs>
    </w:pPr>
  </w:style>
  <w:style w:type="character" w:customStyle="1" w:styleId="FooterChar">
    <w:name w:val="Footer Char"/>
    <w:basedOn w:val="DefaultParagraphFont"/>
    <w:link w:val="Footer"/>
    <w:uiPriority w:val="99"/>
    <w:rsid w:val="00C80E70"/>
  </w:style>
  <w:style w:type="character" w:styleId="Strong">
    <w:name w:val="Strong"/>
    <w:basedOn w:val="DefaultParagraphFont"/>
    <w:uiPriority w:val="22"/>
    <w:qFormat/>
    <w:rsid w:val="00C80E70"/>
    <w:rPr>
      <w:b/>
      <w:bCs/>
    </w:rPr>
  </w:style>
  <w:style w:type="character" w:customStyle="1" w:styleId="Heading1Char">
    <w:name w:val="Heading 1 Char"/>
    <w:basedOn w:val="DefaultParagraphFont"/>
    <w:link w:val="Heading1"/>
    <w:rsid w:val="00C80E70"/>
    <w:rPr>
      <w:rFonts w:ascii="Arial Bold" w:eastAsia="Times New Roman" w:hAnsi="Arial Bold" w:cs="Times New Roman"/>
      <w:b/>
      <w:szCs w:val="20"/>
      <w:lang w:eastAsia="en-GB"/>
    </w:rPr>
  </w:style>
  <w:style w:type="character" w:styleId="Hyperlink">
    <w:name w:val="Hyperlink"/>
    <w:basedOn w:val="DefaultParagraphFont"/>
    <w:rsid w:val="00C80E70"/>
    <w:rPr>
      <w:color w:val="0000FF"/>
      <w:u w:val="single"/>
    </w:rPr>
  </w:style>
  <w:style w:type="paragraph" w:styleId="ListParagraph">
    <w:name w:val="List Paragraph"/>
    <w:basedOn w:val="Normal"/>
    <w:uiPriority w:val="34"/>
    <w:qFormat/>
    <w:rsid w:val="00C80E70"/>
    <w:pPr>
      <w:ind w:left="720"/>
      <w:contextualSpacing/>
    </w:pPr>
  </w:style>
  <w:style w:type="paragraph" w:styleId="BalloonText">
    <w:name w:val="Balloon Text"/>
    <w:basedOn w:val="Normal"/>
    <w:link w:val="BalloonTextChar"/>
    <w:uiPriority w:val="99"/>
    <w:semiHidden/>
    <w:unhideWhenUsed/>
    <w:rsid w:val="00C80E70"/>
    <w:rPr>
      <w:rFonts w:ascii="Tahoma" w:hAnsi="Tahoma" w:cs="Tahoma"/>
      <w:sz w:val="16"/>
      <w:szCs w:val="16"/>
    </w:rPr>
  </w:style>
  <w:style w:type="character" w:customStyle="1" w:styleId="BalloonTextChar">
    <w:name w:val="Balloon Text Char"/>
    <w:basedOn w:val="DefaultParagraphFont"/>
    <w:link w:val="BalloonText"/>
    <w:uiPriority w:val="99"/>
    <w:semiHidden/>
    <w:rsid w:val="00C80E70"/>
    <w:rPr>
      <w:rFonts w:ascii="Tahoma" w:eastAsia="Times" w:hAnsi="Tahoma" w:cs="Tahoma"/>
      <w:sz w:val="16"/>
      <w:szCs w:val="16"/>
      <w:lang w:eastAsia="en-GB"/>
    </w:rPr>
  </w:style>
  <w:style w:type="table" w:styleId="TableGrid">
    <w:name w:val="Table Grid"/>
    <w:basedOn w:val="TableNormal"/>
    <w:uiPriority w:val="59"/>
    <w:rsid w:val="0076118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47CDA"/>
    <w:pPr>
      <w:spacing w:before="100" w:beforeAutospacing="1" w:after="100" w:afterAutospacing="1"/>
    </w:pPr>
    <w:rPr>
      <w:rFonts w:ascii="Times New Roman" w:eastAsiaTheme="minorHAnsi" w:hAnsi="Times New Roman"/>
      <w:szCs w:val="24"/>
    </w:rPr>
  </w:style>
  <w:style w:type="character" w:styleId="CommentReference">
    <w:name w:val="annotation reference"/>
    <w:basedOn w:val="DefaultParagraphFont"/>
    <w:uiPriority w:val="99"/>
    <w:semiHidden/>
    <w:unhideWhenUsed/>
    <w:rsid w:val="00750A6C"/>
    <w:rPr>
      <w:sz w:val="16"/>
      <w:szCs w:val="16"/>
    </w:rPr>
  </w:style>
  <w:style w:type="paragraph" w:styleId="CommentText">
    <w:name w:val="annotation text"/>
    <w:basedOn w:val="Normal"/>
    <w:link w:val="CommentTextChar"/>
    <w:uiPriority w:val="99"/>
    <w:semiHidden/>
    <w:unhideWhenUsed/>
    <w:rsid w:val="00750A6C"/>
    <w:rPr>
      <w:sz w:val="20"/>
    </w:rPr>
  </w:style>
  <w:style w:type="character" w:customStyle="1" w:styleId="CommentTextChar">
    <w:name w:val="Comment Text Char"/>
    <w:basedOn w:val="DefaultParagraphFont"/>
    <w:link w:val="CommentText"/>
    <w:uiPriority w:val="99"/>
    <w:semiHidden/>
    <w:rsid w:val="00750A6C"/>
    <w:rPr>
      <w:rFonts w:ascii="Times" w:eastAsia="Times" w:hAnsi="Times" w:cs="Times New Roman"/>
      <w:szCs w:val="20"/>
      <w:lang w:eastAsia="en-GB"/>
    </w:rPr>
  </w:style>
  <w:style w:type="paragraph" w:styleId="CommentSubject">
    <w:name w:val="annotation subject"/>
    <w:basedOn w:val="CommentText"/>
    <w:next w:val="CommentText"/>
    <w:link w:val="CommentSubjectChar"/>
    <w:uiPriority w:val="99"/>
    <w:semiHidden/>
    <w:unhideWhenUsed/>
    <w:rsid w:val="00750A6C"/>
    <w:rPr>
      <w:b/>
      <w:bCs/>
    </w:rPr>
  </w:style>
  <w:style w:type="character" w:customStyle="1" w:styleId="CommentSubjectChar">
    <w:name w:val="Comment Subject Char"/>
    <w:basedOn w:val="CommentTextChar"/>
    <w:link w:val="CommentSubject"/>
    <w:uiPriority w:val="99"/>
    <w:semiHidden/>
    <w:rsid w:val="00750A6C"/>
    <w:rPr>
      <w:rFonts w:ascii="Times" w:eastAsia="Times" w:hAnsi="Times" w:cs="Times New Roman"/>
      <w:b/>
      <w:bCs/>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0420">
      <w:bodyDiv w:val="1"/>
      <w:marLeft w:val="0"/>
      <w:marRight w:val="0"/>
      <w:marTop w:val="0"/>
      <w:marBottom w:val="0"/>
      <w:divBdr>
        <w:top w:val="none" w:sz="0" w:space="0" w:color="auto"/>
        <w:left w:val="none" w:sz="0" w:space="0" w:color="auto"/>
        <w:bottom w:val="none" w:sz="0" w:space="0" w:color="auto"/>
        <w:right w:val="none" w:sz="0" w:space="0" w:color="auto"/>
      </w:divBdr>
    </w:div>
    <w:div w:id="295455973">
      <w:bodyDiv w:val="1"/>
      <w:marLeft w:val="0"/>
      <w:marRight w:val="0"/>
      <w:marTop w:val="0"/>
      <w:marBottom w:val="0"/>
      <w:divBdr>
        <w:top w:val="none" w:sz="0" w:space="0" w:color="auto"/>
        <w:left w:val="none" w:sz="0" w:space="0" w:color="auto"/>
        <w:bottom w:val="none" w:sz="0" w:space="0" w:color="auto"/>
        <w:right w:val="none" w:sz="0" w:space="0" w:color="auto"/>
      </w:divBdr>
    </w:div>
    <w:div w:id="669868837">
      <w:bodyDiv w:val="1"/>
      <w:marLeft w:val="0"/>
      <w:marRight w:val="0"/>
      <w:marTop w:val="0"/>
      <w:marBottom w:val="0"/>
      <w:divBdr>
        <w:top w:val="none" w:sz="0" w:space="0" w:color="auto"/>
        <w:left w:val="none" w:sz="0" w:space="0" w:color="auto"/>
        <w:bottom w:val="none" w:sz="0" w:space="0" w:color="auto"/>
        <w:right w:val="none" w:sz="0" w:space="0" w:color="auto"/>
      </w:divBdr>
    </w:div>
    <w:div w:id="908230261">
      <w:bodyDiv w:val="1"/>
      <w:marLeft w:val="0"/>
      <w:marRight w:val="0"/>
      <w:marTop w:val="0"/>
      <w:marBottom w:val="0"/>
      <w:divBdr>
        <w:top w:val="none" w:sz="0" w:space="0" w:color="auto"/>
        <w:left w:val="none" w:sz="0" w:space="0" w:color="auto"/>
        <w:bottom w:val="none" w:sz="0" w:space="0" w:color="auto"/>
        <w:right w:val="none" w:sz="0" w:space="0" w:color="auto"/>
      </w:divBdr>
    </w:div>
    <w:div w:id="967010224">
      <w:bodyDiv w:val="1"/>
      <w:marLeft w:val="0"/>
      <w:marRight w:val="0"/>
      <w:marTop w:val="0"/>
      <w:marBottom w:val="0"/>
      <w:divBdr>
        <w:top w:val="none" w:sz="0" w:space="0" w:color="auto"/>
        <w:left w:val="none" w:sz="0" w:space="0" w:color="auto"/>
        <w:bottom w:val="none" w:sz="0" w:space="0" w:color="auto"/>
        <w:right w:val="none" w:sz="0" w:space="0" w:color="auto"/>
      </w:divBdr>
    </w:div>
    <w:div w:id="995567256">
      <w:bodyDiv w:val="1"/>
      <w:marLeft w:val="0"/>
      <w:marRight w:val="0"/>
      <w:marTop w:val="0"/>
      <w:marBottom w:val="0"/>
      <w:divBdr>
        <w:top w:val="none" w:sz="0" w:space="0" w:color="auto"/>
        <w:left w:val="none" w:sz="0" w:space="0" w:color="auto"/>
        <w:bottom w:val="none" w:sz="0" w:space="0" w:color="auto"/>
        <w:right w:val="none" w:sz="0" w:space="0" w:color="auto"/>
      </w:divBdr>
    </w:div>
    <w:div w:id="1076826456">
      <w:bodyDiv w:val="1"/>
      <w:marLeft w:val="0"/>
      <w:marRight w:val="0"/>
      <w:marTop w:val="0"/>
      <w:marBottom w:val="0"/>
      <w:divBdr>
        <w:top w:val="none" w:sz="0" w:space="0" w:color="auto"/>
        <w:left w:val="none" w:sz="0" w:space="0" w:color="auto"/>
        <w:bottom w:val="none" w:sz="0" w:space="0" w:color="auto"/>
        <w:right w:val="none" w:sz="0" w:space="0" w:color="auto"/>
      </w:divBdr>
    </w:div>
    <w:div w:id="1146631719">
      <w:bodyDiv w:val="1"/>
      <w:marLeft w:val="0"/>
      <w:marRight w:val="0"/>
      <w:marTop w:val="0"/>
      <w:marBottom w:val="0"/>
      <w:divBdr>
        <w:top w:val="none" w:sz="0" w:space="0" w:color="auto"/>
        <w:left w:val="none" w:sz="0" w:space="0" w:color="auto"/>
        <w:bottom w:val="none" w:sz="0" w:space="0" w:color="auto"/>
        <w:right w:val="none" w:sz="0" w:space="0" w:color="auto"/>
      </w:divBdr>
    </w:div>
    <w:div w:id="1282766505">
      <w:bodyDiv w:val="1"/>
      <w:marLeft w:val="0"/>
      <w:marRight w:val="0"/>
      <w:marTop w:val="0"/>
      <w:marBottom w:val="0"/>
      <w:divBdr>
        <w:top w:val="none" w:sz="0" w:space="0" w:color="auto"/>
        <w:left w:val="none" w:sz="0" w:space="0" w:color="auto"/>
        <w:bottom w:val="none" w:sz="0" w:space="0" w:color="auto"/>
        <w:right w:val="none" w:sz="0" w:space="0" w:color="auto"/>
      </w:divBdr>
    </w:div>
    <w:div w:id="1377586953">
      <w:bodyDiv w:val="1"/>
      <w:marLeft w:val="0"/>
      <w:marRight w:val="0"/>
      <w:marTop w:val="0"/>
      <w:marBottom w:val="0"/>
      <w:divBdr>
        <w:top w:val="none" w:sz="0" w:space="0" w:color="auto"/>
        <w:left w:val="none" w:sz="0" w:space="0" w:color="auto"/>
        <w:bottom w:val="none" w:sz="0" w:space="0" w:color="auto"/>
        <w:right w:val="none" w:sz="0" w:space="0" w:color="auto"/>
      </w:divBdr>
    </w:div>
    <w:div w:id="1430588086">
      <w:bodyDiv w:val="1"/>
      <w:marLeft w:val="0"/>
      <w:marRight w:val="0"/>
      <w:marTop w:val="0"/>
      <w:marBottom w:val="0"/>
      <w:divBdr>
        <w:top w:val="none" w:sz="0" w:space="0" w:color="auto"/>
        <w:left w:val="none" w:sz="0" w:space="0" w:color="auto"/>
        <w:bottom w:val="none" w:sz="0" w:space="0" w:color="auto"/>
        <w:right w:val="none" w:sz="0" w:space="0" w:color="auto"/>
      </w:divBdr>
    </w:div>
    <w:div w:id="1431051076">
      <w:bodyDiv w:val="1"/>
      <w:marLeft w:val="0"/>
      <w:marRight w:val="0"/>
      <w:marTop w:val="0"/>
      <w:marBottom w:val="0"/>
      <w:divBdr>
        <w:top w:val="none" w:sz="0" w:space="0" w:color="auto"/>
        <w:left w:val="none" w:sz="0" w:space="0" w:color="auto"/>
        <w:bottom w:val="none" w:sz="0" w:space="0" w:color="auto"/>
        <w:right w:val="none" w:sz="0" w:space="0" w:color="auto"/>
      </w:divBdr>
    </w:div>
    <w:div w:id="1449472217">
      <w:bodyDiv w:val="1"/>
      <w:marLeft w:val="0"/>
      <w:marRight w:val="0"/>
      <w:marTop w:val="0"/>
      <w:marBottom w:val="0"/>
      <w:divBdr>
        <w:top w:val="none" w:sz="0" w:space="0" w:color="auto"/>
        <w:left w:val="none" w:sz="0" w:space="0" w:color="auto"/>
        <w:bottom w:val="none" w:sz="0" w:space="0" w:color="auto"/>
        <w:right w:val="none" w:sz="0" w:space="0" w:color="auto"/>
      </w:divBdr>
    </w:div>
    <w:div w:id="1484853690">
      <w:bodyDiv w:val="1"/>
      <w:marLeft w:val="0"/>
      <w:marRight w:val="0"/>
      <w:marTop w:val="0"/>
      <w:marBottom w:val="0"/>
      <w:divBdr>
        <w:top w:val="none" w:sz="0" w:space="0" w:color="auto"/>
        <w:left w:val="none" w:sz="0" w:space="0" w:color="auto"/>
        <w:bottom w:val="none" w:sz="0" w:space="0" w:color="auto"/>
        <w:right w:val="none" w:sz="0" w:space="0" w:color="auto"/>
      </w:divBdr>
    </w:div>
    <w:div w:id="1612859117">
      <w:bodyDiv w:val="1"/>
      <w:marLeft w:val="0"/>
      <w:marRight w:val="0"/>
      <w:marTop w:val="0"/>
      <w:marBottom w:val="0"/>
      <w:divBdr>
        <w:top w:val="none" w:sz="0" w:space="0" w:color="auto"/>
        <w:left w:val="none" w:sz="0" w:space="0" w:color="auto"/>
        <w:bottom w:val="none" w:sz="0" w:space="0" w:color="auto"/>
        <w:right w:val="none" w:sz="0" w:space="0" w:color="auto"/>
      </w:divBdr>
    </w:div>
    <w:div w:id="1636063517">
      <w:bodyDiv w:val="1"/>
      <w:marLeft w:val="0"/>
      <w:marRight w:val="0"/>
      <w:marTop w:val="0"/>
      <w:marBottom w:val="0"/>
      <w:divBdr>
        <w:top w:val="none" w:sz="0" w:space="0" w:color="auto"/>
        <w:left w:val="none" w:sz="0" w:space="0" w:color="auto"/>
        <w:bottom w:val="none" w:sz="0" w:space="0" w:color="auto"/>
        <w:right w:val="none" w:sz="0" w:space="0" w:color="auto"/>
      </w:divBdr>
    </w:div>
    <w:div w:id="1858078143">
      <w:bodyDiv w:val="1"/>
      <w:marLeft w:val="0"/>
      <w:marRight w:val="0"/>
      <w:marTop w:val="0"/>
      <w:marBottom w:val="0"/>
      <w:divBdr>
        <w:top w:val="none" w:sz="0" w:space="0" w:color="auto"/>
        <w:left w:val="none" w:sz="0" w:space="0" w:color="auto"/>
        <w:bottom w:val="none" w:sz="0" w:space="0" w:color="auto"/>
        <w:right w:val="none" w:sz="0" w:space="0" w:color="auto"/>
      </w:divBdr>
    </w:div>
    <w:div w:id="1901821501">
      <w:bodyDiv w:val="1"/>
      <w:marLeft w:val="0"/>
      <w:marRight w:val="0"/>
      <w:marTop w:val="0"/>
      <w:marBottom w:val="0"/>
      <w:divBdr>
        <w:top w:val="none" w:sz="0" w:space="0" w:color="auto"/>
        <w:left w:val="none" w:sz="0" w:space="0" w:color="auto"/>
        <w:bottom w:val="none" w:sz="0" w:space="0" w:color="auto"/>
        <w:right w:val="none" w:sz="0" w:space="0" w:color="auto"/>
      </w:divBdr>
    </w:div>
    <w:div w:id="2043044160">
      <w:bodyDiv w:val="1"/>
      <w:marLeft w:val="0"/>
      <w:marRight w:val="0"/>
      <w:marTop w:val="0"/>
      <w:marBottom w:val="0"/>
      <w:divBdr>
        <w:top w:val="none" w:sz="0" w:space="0" w:color="auto"/>
        <w:left w:val="none" w:sz="0" w:space="0" w:color="auto"/>
        <w:bottom w:val="none" w:sz="0" w:space="0" w:color="auto"/>
        <w:right w:val="none" w:sz="0" w:space="0" w:color="auto"/>
      </w:divBdr>
    </w:div>
    <w:div w:id="2080638200">
      <w:bodyDiv w:val="1"/>
      <w:marLeft w:val="0"/>
      <w:marRight w:val="0"/>
      <w:marTop w:val="0"/>
      <w:marBottom w:val="0"/>
      <w:divBdr>
        <w:top w:val="none" w:sz="0" w:space="0" w:color="auto"/>
        <w:left w:val="none" w:sz="0" w:space="0" w:color="auto"/>
        <w:bottom w:val="none" w:sz="0" w:space="0" w:color="auto"/>
        <w:right w:val="none" w:sz="0" w:space="0" w:color="auto"/>
      </w:divBdr>
    </w:div>
    <w:div w:id="211590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michaelides@smmt.co.uk" TargetMode="External"/><Relationship Id="rId2" Type="http://schemas.openxmlformats.org/officeDocument/2006/relationships/hyperlink" Target="mailto:bfoulds@smmt.co.uk" TargetMode="External"/><Relationship Id="rId1" Type="http://schemas.openxmlformats.org/officeDocument/2006/relationships/hyperlink" Target="http://www.smmt.co.uk/facts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PS-SRV06\SMMTData\PPVL\TEAMS\ECONOMICS\UKASSEMBLY\ENGINES\UK-ENGINE-ASSEMBLY-JAN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S-SRV06\SMMTData\PPVL\TEAMS\ECONOMICS\UKASSEMBLY\ENGINES\UK-ENGINE-ASSEMBLY-JAN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766291882433707E-2"/>
          <c:y val="0.11237345331833518"/>
          <c:w val="0.80728628079690334"/>
          <c:h val="0.73091108376865843"/>
        </c:manualLayout>
      </c:layout>
      <c:lineChart>
        <c:grouping val="standard"/>
        <c:varyColors val="0"/>
        <c:ser>
          <c:idx val="13"/>
          <c:order val="0"/>
          <c:tx>
            <c:strRef>
              <c:f>'PR chart 1'!$B$2</c:f>
              <c:strCache>
                <c:ptCount val="1"/>
                <c:pt idx="0">
                  <c:v>Total</c:v>
                </c:pt>
              </c:strCache>
            </c:strRef>
          </c:tx>
          <c:spPr>
            <a:ln w="31750">
              <a:solidFill>
                <a:srgbClr val="333399"/>
              </a:solidFill>
              <a:prstDash val="solid"/>
            </a:ln>
          </c:spPr>
          <c:marker>
            <c:symbol val="none"/>
          </c:marker>
          <c:cat>
            <c:strRef>
              <c:f>'PR chart 1'!$C$1:$BV$1</c:f>
              <c:strCache>
                <c:ptCount val="72"/>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pt idx="48">
                  <c:v>2014</c:v>
                </c:pt>
                <c:pt idx="49">
                  <c:v>F</c:v>
                </c:pt>
                <c:pt idx="50">
                  <c:v>M</c:v>
                </c:pt>
                <c:pt idx="51">
                  <c:v>A</c:v>
                </c:pt>
                <c:pt idx="52">
                  <c:v>M</c:v>
                </c:pt>
                <c:pt idx="53">
                  <c:v>J</c:v>
                </c:pt>
                <c:pt idx="54">
                  <c:v>J</c:v>
                </c:pt>
                <c:pt idx="55">
                  <c:v>A</c:v>
                </c:pt>
                <c:pt idx="56">
                  <c:v>S</c:v>
                </c:pt>
                <c:pt idx="57">
                  <c:v>O</c:v>
                </c:pt>
                <c:pt idx="58">
                  <c:v>N</c:v>
                </c:pt>
                <c:pt idx="59">
                  <c:v>D</c:v>
                </c:pt>
                <c:pt idx="60">
                  <c:v>2015</c:v>
                </c:pt>
                <c:pt idx="61">
                  <c:v>F</c:v>
                </c:pt>
                <c:pt idx="62">
                  <c:v>M</c:v>
                </c:pt>
                <c:pt idx="63">
                  <c:v>A</c:v>
                </c:pt>
                <c:pt idx="64">
                  <c:v>M</c:v>
                </c:pt>
                <c:pt idx="65">
                  <c:v>J</c:v>
                </c:pt>
                <c:pt idx="66">
                  <c:v>J</c:v>
                </c:pt>
                <c:pt idx="67">
                  <c:v>A</c:v>
                </c:pt>
                <c:pt idx="68">
                  <c:v>S</c:v>
                </c:pt>
                <c:pt idx="69">
                  <c:v>O</c:v>
                </c:pt>
                <c:pt idx="70">
                  <c:v>N</c:v>
                </c:pt>
                <c:pt idx="71">
                  <c:v>D</c:v>
                </c:pt>
              </c:strCache>
            </c:strRef>
          </c:cat>
          <c:val>
            <c:numRef>
              <c:f>'PR chart 1'!$C$2:$BV$2</c:f>
              <c:numCache>
                <c:formatCode>#,##0.00</c:formatCode>
                <c:ptCount val="72"/>
                <c:pt idx="0">
                  <c:v>2.0936689999999998</c:v>
                </c:pt>
                <c:pt idx="1">
                  <c:v>2.1673529999999999</c:v>
                </c:pt>
                <c:pt idx="2">
                  <c:v>2.2385760000000001</c:v>
                </c:pt>
                <c:pt idx="3">
                  <c:v>2.293771</c:v>
                </c:pt>
                <c:pt idx="4">
                  <c:v>2.3481730000000001</c:v>
                </c:pt>
                <c:pt idx="5">
                  <c:v>2.3845499999999999</c:v>
                </c:pt>
                <c:pt idx="6">
                  <c:v>2.3782030000000001</c:v>
                </c:pt>
                <c:pt idx="7">
                  <c:v>2.3936139999999999</c:v>
                </c:pt>
                <c:pt idx="8">
                  <c:v>2.3966310000000002</c:v>
                </c:pt>
                <c:pt idx="9">
                  <c:v>2.384843</c:v>
                </c:pt>
                <c:pt idx="10">
                  <c:v>2.388887</c:v>
                </c:pt>
                <c:pt idx="11">
                  <c:v>2.386717</c:v>
                </c:pt>
                <c:pt idx="12">
                  <c:v>2.409859</c:v>
                </c:pt>
                <c:pt idx="13">
                  <c:v>2.4301189999999999</c:v>
                </c:pt>
                <c:pt idx="14">
                  <c:v>2.44537</c:v>
                </c:pt>
                <c:pt idx="15">
                  <c:v>2.4359329999999999</c:v>
                </c:pt>
                <c:pt idx="16">
                  <c:v>2.4441280000000001</c:v>
                </c:pt>
                <c:pt idx="17">
                  <c:v>2.445913</c:v>
                </c:pt>
                <c:pt idx="18">
                  <c:v>2.44516</c:v>
                </c:pt>
                <c:pt idx="19">
                  <c:v>2.4618570000000002</c:v>
                </c:pt>
                <c:pt idx="20">
                  <c:v>2.476918</c:v>
                </c:pt>
                <c:pt idx="21">
                  <c:v>2.5022799999999998</c:v>
                </c:pt>
                <c:pt idx="22">
                  <c:v>2.5061089999999999</c:v>
                </c:pt>
                <c:pt idx="23">
                  <c:v>2.504054</c:v>
                </c:pt>
                <c:pt idx="24">
                  <c:v>2.5191720000000002</c:v>
                </c:pt>
                <c:pt idx="25">
                  <c:v>2.5322879999999999</c:v>
                </c:pt>
                <c:pt idx="26">
                  <c:v>2.5165690000000001</c:v>
                </c:pt>
                <c:pt idx="27">
                  <c:v>2.5188459999999999</c:v>
                </c:pt>
                <c:pt idx="28">
                  <c:v>2.5475650000000001</c:v>
                </c:pt>
                <c:pt idx="29">
                  <c:v>2.5113129999999999</c:v>
                </c:pt>
                <c:pt idx="30">
                  <c:v>2.511676</c:v>
                </c:pt>
                <c:pt idx="31">
                  <c:v>2.5281989999999999</c:v>
                </c:pt>
                <c:pt idx="32">
                  <c:v>2.4969809999999999</c:v>
                </c:pt>
                <c:pt idx="33">
                  <c:v>2.4997440000000002</c:v>
                </c:pt>
                <c:pt idx="34">
                  <c:v>2.4965790000000001</c:v>
                </c:pt>
                <c:pt idx="35">
                  <c:v>2.495371</c:v>
                </c:pt>
                <c:pt idx="36">
                  <c:v>2.483603</c:v>
                </c:pt>
                <c:pt idx="37">
                  <c:v>2.471886</c:v>
                </c:pt>
                <c:pt idx="38">
                  <c:v>2.4578799999999998</c:v>
                </c:pt>
                <c:pt idx="39">
                  <c:v>2.4769239999999999</c:v>
                </c:pt>
                <c:pt idx="40">
                  <c:v>2.4564810000000001</c:v>
                </c:pt>
                <c:pt idx="41">
                  <c:v>2.4789699999999999</c:v>
                </c:pt>
                <c:pt idx="42">
                  <c:v>2.524416</c:v>
                </c:pt>
                <c:pt idx="43">
                  <c:v>2.500006</c:v>
                </c:pt>
                <c:pt idx="44">
                  <c:v>2.5313629999999998</c:v>
                </c:pt>
                <c:pt idx="45">
                  <c:v>2.5468320000000002</c:v>
                </c:pt>
                <c:pt idx="46">
                  <c:v>2.5543499999999999</c:v>
                </c:pt>
                <c:pt idx="47">
                  <c:v>2.5533160000000001</c:v>
                </c:pt>
                <c:pt idx="48">
                  <c:v>2.5398499999999999</c:v>
                </c:pt>
                <c:pt idx="49">
                  <c:v>2.534583</c:v>
                </c:pt>
                <c:pt idx="50">
                  <c:v>2.5445099999999998</c:v>
                </c:pt>
                <c:pt idx="51">
                  <c:v>2.5506570000000002</c:v>
                </c:pt>
                <c:pt idx="52">
                  <c:v>2.541766</c:v>
                </c:pt>
                <c:pt idx="53">
                  <c:v>2.5408810000000002</c:v>
                </c:pt>
                <c:pt idx="54">
                  <c:v>2.5175380000000001</c:v>
                </c:pt>
                <c:pt idx="55">
                  <c:v>2.4903300000000002</c:v>
                </c:pt>
                <c:pt idx="56">
                  <c:v>2.457106</c:v>
                </c:pt>
                <c:pt idx="57">
                  <c:v>2.4138839999999999</c:v>
                </c:pt>
                <c:pt idx="58">
                  <c:v>2.3846449999999999</c:v>
                </c:pt>
                <c:pt idx="59">
                  <c:v>2.3946679999999998</c:v>
                </c:pt>
                <c:pt idx="60">
                  <c:v>2.3950629999999999</c:v>
                </c:pt>
              </c:numCache>
            </c:numRef>
          </c:val>
          <c:smooth val="0"/>
        </c:ser>
        <c:ser>
          <c:idx val="0"/>
          <c:order val="1"/>
          <c:tx>
            <c:strRef>
              <c:f>'PR chart 1'!$B$3</c:f>
              <c:strCache>
                <c:ptCount val="1"/>
                <c:pt idx="0">
                  <c:v>Export</c:v>
                </c:pt>
              </c:strCache>
            </c:strRef>
          </c:tx>
          <c:marker>
            <c:symbol val="none"/>
          </c:marker>
          <c:cat>
            <c:strRef>
              <c:f>'PR chart 1'!$C$1:$BV$1</c:f>
              <c:strCache>
                <c:ptCount val="72"/>
                <c:pt idx="0">
                  <c:v>2010</c:v>
                </c:pt>
                <c:pt idx="1">
                  <c:v>F</c:v>
                </c:pt>
                <c:pt idx="2">
                  <c:v>M</c:v>
                </c:pt>
                <c:pt idx="3">
                  <c:v>A</c:v>
                </c:pt>
                <c:pt idx="4">
                  <c:v>M</c:v>
                </c:pt>
                <c:pt idx="5">
                  <c:v>J</c:v>
                </c:pt>
                <c:pt idx="6">
                  <c:v>J</c:v>
                </c:pt>
                <c:pt idx="7">
                  <c:v>A</c:v>
                </c:pt>
                <c:pt idx="8">
                  <c:v>S</c:v>
                </c:pt>
                <c:pt idx="9">
                  <c:v>O</c:v>
                </c:pt>
                <c:pt idx="10">
                  <c:v>N</c:v>
                </c:pt>
                <c:pt idx="11">
                  <c:v>D</c:v>
                </c:pt>
                <c:pt idx="12">
                  <c:v>2011</c:v>
                </c:pt>
                <c:pt idx="13">
                  <c:v>F</c:v>
                </c:pt>
                <c:pt idx="14">
                  <c:v>M</c:v>
                </c:pt>
                <c:pt idx="15">
                  <c:v>A</c:v>
                </c:pt>
                <c:pt idx="16">
                  <c:v>M</c:v>
                </c:pt>
                <c:pt idx="17">
                  <c:v>J</c:v>
                </c:pt>
                <c:pt idx="18">
                  <c:v>J</c:v>
                </c:pt>
                <c:pt idx="19">
                  <c:v>A</c:v>
                </c:pt>
                <c:pt idx="20">
                  <c:v>S</c:v>
                </c:pt>
                <c:pt idx="21">
                  <c:v>O</c:v>
                </c:pt>
                <c:pt idx="22">
                  <c:v>N</c:v>
                </c:pt>
                <c:pt idx="23">
                  <c:v>D</c:v>
                </c:pt>
                <c:pt idx="24">
                  <c:v>2012</c:v>
                </c:pt>
                <c:pt idx="25">
                  <c:v>F</c:v>
                </c:pt>
                <c:pt idx="26">
                  <c:v>M</c:v>
                </c:pt>
                <c:pt idx="27">
                  <c:v>A</c:v>
                </c:pt>
                <c:pt idx="28">
                  <c:v>M</c:v>
                </c:pt>
                <c:pt idx="29">
                  <c:v>J</c:v>
                </c:pt>
                <c:pt idx="30">
                  <c:v>J</c:v>
                </c:pt>
                <c:pt idx="31">
                  <c:v>A</c:v>
                </c:pt>
                <c:pt idx="32">
                  <c:v>S</c:v>
                </c:pt>
                <c:pt idx="33">
                  <c:v>O</c:v>
                </c:pt>
                <c:pt idx="34">
                  <c:v>N</c:v>
                </c:pt>
                <c:pt idx="35">
                  <c:v>D</c:v>
                </c:pt>
                <c:pt idx="36">
                  <c:v>2013</c:v>
                </c:pt>
                <c:pt idx="37">
                  <c:v>F</c:v>
                </c:pt>
                <c:pt idx="38">
                  <c:v>M</c:v>
                </c:pt>
                <c:pt idx="39">
                  <c:v>A</c:v>
                </c:pt>
                <c:pt idx="40">
                  <c:v>M</c:v>
                </c:pt>
                <c:pt idx="41">
                  <c:v>J</c:v>
                </c:pt>
                <c:pt idx="42">
                  <c:v>J</c:v>
                </c:pt>
                <c:pt idx="43">
                  <c:v>A</c:v>
                </c:pt>
                <c:pt idx="44">
                  <c:v>S</c:v>
                </c:pt>
                <c:pt idx="45">
                  <c:v>O</c:v>
                </c:pt>
                <c:pt idx="46">
                  <c:v>N</c:v>
                </c:pt>
                <c:pt idx="47">
                  <c:v>D</c:v>
                </c:pt>
                <c:pt idx="48">
                  <c:v>2014</c:v>
                </c:pt>
                <c:pt idx="49">
                  <c:v>F</c:v>
                </c:pt>
                <c:pt idx="50">
                  <c:v>M</c:v>
                </c:pt>
                <c:pt idx="51">
                  <c:v>A</c:v>
                </c:pt>
                <c:pt idx="52">
                  <c:v>M</c:v>
                </c:pt>
                <c:pt idx="53">
                  <c:v>J</c:v>
                </c:pt>
                <c:pt idx="54">
                  <c:v>J</c:v>
                </c:pt>
                <c:pt idx="55">
                  <c:v>A</c:v>
                </c:pt>
                <c:pt idx="56">
                  <c:v>S</c:v>
                </c:pt>
                <c:pt idx="57">
                  <c:v>O</c:v>
                </c:pt>
                <c:pt idx="58">
                  <c:v>N</c:v>
                </c:pt>
                <c:pt idx="59">
                  <c:v>D</c:v>
                </c:pt>
                <c:pt idx="60">
                  <c:v>2015</c:v>
                </c:pt>
                <c:pt idx="61">
                  <c:v>F</c:v>
                </c:pt>
                <c:pt idx="62">
                  <c:v>M</c:v>
                </c:pt>
                <c:pt idx="63">
                  <c:v>A</c:v>
                </c:pt>
                <c:pt idx="64">
                  <c:v>M</c:v>
                </c:pt>
                <c:pt idx="65">
                  <c:v>J</c:v>
                </c:pt>
                <c:pt idx="66">
                  <c:v>J</c:v>
                </c:pt>
                <c:pt idx="67">
                  <c:v>A</c:v>
                </c:pt>
                <c:pt idx="68">
                  <c:v>S</c:v>
                </c:pt>
                <c:pt idx="69">
                  <c:v>O</c:v>
                </c:pt>
                <c:pt idx="70">
                  <c:v>N</c:v>
                </c:pt>
                <c:pt idx="71">
                  <c:v>D</c:v>
                </c:pt>
              </c:strCache>
            </c:strRef>
          </c:cat>
          <c:val>
            <c:numRef>
              <c:f>'PR chart 1'!$C$3:$BV$3</c:f>
              <c:numCache>
                <c:formatCode>#,##0.00</c:formatCode>
                <c:ptCount val="72"/>
                <c:pt idx="0">
                  <c:v>1.5503020000000001</c:v>
                </c:pt>
                <c:pt idx="1">
                  <c:v>1.6003270000000001</c:v>
                </c:pt>
                <c:pt idx="2">
                  <c:v>1.6457299999999999</c:v>
                </c:pt>
                <c:pt idx="3">
                  <c:v>1.681225</c:v>
                </c:pt>
                <c:pt idx="4">
                  <c:v>1.7095739999999999</c:v>
                </c:pt>
                <c:pt idx="5">
                  <c:v>1.731193</c:v>
                </c:pt>
                <c:pt idx="6">
                  <c:v>1.731827</c:v>
                </c:pt>
                <c:pt idx="7">
                  <c:v>1.739209</c:v>
                </c:pt>
                <c:pt idx="8">
                  <c:v>1.738567</c:v>
                </c:pt>
                <c:pt idx="9">
                  <c:v>1.728032</c:v>
                </c:pt>
                <c:pt idx="10">
                  <c:v>1.7272879999999999</c:v>
                </c:pt>
                <c:pt idx="11">
                  <c:v>1.72149</c:v>
                </c:pt>
                <c:pt idx="12">
                  <c:v>1.737722</c:v>
                </c:pt>
                <c:pt idx="13">
                  <c:v>1.7388399999999999</c:v>
                </c:pt>
                <c:pt idx="14">
                  <c:v>1.745438</c:v>
                </c:pt>
                <c:pt idx="15">
                  <c:v>1.748977</c:v>
                </c:pt>
                <c:pt idx="16">
                  <c:v>1.763055</c:v>
                </c:pt>
                <c:pt idx="17">
                  <c:v>1.7659530000000001</c:v>
                </c:pt>
                <c:pt idx="18">
                  <c:v>1.77037</c:v>
                </c:pt>
                <c:pt idx="19">
                  <c:v>1.7770820000000001</c:v>
                </c:pt>
                <c:pt idx="20">
                  <c:v>1.7800260000000001</c:v>
                </c:pt>
                <c:pt idx="21">
                  <c:v>1.7821819999999999</c:v>
                </c:pt>
                <c:pt idx="22">
                  <c:v>1.773782</c:v>
                </c:pt>
                <c:pt idx="23">
                  <c:v>1.758397</c:v>
                </c:pt>
                <c:pt idx="24">
                  <c:v>1.752124</c:v>
                </c:pt>
                <c:pt idx="25">
                  <c:v>1.7459960000000001</c:v>
                </c:pt>
                <c:pt idx="26">
                  <c:v>1.72289</c:v>
                </c:pt>
                <c:pt idx="27">
                  <c:v>1.697802</c:v>
                </c:pt>
                <c:pt idx="28">
                  <c:v>1.686644</c:v>
                </c:pt>
                <c:pt idx="29">
                  <c:v>1.640182</c:v>
                </c:pt>
                <c:pt idx="30">
                  <c:v>1.6186020000000001</c:v>
                </c:pt>
                <c:pt idx="31">
                  <c:v>1.61758</c:v>
                </c:pt>
                <c:pt idx="32">
                  <c:v>1.5791740000000001</c:v>
                </c:pt>
                <c:pt idx="33">
                  <c:v>1.569083</c:v>
                </c:pt>
                <c:pt idx="34">
                  <c:v>1.556332</c:v>
                </c:pt>
                <c:pt idx="35">
                  <c:v>1.554208</c:v>
                </c:pt>
                <c:pt idx="36">
                  <c:v>1.5401309999999999</c:v>
                </c:pt>
                <c:pt idx="37">
                  <c:v>1.52596</c:v>
                </c:pt>
                <c:pt idx="38">
                  <c:v>1.5061709999999999</c:v>
                </c:pt>
                <c:pt idx="39">
                  <c:v>1.507649</c:v>
                </c:pt>
                <c:pt idx="40">
                  <c:v>1.4851240000000001</c:v>
                </c:pt>
                <c:pt idx="41">
                  <c:v>1.4935080000000001</c:v>
                </c:pt>
                <c:pt idx="42">
                  <c:v>1.5183329999999999</c:v>
                </c:pt>
                <c:pt idx="43">
                  <c:v>1.4931179999999999</c:v>
                </c:pt>
                <c:pt idx="44">
                  <c:v>1.515174</c:v>
                </c:pt>
                <c:pt idx="45">
                  <c:v>1.5160229999999999</c:v>
                </c:pt>
                <c:pt idx="46">
                  <c:v>1.5247059999999999</c:v>
                </c:pt>
                <c:pt idx="47">
                  <c:v>1.527266</c:v>
                </c:pt>
                <c:pt idx="48">
                  <c:v>1.5287949999999999</c:v>
                </c:pt>
                <c:pt idx="49">
                  <c:v>1.5339449999999999</c:v>
                </c:pt>
                <c:pt idx="50">
                  <c:v>1.5468729999999999</c:v>
                </c:pt>
                <c:pt idx="51">
                  <c:v>1.5629439999999999</c:v>
                </c:pt>
                <c:pt idx="52">
                  <c:v>1.575326</c:v>
                </c:pt>
                <c:pt idx="53">
                  <c:v>1.5829580000000001</c:v>
                </c:pt>
                <c:pt idx="54">
                  <c:v>1.5743929999999999</c:v>
                </c:pt>
                <c:pt idx="55">
                  <c:v>1.5690090000000001</c:v>
                </c:pt>
                <c:pt idx="56">
                  <c:v>1.542737</c:v>
                </c:pt>
                <c:pt idx="57">
                  <c:v>1.5173369999999999</c:v>
                </c:pt>
                <c:pt idx="58">
                  <c:v>1.4890859999999999</c:v>
                </c:pt>
                <c:pt idx="59">
                  <c:v>1.4874689999999999</c:v>
                </c:pt>
                <c:pt idx="60">
                  <c:v>1.4799199999999999</c:v>
                </c:pt>
              </c:numCache>
            </c:numRef>
          </c:val>
          <c:smooth val="0"/>
        </c:ser>
        <c:dLbls>
          <c:showLegendKey val="0"/>
          <c:showVal val="0"/>
          <c:showCatName val="0"/>
          <c:showSerName val="0"/>
          <c:showPercent val="0"/>
          <c:showBubbleSize val="0"/>
        </c:dLbls>
        <c:marker val="1"/>
        <c:smooth val="0"/>
        <c:axId val="813244416"/>
        <c:axId val="723733888"/>
      </c:lineChart>
      <c:catAx>
        <c:axId val="813244416"/>
        <c:scaling>
          <c:orientation val="minMax"/>
        </c:scaling>
        <c:delete val="0"/>
        <c:axPos val="b"/>
        <c:numFmt formatCode="General" sourceLinked="0"/>
        <c:majorTickMark val="out"/>
        <c:minorTickMark val="none"/>
        <c:tickLblPos val="nextTo"/>
        <c:spPr>
          <a:ln w="3175">
            <a:solidFill>
              <a:srgbClr val="000000"/>
            </a:solidFill>
            <a:prstDash val="solid"/>
          </a:ln>
        </c:spPr>
        <c:txPr>
          <a:bodyPr rot="-1740000" vert="horz"/>
          <a:lstStyle/>
          <a:p>
            <a:pPr>
              <a:defRPr sz="1000" b="0" i="1" u="none" strike="noStrike" baseline="0">
                <a:solidFill>
                  <a:srgbClr val="002060"/>
                </a:solidFill>
                <a:latin typeface="Arial"/>
                <a:ea typeface="Arial"/>
                <a:cs typeface="Arial"/>
              </a:defRPr>
            </a:pPr>
            <a:endParaRPr lang="en-US"/>
          </a:p>
        </c:txPr>
        <c:crossAx val="723733888"/>
        <c:crosses val="autoZero"/>
        <c:auto val="1"/>
        <c:lblAlgn val="ctr"/>
        <c:lblOffset val="100"/>
        <c:tickLblSkip val="12"/>
        <c:tickMarkSkip val="1"/>
        <c:noMultiLvlLbl val="0"/>
      </c:catAx>
      <c:valAx>
        <c:axId val="723733888"/>
        <c:scaling>
          <c:orientation val="minMax"/>
          <c:max val="2.8"/>
          <c:min val="1.4"/>
        </c:scaling>
        <c:delete val="0"/>
        <c:axPos val="l"/>
        <c:majorGridlines>
          <c:spPr>
            <a:ln w="3175">
              <a:solidFill>
                <a:srgbClr val="000000"/>
              </a:solidFill>
              <a:prstDash val="solid"/>
            </a:ln>
          </c:spPr>
        </c:majorGridlines>
        <c:title>
          <c:tx>
            <c:rich>
              <a:bodyPr/>
              <a:lstStyle/>
              <a:p>
                <a:pPr>
                  <a:defRPr sz="800" b="1" i="1" u="none" strike="noStrike" baseline="0">
                    <a:solidFill>
                      <a:srgbClr val="002060"/>
                    </a:solidFill>
                    <a:latin typeface="Arial"/>
                    <a:ea typeface="Arial"/>
                    <a:cs typeface="Arial"/>
                  </a:defRPr>
                </a:pPr>
                <a:r>
                  <a:rPr lang="en-GB">
                    <a:solidFill>
                      <a:srgbClr val="002060"/>
                    </a:solidFill>
                  </a:rPr>
                  <a:t>Millions</a:t>
                </a:r>
              </a:p>
            </c:rich>
          </c:tx>
          <c:overlay val="0"/>
        </c:title>
        <c:numFmt formatCode="#,##0.0" sourceLinked="0"/>
        <c:majorTickMark val="out"/>
        <c:minorTickMark val="none"/>
        <c:tickLblPos val="nextTo"/>
        <c:spPr>
          <a:noFill/>
          <a:ln w="3175">
            <a:solidFill>
              <a:srgbClr val="000000"/>
            </a:solidFill>
            <a:prstDash val="solid"/>
          </a:ln>
        </c:spPr>
        <c:txPr>
          <a:bodyPr rot="-900000" vert="horz"/>
          <a:lstStyle/>
          <a:p>
            <a:pPr>
              <a:defRPr sz="1000" b="0" i="1" u="none" strike="noStrike" baseline="0">
                <a:solidFill>
                  <a:srgbClr val="0D2255"/>
                </a:solidFill>
                <a:latin typeface="Arial"/>
                <a:ea typeface="Arial"/>
                <a:cs typeface="Arial"/>
              </a:defRPr>
            </a:pPr>
            <a:endParaRPr lang="en-US"/>
          </a:p>
        </c:txPr>
        <c:crossAx val="813244416"/>
        <c:crosses val="autoZero"/>
        <c:crossBetween val="between"/>
        <c:majorUnit val="0.2"/>
        <c:minorUnit val="0.1"/>
      </c:valAx>
      <c:spPr>
        <a:noFill/>
        <a:ln w="12700">
          <a:noFill/>
          <a:prstDash val="solid"/>
        </a:ln>
      </c:spPr>
    </c:plotArea>
    <c:legend>
      <c:legendPos val="r"/>
      <c:layout>
        <c:manualLayout>
          <c:xMode val="edge"/>
          <c:yMode val="edge"/>
          <c:x val="0.14047253388141637"/>
          <c:y val="3.2012272398203534E-2"/>
          <c:w val="0.51375356751204071"/>
          <c:h val="9.3017484656523194E-2"/>
        </c:manualLayout>
      </c:layout>
      <c:overlay val="0"/>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legend>
    <c:plotVisOnly val="1"/>
    <c:dispBlanksAs val="span"/>
    <c:showDLblsOverMax val="0"/>
  </c:chart>
  <c:spPr>
    <a:solidFill>
      <a:srgbClr val="FFFFFF"/>
    </a:solidFill>
    <a:ln w="3175">
      <a:noFill/>
      <a:prstDash val="solid"/>
    </a:ln>
  </c:spPr>
  <c:txPr>
    <a:bodyPr/>
    <a:lstStyle/>
    <a:p>
      <a:pPr>
        <a:defRPr sz="800" b="0" i="1"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'PR chart 2'!$M$4</c:f>
              <c:strCache>
                <c:ptCount val="1"/>
              </c:strCache>
            </c:strRef>
          </c:tx>
          <c:spPr>
            <a:solidFill>
              <a:srgbClr val="99C1E4"/>
            </a:solidFill>
            <a:ln>
              <a:solidFill>
                <a:prstClr val="black"/>
              </a:solidFill>
            </a:ln>
          </c:spPr>
          <c:invertIfNegative val="0"/>
          <c:dPt>
            <c:idx val="3"/>
            <c:invertIfNegative val="0"/>
            <c:bubble3D val="0"/>
            <c:spPr>
              <a:solidFill>
                <a:srgbClr val="0D2255"/>
              </a:solidFill>
              <a:ln>
                <a:solidFill>
                  <a:prstClr val="black"/>
                </a:solidFill>
              </a:ln>
            </c:spPr>
          </c:dPt>
          <c:dPt>
            <c:idx val="5"/>
            <c:invertIfNegative val="0"/>
            <c:bubble3D val="0"/>
            <c:spPr>
              <a:solidFill>
                <a:srgbClr val="1074CB"/>
              </a:solidFill>
              <a:ln>
                <a:solidFill>
                  <a:prstClr val="black"/>
                </a:solidFill>
              </a:ln>
            </c:spPr>
          </c:dPt>
          <c:dPt>
            <c:idx val="6"/>
            <c:invertIfNegative val="0"/>
            <c:bubble3D val="0"/>
            <c:spPr>
              <a:solidFill>
                <a:srgbClr val="1074CB"/>
              </a:solidFill>
              <a:ln>
                <a:solidFill>
                  <a:prstClr val="black"/>
                </a:solidFill>
              </a:ln>
            </c:spPr>
          </c:dPt>
          <c:cat>
            <c:strRef>
              <c:f>'PR chart 2'!$N$3:$Q$3</c:f>
              <c:strCache>
                <c:ptCount val="4"/>
                <c:pt idx="0">
                  <c:v>2013</c:v>
                </c:pt>
                <c:pt idx="1">
                  <c:v>2014</c:v>
                </c:pt>
                <c:pt idx="2">
                  <c:v>2015</c:v>
                </c:pt>
                <c:pt idx="3">
                  <c:v>Mean:2009-14</c:v>
                </c:pt>
              </c:strCache>
            </c:strRef>
          </c:cat>
          <c:val>
            <c:numRef>
              <c:f>'PR chart 2'!$N$4:$Q$4</c:f>
              <c:numCache>
                <c:formatCode>General</c:formatCode>
                <c:ptCount val="4"/>
                <c:pt idx="0" formatCode="#,##0">
                  <c:v>219757</c:v>
                </c:pt>
                <c:pt idx="1">
                  <c:v>206291</c:v>
                </c:pt>
                <c:pt idx="2">
                  <c:v>188966</c:v>
                </c:pt>
                <c:pt idx="3">
                  <c:v>203382.83333333334</c:v>
                </c:pt>
              </c:numCache>
            </c:numRef>
          </c:val>
        </c:ser>
        <c:dLbls>
          <c:showLegendKey val="0"/>
          <c:showVal val="0"/>
          <c:showCatName val="0"/>
          <c:showSerName val="0"/>
          <c:showPercent val="0"/>
          <c:showBubbleSize val="0"/>
        </c:dLbls>
        <c:gapWidth val="48"/>
        <c:axId val="813244928"/>
        <c:axId val="723737920"/>
      </c:barChart>
      <c:catAx>
        <c:axId val="813244928"/>
        <c:scaling>
          <c:orientation val="minMax"/>
        </c:scaling>
        <c:delete val="0"/>
        <c:axPos val="b"/>
        <c:numFmt formatCode="General" sourceLinked="1"/>
        <c:majorTickMark val="out"/>
        <c:minorTickMark val="none"/>
        <c:tickLblPos val="nextTo"/>
        <c:crossAx val="723737920"/>
        <c:crosses val="autoZero"/>
        <c:auto val="1"/>
        <c:lblAlgn val="ctr"/>
        <c:lblOffset val="100"/>
        <c:noMultiLvlLbl val="0"/>
      </c:catAx>
      <c:valAx>
        <c:axId val="723737920"/>
        <c:scaling>
          <c:orientation val="minMax"/>
          <c:min val="0"/>
        </c:scaling>
        <c:delete val="0"/>
        <c:axPos val="l"/>
        <c:majorGridlines/>
        <c:numFmt formatCode="#,##0" sourceLinked="0"/>
        <c:majorTickMark val="out"/>
        <c:minorTickMark val="none"/>
        <c:tickLblPos val="nextTo"/>
        <c:crossAx val="813244928"/>
        <c:crosses val="autoZero"/>
        <c:crossBetween val="between"/>
        <c:majorUnit val="50000"/>
      </c:valAx>
    </c:plotArea>
    <c:plotVisOnly val="1"/>
    <c:dispBlanksAs val="gap"/>
    <c:showDLblsOverMax val="0"/>
  </c:chart>
  <c:spPr>
    <a:ln>
      <a:noFill/>
    </a:ln>
  </c:spPr>
  <c:txPr>
    <a:bodyPr/>
    <a:lstStyle/>
    <a:p>
      <a:pPr>
        <a:defRPr>
          <a:latin typeface="Arial" pitchFamily="34" charset="0"/>
          <a:cs typeface="Arial" pitchFamily="34" charset="0"/>
        </a:defRPr>
      </a:pPr>
      <a:endParaRPr lang="en-US"/>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0.13517</cdr:x>
      <cdr:y>0.76357</cdr:y>
    </cdr:from>
    <cdr:to>
      <cdr:x>0.6833</cdr:x>
      <cdr:y>0.82664</cdr:y>
    </cdr:to>
    <cdr:sp macro="" textlink="">
      <cdr:nvSpPr>
        <cdr:cNvPr id="2" name="TextBox 1"/>
        <cdr:cNvSpPr txBox="1"/>
      </cdr:nvSpPr>
      <cdr:spPr>
        <a:xfrm xmlns:a="http://schemas.openxmlformats.org/drawingml/2006/main">
          <a:off x="960120" y="3238500"/>
          <a:ext cx="3657600" cy="29718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GB"/>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579AD-DDC2-44CB-8514-E2833336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89BBE7D8</Template>
  <TotalTime>0</TotalTime>
  <Pages>1</Pages>
  <Words>146</Words>
  <Characters>836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Gojny-Tullock</dc:creator>
  <cp:lastModifiedBy>Alex Michaelides</cp:lastModifiedBy>
  <cp:revision>2</cp:revision>
  <cp:lastPrinted>2013-12-16T13:34:00Z</cp:lastPrinted>
  <dcterms:created xsi:type="dcterms:W3CDTF">2015-02-19T08:46:00Z</dcterms:created>
  <dcterms:modified xsi:type="dcterms:W3CDTF">2015-02-19T08:46:00Z</dcterms:modified>
</cp:coreProperties>
</file>