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0" w:rsidRPr="00440369" w:rsidRDefault="00C80E70" w:rsidP="007430A2">
      <w:pPr>
        <w:pStyle w:val="Heading1"/>
        <w:ind w:left="0" w:right="142" w:firstLine="0"/>
        <w:rPr>
          <w:rFonts w:ascii="Arial" w:eastAsiaTheme="minorEastAsia" w:hAnsi="Arial" w:cs="Arial"/>
          <w:bCs/>
          <w:color w:val="1074CB"/>
          <w:sz w:val="40"/>
          <w:szCs w:val="40"/>
        </w:rPr>
      </w:pPr>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7A1EAA" w:rsidP="006B3606">
      <w:pPr>
        <w:pStyle w:val="Heading1"/>
        <w:ind w:right="142"/>
      </w:pPr>
      <w:r>
        <w:rPr>
          <w:rFonts w:ascii="Arial" w:eastAsiaTheme="minorEastAsia" w:hAnsi="Arial" w:cs="Arial"/>
          <w:b w:val="0"/>
          <w:bCs/>
          <w:color w:val="1074CB"/>
          <w:sz w:val="44"/>
          <w:szCs w:val="44"/>
        </w:rPr>
        <w:t>2</w:t>
      </w:r>
      <w:r w:rsidR="009F17EB">
        <w:rPr>
          <w:rFonts w:ascii="Arial" w:eastAsiaTheme="minorEastAsia" w:hAnsi="Arial" w:cs="Arial"/>
          <w:b w:val="0"/>
          <w:bCs/>
          <w:color w:val="1074CB"/>
          <w:sz w:val="44"/>
          <w:szCs w:val="44"/>
        </w:rPr>
        <w:t>1</w:t>
      </w:r>
      <w:r w:rsidR="009511F2">
        <w:rPr>
          <w:rFonts w:ascii="Arial" w:eastAsiaTheme="minorEastAsia" w:hAnsi="Arial" w:cs="Arial"/>
          <w:b w:val="0"/>
          <w:bCs/>
          <w:color w:val="1074CB"/>
          <w:sz w:val="44"/>
          <w:szCs w:val="44"/>
        </w:rPr>
        <w:t xml:space="preserve"> </w:t>
      </w:r>
      <w:r w:rsidR="009F17EB">
        <w:rPr>
          <w:rFonts w:ascii="Arial" w:eastAsiaTheme="minorEastAsia" w:hAnsi="Arial" w:cs="Arial"/>
          <w:b w:val="0"/>
          <w:bCs/>
          <w:color w:val="1074CB"/>
          <w:sz w:val="44"/>
          <w:szCs w:val="44"/>
        </w:rPr>
        <w:t>August</w:t>
      </w:r>
      <w:r w:rsidR="006B3606" w:rsidRPr="00440369">
        <w:rPr>
          <w:rFonts w:ascii="Arial" w:eastAsiaTheme="minorEastAsia" w:hAnsi="Arial" w:cs="Arial"/>
          <w:b w:val="0"/>
          <w:bCs/>
          <w:color w:val="1074CB"/>
          <w:sz w:val="44"/>
          <w:szCs w:val="44"/>
        </w:rPr>
        <w:t xml:space="preserve"> 2014</w:t>
      </w:r>
      <w:r w:rsidR="006B3606">
        <w:rPr>
          <w:rFonts w:ascii="Arial" w:eastAsiaTheme="minorEastAsia" w:hAnsi="Arial" w:cs="Arial"/>
          <w:bCs/>
          <w:color w:val="FF0000"/>
          <w:sz w:val="44"/>
          <w:szCs w:val="44"/>
        </w:rPr>
        <w:t xml:space="preserve"> </w:t>
      </w:r>
      <w:r w:rsidR="006B3606"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Ju</w:t>
      </w:r>
      <w:r w:rsidR="009F17EB">
        <w:rPr>
          <w:rFonts w:ascii="Arial" w:eastAsiaTheme="minorEastAsia" w:hAnsi="Arial" w:cs="Arial"/>
          <w:b w:val="0"/>
          <w:bCs/>
          <w:color w:val="1074CB"/>
          <w:sz w:val="28"/>
          <w:szCs w:val="28"/>
        </w:rPr>
        <w:t>ly</w:t>
      </w:r>
      <w:r w:rsidR="009511F2">
        <w:rPr>
          <w:rFonts w:ascii="Arial" w:eastAsiaTheme="minorEastAsia" w:hAnsi="Arial" w:cs="Arial"/>
          <w:b w:val="0"/>
          <w:bCs/>
          <w:color w:val="1074CB"/>
          <w:sz w:val="28"/>
          <w:szCs w:val="28"/>
        </w:rPr>
        <w:t xml:space="preserve"> </w:t>
      </w:r>
      <w:r w:rsidR="006B3606" w:rsidRPr="00696C6A">
        <w:rPr>
          <w:rFonts w:ascii="Arial" w:eastAsiaTheme="minorEastAsia" w:hAnsi="Arial" w:cs="Arial"/>
          <w:b w:val="0"/>
          <w:bCs/>
          <w:color w:val="1074CB"/>
          <w:sz w:val="28"/>
          <w:szCs w:val="28"/>
        </w:rPr>
        <w:t>201</w:t>
      </w:r>
      <w:r w:rsidR="006B3606">
        <w:rPr>
          <w:rFonts w:ascii="Arial" w:eastAsiaTheme="minorEastAsia" w:hAnsi="Arial" w:cs="Arial"/>
          <w:b w:val="0"/>
          <w:bCs/>
          <w:color w:val="1074CB"/>
          <w:sz w:val="28"/>
          <w:szCs w:val="28"/>
        </w:rPr>
        <w:t>4</w:t>
      </w:r>
      <w:r w:rsidR="006B3606" w:rsidRPr="00696C6A">
        <w:rPr>
          <w:rFonts w:ascii="Arial" w:eastAsiaTheme="minorEastAsia" w:hAnsi="Arial" w:cs="Arial"/>
          <w:b w:val="0"/>
          <w:bCs/>
          <w:color w:val="1074CB"/>
          <w:sz w:val="28"/>
          <w:szCs w:val="28"/>
        </w:rPr>
        <w:t>)</w:t>
      </w:r>
    </w:p>
    <w:p w:rsidR="00C80E70" w:rsidRPr="007B7D91" w:rsidRDefault="00187E2B" w:rsidP="00C80E70">
      <w:r w:rsidRPr="00187E2B">
        <w:rPr>
          <w:rFonts w:ascii="Arial" w:eastAsiaTheme="minorEastAsia" w:hAnsi="Arial" w:cs="Arial"/>
          <w:b/>
          <w:bCs/>
          <w:noProof/>
          <w:color w:val="1074CB"/>
          <w:sz w:val="20"/>
        </w:rPr>
        <w:pict>
          <v:line id="Line 2" o:spid="_x0000_s1028" style="position:absolute;z-index:251666432;visibility:visibl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" strokecolor="#1074cb"/>
        </w:pict>
      </w:r>
    </w:p>
    <w:p w:rsidR="00D12474" w:rsidRPr="006364F0" w:rsidRDefault="006364F0" w:rsidP="00D12474">
      <w:pPr>
        <w:pStyle w:val="Heading1"/>
        <w:ind w:left="0" w:right="425" w:firstLine="0"/>
      </w:pPr>
      <w:r>
        <w:rPr>
          <w:rFonts w:ascii="Arial" w:hAnsi="Arial" w:cs="Arial"/>
          <w:color w:val="1074CB"/>
          <w:sz w:val="36"/>
          <w:szCs w:val="36"/>
        </w:rPr>
        <w:t xml:space="preserve">CV production still subdued </w:t>
      </w:r>
      <w:r w:rsidR="009D44F7">
        <w:rPr>
          <w:rFonts w:ascii="Arial" w:hAnsi="Arial" w:cs="Arial"/>
          <w:color w:val="1074CB"/>
          <w:sz w:val="36"/>
          <w:szCs w:val="36"/>
        </w:rPr>
        <w:t>but stability anticipated</w:t>
      </w:r>
    </w:p>
    <w:p w:rsidR="00D12474" w:rsidRPr="006364F0" w:rsidRDefault="00D12474" w:rsidP="00D12474">
      <w:pPr>
        <w:rPr>
          <w:rFonts w:eastAsiaTheme="minorHAnsi"/>
        </w:rPr>
      </w:pPr>
      <w:r w:rsidRPr="006364F0">
        <w:rPr>
          <w:rFonts w:cs="Times"/>
          <w:sz w:val="10"/>
          <w:szCs w:val="10"/>
        </w:rPr>
        <w:t> </w:t>
      </w:r>
    </w:p>
    <w:p w:rsidR="00D12474" w:rsidRPr="006364F0" w:rsidRDefault="00D12474" w:rsidP="00D12474">
      <w:r w:rsidRPr="006364F0">
        <w:rPr>
          <w:sz w:val="10"/>
          <w:szCs w:val="10"/>
        </w:rPr>
        <w:t> </w:t>
      </w:r>
    </w:p>
    <w:p w:rsidR="00E8542A" w:rsidRPr="006364F0" w:rsidRDefault="00D12474" w:rsidP="00D12474">
      <w:pPr>
        <w:numPr>
          <w:ilvl w:val="0"/>
          <w:numId w:val="5"/>
        </w:numPr>
        <w:spacing w:line="360" w:lineRule="auto"/>
        <w:ind w:hanging="76"/>
        <w:rPr>
          <w:sz w:val="20"/>
        </w:rPr>
      </w:pPr>
      <w:r w:rsidRPr="006364F0">
        <w:rPr>
          <w:rFonts w:ascii="Arial" w:hAnsi="Arial" w:cs="Arial"/>
          <w:sz w:val="20"/>
        </w:rPr>
        <w:t>C</w:t>
      </w:r>
      <w:r w:rsidR="009F17EB" w:rsidRPr="006364F0">
        <w:rPr>
          <w:rFonts w:ascii="Arial" w:hAnsi="Arial" w:cs="Arial"/>
          <w:sz w:val="20"/>
        </w:rPr>
        <w:t>V</w:t>
      </w:r>
      <w:r w:rsidRPr="006364F0">
        <w:rPr>
          <w:rFonts w:ascii="Arial" w:hAnsi="Arial" w:cs="Arial"/>
          <w:sz w:val="20"/>
        </w:rPr>
        <w:t xml:space="preserve"> </w:t>
      </w:r>
      <w:r w:rsidR="009F17EB" w:rsidRPr="006364F0">
        <w:rPr>
          <w:rFonts w:ascii="Arial" w:hAnsi="Arial" w:cs="Arial"/>
          <w:sz w:val="20"/>
        </w:rPr>
        <w:t xml:space="preserve">output </w:t>
      </w:r>
      <w:r w:rsidR="006364F0">
        <w:rPr>
          <w:rFonts w:ascii="Arial" w:hAnsi="Arial" w:cs="Arial"/>
          <w:sz w:val="20"/>
        </w:rPr>
        <w:t>continued its decline in July, with volumes down 25% to 6,338 units.</w:t>
      </w:r>
    </w:p>
    <w:p w:rsidR="00D12474" w:rsidRPr="006364F0" w:rsidRDefault="006364F0" w:rsidP="00D12474">
      <w:pPr>
        <w:numPr>
          <w:ilvl w:val="0"/>
          <w:numId w:val="5"/>
        </w:numPr>
        <w:spacing w:line="360" w:lineRule="auto"/>
        <w:ind w:hanging="76"/>
        <w:rPr>
          <w:sz w:val="20"/>
        </w:rPr>
      </w:pPr>
      <w:r>
        <w:rPr>
          <w:rFonts w:ascii="Arial" w:hAnsi="Arial" w:cs="Arial"/>
          <w:sz w:val="20"/>
        </w:rPr>
        <w:t>July fall reflects trend in previous months, with year-to-date output down 23.3%.</w:t>
      </w:r>
    </w:p>
    <w:p w:rsidR="00D12474" w:rsidRDefault="006364F0" w:rsidP="009D44F7">
      <w:pPr>
        <w:numPr>
          <w:ilvl w:val="0"/>
          <w:numId w:val="5"/>
        </w:numPr>
        <w:spacing w:line="360" w:lineRule="auto"/>
        <w:ind w:hanging="76"/>
        <w:rPr>
          <w:sz w:val="20"/>
        </w:rPr>
      </w:pPr>
      <w:r>
        <w:rPr>
          <w:rFonts w:ascii="Arial" w:hAnsi="Arial" w:cs="Arial"/>
          <w:sz w:val="20"/>
        </w:rPr>
        <w:t xml:space="preserve">Impact of last year’s structural changes continued, but </w:t>
      </w:r>
      <w:r w:rsidR="00235019">
        <w:rPr>
          <w:rFonts w:ascii="Arial" w:hAnsi="Arial" w:cs="Arial"/>
          <w:sz w:val="20"/>
        </w:rPr>
        <w:t>stabilisation expected in coming months</w:t>
      </w:r>
      <w:r w:rsidR="00D12474" w:rsidRPr="006364F0">
        <w:rPr>
          <w:rFonts w:ascii="Arial" w:hAnsi="Arial" w:cs="Arial"/>
          <w:sz w:val="20"/>
        </w:rPr>
        <w:t>.</w:t>
      </w:r>
    </w:p>
    <w:p w:rsidR="009D44F7" w:rsidRPr="009D44F7" w:rsidRDefault="009D44F7" w:rsidP="009D44F7">
      <w:pPr>
        <w:spacing w:line="360" w:lineRule="auto"/>
        <w:ind w:left="360"/>
        <w:rPr>
          <w:sz w:val="20"/>
        </w:rPr>
      </w:pPr>
    </w:p>
    <w:p w:rsidR="00D12474" w:rsidRDefault="00D12474" w:rsidP="009D44F7">
      <w:pPr>
        <w:spacing w:line="276" w:lineRule="auto"/>
      </w:pPr>
      <w:r w:rsidRPr="006364F0">
        <w:rPr>
          <w:rFonts w:ascii="Arial" w:hAnsi="Arial" w:cs="Arial"/>
          <w:sz w:val="20"/>
        </w:rPr>
        <w:t>"</w:t>
      </w:r>
      <w:r w:rsidR="006364F0">
        <w:rPr>
          <w:rFonts w:ascii="Arial" w:hAnsi="Arial" w:cs="Arial"/>
          <w:sz w:val="20"/>
        </w:rPr>
        <w:t>UK commercial vehicle production</w:t>
      </w:r>
      <w:r w:rsidR="00235019">
        <w:rPr>
          <w:rFonts w:ascii="Arial" w:hAnsi="Arial" w:cs="Arial"/>
          <w:sz w:val="20"/>
        </w:rPr>
        <w:t xml:space="preserve"> fell by a quarter</w:t>
      </w:r>
      <w:r w:rsidR="006364F0">
        <w:rPr>
          <w:rFonts w:ascii="Arial" w:hAnsi="Arial" w:cs="Arial"/>
          <w:sz w:val="20"/>
        </w:rPr>
        <w:t xml:space="preserve"> </w:t>
      </w:r>
      <w:r w:rsidR="00017BE7">
        <w:rPr>
          <w:rFonts w:ascii="Arial" w:hAnsi="Arial" w:cs="Arial"/>
          <w:sz w:val="20"/>
        </w:rPr>
        <w:t>over last</w:t>
      </w:r>
      <w:r w:rsidR="006364F0">
        <w:rPr>
          <w:rFonts w:ascii="Arial" w:hAnsi="Arial" w:cs="Arial"/>
          <w:sz w:val="20"/>
        </w:rPr>
        <w:t xml:space="preserve"> July</w:t>
      </w:r>
      <w:r w:rsidR="00235019">
        <w:rPr>
          <w:rFonts w:ascii="Arial" w:hAnsi="Arial" w:cs="Arial"/>
          <w:sz w:val="20"/>
        </w:rPr>
        <w:t>, continuing</w:t>
      </w:r>
      <w:r w:rsidR="006364F0">
        <w:rPr>
          <w:rFonts w:ascii="Arial" w:hAnsi="Arial" w:cs="Arial"/>
          <w:sz w:val="20"/>
        </w:rPr>
        <w:t xml:space="preserve"> the trend seen</w:t>
      </w:r>
      <w:r w:rsidR="00235019">
        <w:rPr>
          <w:rFonts w:ascii="Arial" w:hAnsi="Arial" w:cs="Arial"/>
          <w:sz w:val="20"/>
        </w:rPr>
        <w:t xml:space="preserve"> over the last year,</w:t>
      </w:r>
      <w:r w:rsidRPr="006364F0">
        <w:rPr>
          <w:rFonts w:ascii="Arial" w:hAnsi="Arial" w:cs="Arial"/>
          <w:sz w:val="20"/>
        </w:rPr>
        <w:t>" said Mike Hawes, SMMT Chief Executive. "</w:t>
      </w:r>
      <w:r w:rsidR="006364F0">
        <w:rPr>
          <w:rFonts w:ascii="Arial" w:hAnsi="Arial" w:cs="Arial"/>
          <w:sz w:val="20"/>
        </w:rPr>
        <w:t>With the effects of the 2013 restructuring still evident</w:t>
      </w:r>
      <w:r w:rsidR="00235019">
        <w:rPr>
          <w:rFonts w:ascii="Arial" w:hAnsi="Arial" w:cs="Arial"/>
          <w:sz w:val="20"/>
        </w:rPr>
        <w:t xml:space="preserve">, as well as the spike in truck registrations towards the end of last year, </w:t>
      </w:r>
      <w:r w:rsidR="006364F0">
        <w:rPr>
          <w:rFonts w:ascii="Arial" w:hAnsi="Arial" w:cs="Arial"/>
          <w:sz w:val="20"/>
        </w:rPr>
        <w:t>this was to be expected. The coming months should provide more optimism, however</w:t>
      </w:r>
      <w:r w:rsidR="00235019">
        <w:rPr>
          <w:rFonts w:ascii="Arial" w:hAnsi="Arial" w:cs="Arial"/>
          <w:sz w:val="20"/>
        </w:rPr>
        <w:t xml:space="preserve">, with European demand </w:t>
      </w:r>
      <w:r w:rsidR="00017BE7">
        <w:rPr>
          <w:rFonts w:ascii="Arial" w:hAnsi="Arial" w:cs="Arial"/>
          <w:sz w:val="20"/>
        </w:rPr>
        <w:t>showing sustained improvement.</w:t>
      </w:r>
      <w:bookmarkStart w:id="0" w:name="_GoBack"/>
      <w:bookmarkEnd w:id="0"/>
      <w:r w:rsidRPr="006364F0">
        <w:rPr>
          <w:rFonts w:ascii="Arial" w:hAnsi="Arial" w:cs="Arial"/>
          <w:sz w:val="20"/>
        </w:rPr>
        <w:t>"</w:t>
      </w:r>
    </w:p>
    <w:p w:rsidR="00D6336B" w:rsidRPr="00E714BD" w:rsidRDefault="00D6336B" w:rsidP="00B94DB1">
      <w:pPr>
        <w:rPr>
          <w:rFonts w:ascii="Arial" w:hAnsi="Arial" w:cs="Arial"/>
          <w:sz w:val="20"/>
          <w:highlight w:val="yellow"/>
        </w:rPr>
      </w:pPr>
    </w:p>
    <w:tbl>
      <w:tblPr>
        <w:tblStyle w:val="TableGrid"/>
        <w:tblW w:w="946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tblPr>
      <w:tblGrid>
        <w:gridCol w:w="2093"/>
        <w:gridCol w:w="1276"/>
        <w:gridCol w:w="1134"/>
        <w:gridCol w:w="1275"/>
        <w:gridCol w:w="1276"/>
        <w:gridCol w:w="1134"/>
        <w:gridCol w:w="1276"/>
      </w:tblGrid>
      <w:tr w:rsidR="00A51715" w:rsidRPr="00325254" w:rsidTr="00A51715">
        <w:trPr>
          <w:trHeight w:val="270"/>
        </w:trPr>
        <w:tc>
          <w:tcPr>
            <w:tcW w:w="2093" w:type="dxa"/>
            <w:noWrap/>
            <w:vAlign w:val="center"/>
            <w:hideMark/>
          </w:tcPr>
          <w:p w:rsidR="00A51715" w:rsidRPr="00325254" w:rsidRDefault="00A51715" w:rsidP="00B94DB1">
            <w:pPr>
              <w:rPr>
                <w:rFonts w:ascii="Arial" w:hAnsi="Arial" w:cs="Arial"/>
                <w:b/>
                <w:color w:val="002060"/>
                <w:sz w:val="20"/>
              </w:rPr>
            </w:pPr>
            <w:r w:rsidRPr="00325254">
              <w:rPr>
                <w:rFonts w:ascii="Arial" w:hAnsi="Arial" w:cs="Arial"/>
                <w:b/>
                <w:color w:val="002060"/>
                <w:sz w:val="20"/>
              </w:rPr>
              <w:t>CV manufacturing</w:t>
            </w:r>
          </w:p>
        </w:tc>
        <w:tc>
          <w:tcPr>
            <w:tcW w:w="1276" w:type="dxa"/>
            <w:noWrap/>
            <w:vAlign w:val="bottom"/>
            <w:hideMark/>
          </w:tcPr>
          <w:p w:rsidR="00A51715" w:rsidRPr="00A51715" w:rsidRDefault="007A1EAA" w:rsidP="0017616F">
            <w:pPr>
              <w:jc w:val="right"/>
              <w:rPr>
                <w:rFonts w:ascii="Arial" w:hAnsi="Arial" w:cs="Arial"/>
                <w:b/>
                <w:color w:val="002060"/>
                <w:sz w:val="20"/>
              </w:rPr>
            </w:pPr>
            <w:r>
              <w:rPr>
                <w:rFonts w:ascii="Arial" w:hAnsi="Arial" w:cs="Arial"/>
                <w:b/>
                <w:color w:val="002060"/>
                <w:sz w:val="20"/>
              </w:rPr>
              <w:t>Ju</w:t>
            </w:r>
            <w:r w:rsidR="0017616F">
              <w:rPr>
                <w:rFonts w:ascii="Arial" w:hAnsi="Arial" w:cs="Arial"/>
                <w:b/>
                <w:color w:val="002060"/>
                <w:sz w:val="20"/>
              </w:rPr>
              <w:t>ly</w:t>
            </w:r>
            <w:r w:rsidR="00A51715" w:rsidRPr="00A51715">
              <w:rPr>
                <w:rFonts w:ascii="Arial" w:hAnsi="Arial" w:cs="Arial"/>
                <w:b/>
                <w:color w:val="002060"/>
                <w:sz w:val="20"/>
              </w:rPr>
              <w:t>-13</w:t>
            </w:r>
          </w:p>
        </w:tc>
        <w:tc>
          <w:tcPr>
            <w:tcW w:w="1134" w:type="dxa"/>
            <w:noWrap/>
            <w:vAlign w:val="bottom"/>
            <w:hideMark/>
          </w:tcPr>
          <w:p w:rsidR="00A51715" w:rsidRPr="00A51715" w:rsidRDefault="007A1EAA" w:rsidP="0017616F">
            <w:pPr>
              <w:jc w:val="right"/>
              <w:rPr>
                <w:rFonts w:ascii="Arial" w:hAnsi="Arial" w:cs="Arial"/>
                <w:b/>
                <w:color w:val="002060"/>
                <w:sz w:val="20"/>
              </w:rPr>
            </w:pPr>
            <w:r>
              <w:rPr>
                <w:rFonts w:ascii="Arial" w:hAnsi="Arial" w:cs="Arial"/>
                <w:b/>
                <w:color w:val="002060"/>
                <w:sz w:val="20"/>
              </w:rPr>
              <w:t>Ju</w:t>
            </w:r>
            <w:r w:rsidR="0017616F">
              <w:rPr>
                <w:rFonts w:ascii="Arial" w:hAnsi="Arial" w:cs="Arial"/>
                <w:b/>
                <w:color w:val="002060"/>
                <w:sz w:val="20"/>
              </w:rPr>
              <w:t>ly</w:t>
            </w:r>
            <w:r w:rsidR="00A51715" w:rsidRPr="00A51715">
              <w:rPr>
                <w:rFonts w:ascii="Arial" w:hAnsi="Arial" w:cs="Arial"/>
                <w:b/>
                <w:color w:val="002060"/>
                <w:sz w:val="20"/>
              </w:rPr>
              <w:t>-14</w:t>
            </w:r>
          </w:p>
        </w:tc>
        <w:tc>
          <w:tcPr>
            <w:tcW w:w="1275"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 xml:space="preserve">% Change </w:t>
            </w:r>
          </w:p>
        </w:tc>
        <w:tc>
          <w:tcPr>
            <w:tcW w:w="1276"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YTD-13</w:t>
            </w:r>
          </w:p>
        </w:tc>
        <w:tc>
          <w:tcPr>
            <w:tcW w:w="1134"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YTD-14</w:t>
            </w:r>
          </w:p>
        </w:tc>
        <w:tc>
          <w:tcPr>
            <w:tcW w:w="1276"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 Change</w:t>
            </w:r>
          </w:p>
        </w:tc>
      </w:tr>
      <w:tr w:rsidR="009F17EB" w:rsidRPr="00325254" w:rsidTr="00CB4D91">
        <w:trPr>
          <w:trHeight w:val="270"/>
        </w:trPr>
        <w:tc>
          <w:tcPr>
            <w:tcW w:w="2093" w:type="dxa"/>
            <w:noWrap/>
            <w:vAlign w:val="center"/>
            <w:hideMark/>
          </w:tcPr>
          <w:p w:rsidR="009F17EB" w:rsidRPr="00325254" w:rsidRDefault="009F17EB" w:rsidP="00B94DB1">
            <w:pPr>
              <w:jc w:val="right"/>
              <w:rPr>
                <w:rFonts w:ascii="Arial" w:hAnsi="Arial" w:cs="Arial"/>
                <w:b/>
                <w:color w:val="002060"/>
                <w:sz w:val="20"/>
              </w:rPr>
            </w:pPr>
            <w:r w:rsidRPr="00325254">
              <w:rPr>
                <w:rFonts w:ascii="Arial" w:hAnsi="Arial" w:cs="Arial"/>
                <w:b/>
                <w:color w:val="002060"/>
                <w:sz w:val="20"/>
              </w:rPr>
              <w:t>Total</w:t>
            </w:r>
          </w:p>
        </w:tc>
        <w:tc>
          <w:tcPr>
            <w:tcW w:w="1276" w:type="dxa"/>
            <w:noWrap/>
            <w:vAlign w:val="bottom"/>
            <w:hideMark/>
          </w:tcPr>
          <w:p w:rsidR="009F17EB" w:rsidRPr="009F17EB" w:rsidRDefault="009F17EB">
            <w:pPr>
              <w:jc w:val="right"/>
              <w:rPr>
                <w:rFonts w:ascii="Arial" w:hAnsi="Arial" w:cs="Arial"/>
                <w:b/>
                <w:color w:val="002060"/>
                <w:sz w:val="20"/>
              </w:rPr>
            </w:pPr>
            <w:r w:rsidRPr="009F17EB">
              <w:rPr>
                <w:rFonts w:ascii="Arial" w:hAnsi="Arial" w:cs="Arial"/>
                <w:b/>
                <w:color w:val="002060"/>
                <w:sz w:val="20"/>
              </w:rPr>
              <w:t>8,454</w:t>
            </w:r>
          </w:p>
        </w:tc>
        <w:tc>
          <w:tcPr>
            <w:tcW w:w="1134" w:type="dxa"/>
            <w:noWrap/>
            <w:vAlign w:val="bottom"/>
            <w:hideMark/>
          </w:tcPr>
          <w:p w:rsidR="009F17EB" w:rsidRPr="009F17EB" w:rsidRDefault="009F17EB">
            <w:pPr>
              <w:jc w:val="right"/>
              <w:rPr>
                <w:rFonts w:ascii="Arial" w:hAnsi="Arial" w:cs="Arial"/>
                <w:b/>
                <w:color w:val="002060"/>
                <w:sz w:val="20"/>
              </w:rPr>
            </w:pPr>
            <w:r w:rsidRPr="009F17EB">
              <w:rPr>
                <w:rFonts w:ascii="Arial" w:hAnsi="Arial" w:cs="Arial"/>
                <w:b/>
                <w:color w:val="002060"/>
                <w:sz w:val="20"/>
              </w:rPr>
              <w:t>6,338</w:t>
            </w:r>
          </w:p>
        </w:tc>
        <w:tc>
          <w:tcPr>
            <w:tcW w:w="1275" w:type="dxa"/>
            <w:noWrap/>
            <w:vAlign w:val="bottom"/>
            <w:hideMark/>
          </w:tcPr>
          <w:p w:rsidR="009F17EB" w:rsidRPr="009F17EB" w:rsidRDefault="009F17EB">
            <w:pPr>
              <w:jc w:val="right"/>
              <w:rPr>
                <w:rFonts w:ascii="Arial" w:hAnsi="Arial" w:cs="Arial"/>
                <w:b/>
                <w:color w:val="002060"/>
                <w:sz w:val="18"/>
                <w:szCs w:val="18"/>
              </w:rPr>
            </w:pPr>
            <w:r w:rsidRPr="009F17EB">
              <w:rPr>
                <w:rFonts w:ascii="Arial" w:hAnsi="Arial" w:cs="Arial"/>
                <w:b/>
                <w:color w:val="002060"/>
                <w:sz w:val="18"/>
                <w:szCs w:val="18"/>
              </w:rPr>
              <w:t>-25.0%</w:t>
            </w:r>
          </w:p>
        </w:tc>
        <w:tc>
          <w:tcPr>
            <w:tcW w:w="1276" w:type="dxa"/>
            <w:noWrap/>
            <w:vAlign w:val="bottom"/>
            <w:hideMark/>
          </w:tcPr>
          <w:p w:rsidR="009F17EB" w:rsidRPr="009F17EB" w:rsidRDefault="009F17EB">
            <w:pPr>
              <w:jc w:val="right"/>
              <w:rPr>
                <w:rFonts w:ascii="Arial" w:hAnsi="Arial" w:cs="Arial"/>
                <w:b/>
                <w:color w:val="002060"/>
                <w:sz w:val="20"/>
              </w:rPr>
            </w:pPr>
            <w:r w:rsidRPr="009F17EB">
              <w:rPr>
                <w:rFonts w:ascii="Arial" w:hAnsi="Arial" w:cs="Arial"/>
                <w:b/>
                <w:color w:val="002060"/>
                <w:sz w:val="20"/>
              </w:rPr>
              <w:t>57,118</w:t>
            </w:r>
          </w:p>
        </w:tc>
        <w:tc>
          <w:tcPr>
            <w:tcW w:w="1134" w:type="dxa"/>
            <w:noWrap/>
            <w:vAlign w:val="bottom"/>
            <w:hideMark/>
          </w:tcPr>
          <w:p w:rsidR="009F17EB" w:rsidRPr="009F17EB" w:rsidRDefault="009F17EB">
            <w:pPr>
              <w:jc w:val="right"/>
              <w:rPr>
                <w:rFonts w:ascii="Arial" w:hAnsi="Arial" w:cs="Arial"/>
                <w:b/>
                <w:color w:val="002060"/>
                <w:sz w:val="20"/>
              </w:rPr>
            </w:pPr>
            <w:r w:rsidRPr="009F17EB">
              <w:rPr>
                <w:rFonts w:ascii="Arial" w:hAnsi="Arial" w:cs="Arial"/>
                <w:b/>
                <w:color w:val="002060"/>
                <w:sz w:val="20"/>
              </w:rPr>
              <w:t>43,798</w:t>
            </w:r>
          </w:p>
        </w:tc>
        <w:tc>
          <w:tcPr>
            <w:tcW w:w="1276" w:type="dxa"/>
            <w:noWrap/>
            <w:vAlign w:val="bottom"/>
            <w:hideMark/>
          </w:tcPr>
          <w:p w:rsidR="009F17EB" w:rsidRPr="009F17EB" w:rsidRDefault="009F17EB">
            <w:pPr>
              <w:jc w:val="right"/>
              <w:rPr>
                <w:rFonts w:ascii="Arial" w:hAnsi="Arial" w:cs="Arial"/>
                <w:b/>
                <w:color w:val="002060"/>
                <w:sz w:val="18"/>
                <w:szCs w:val="18"/>
              </w:rPr>
            </w:pPr>
            <w:r w:rsidRPr="009F17EB">
              <w:rPr>
                <w:rFonts w:ascii="Arial" w:hAnsi="Arial" w:cs="Arial"/>
                <w:b/>
                <w:color w:val="002060"/>
                <w:sz w:val="18"/>
                <w:szCs w:val="18"/>
              </w:rPr>
              <w:t>-23.3%</w:t>
            </w:r>
          </w:p>
        </w:tc>
      </w:tr>
      <w:tr w:rsidR="009F17EB" w:rsidRPr="00325254" w:rsidTr="00CB4D91">
        <w:trPr>
          <w:trHeight w:val="270"/>
        </w:trPr>
        <w:tc>
          <w:tcPr>
            <w:tcW w:w="2093" w:type="dxa"/>
            <w:noWrap/>
            <w:vAlign w:val="center"/>
            <w:hideMark/>
          </w:tcPr>
          <w:p w:rsidR="009F17EB" w:rsidRPr="00325254" w:rsidRDefault="009F17EB" w:rsidP="00B94DB1">
            <w:pPr>
              <w:jc w:val="right"/>
              <w:rPr>
                <w:rFonts w:ascii="Arial" w:hAnsi="Arial" w:cs="Arial"/>
                <w:color w:val="002060"/>
                <w:sz w:val="20"/>
              </w:rPr>
            </w:pPr>
            <w:r w:rsidRPr="00325254">
              <w:rPr>
                <w:rFonts w:ascii="Arial" w:hAnsi="Arial" w:cs="Arial"/>
                <w:color w:val="002060"/>
                <w:sz w:val="20"/>
              </w:rPr>
              <w:t>Home</w:t>
            </w:r>
          </w:p>
        </w:tc>
        <w:tc>
          <w:tcPr>
            <w:tcW w:w="1276" w:type="dxa"/>
            <w:noWrap/>
            <w:vAlign w:val="bottom"/>
            <w:hideMark/>
          </w:tcPr>
          <w:p w:rsidR="009F17EB" w:rsidRPr="009F17EB" w:rsidRDefault="009F17EB">
            <w:pPr>
              <w:jc w:val="right"/>
              <w:rPr>
                <w:rFonts w:ascii="Arial" w:hAnsi="Arial" w:cs="Arial"/>
                <w:color w:val="002060"/>
                <w:sz w:val="20"/>
              </w:rPr>
            </w:pPr>
            <w:r w:rsidRPr="009F17EB">
              <w:rPr>
                <w:rFonts w:ascii="Arial" w:hAnsi="Arial" w:cs="Arial"/>
                <w:color w:val="002060"/>
                <w:sz w:val="20"/>
              </w:rPr>
              <w:t>2,346</w:t>
            </w:r>
          </w:p>
        </w:tc>
        <w:tc>
          <w:tcPr>
            <w:tcW w:w="1134" w:type="dxa"/>
            <w:noWrap/>
            <w:vAlign w:val="bottom"/>
            <w:hideMark/>
          </w:tcPr>
          <w:p w:rsidR="009F17EB" w:rsidRPr="009F17EB" w:rsidRDefault="009F17EB">
            <w:pPr>
              <w:jc w:val="right"/>
              <w:rPr>
                <w:rFonts w:ascii="Arial" w:hAnsi="Arial" w:cs="Arial"/>
                <w:color w:val="002060"/>
                <w:sz w:val="20"/>
              </w:rPr>
            </w:pPr>
            <w:r w:rsidRPr="009F17EB">
              <w:rPr>
                <w:rFonts w:ascii="Arial" w:hAnsi="Arial" w:cs="Arial"/>
                <w:color w:val="002060"/>
                <w:sz w:val="20"/>
              </w:rPr>
              <w:t>2,125</w:t>
            </w:r>
          </w:p>
        </w:tc>
        <w:tc>
          <w:tcPr>
            <w:tcW w:w="1275" w:type="dxa"/>
            <w:noWrap/>
            <w:vAlign w:val="bottom"/>
            <w:hideMark/>
          </w:tcPr>
          <w:p w:rsidR="009F17EB" w:rsidRPr="009F17EB" w:rsidRDefault="009F17EB">
            <w:pPr>
              <w:jc w:val="right"/>
              <w:rPr>
                <w:rFonts w:ascii="Arial" w:hAnsi="Arial" w:cs="Arial"/>
                <w:color w:val="002060"/>
                <w:sz w:val="18"/>
                <w:szCs w:val="18"/>
              </w:rPr>
            </w:pPr>
            <w:r w:rsidRPr="009F17EB">
              <w:rPr>
                <w:rFonts w:ascii="Arial" w:hAnsi="Arial" w:cs="Arial"/>
                <w:color w:val="002060"/>
                <w:sz w:val="18"/>
                <w:szCs w:val="18"/>
              </w:rPr>
              <w:t>-9.4%</w:t>
            </w:r>
          </w:p>
        </w:tc>
        <w:tc>
          <w:tcPr>
            <w:tcW w:w="1276" w:type="dxa"/>
            <w:noWrap/>
            <w:vAlign w:val="bottom"/>
            <w:hideMark/>
          </w:tcPr>
          <w:p w:rsidR="009F17EB" w:rsidRPr="009F17EB" w:rsidRDefault="009F17EB">
            <w:pPr>
              <w:jc w:val="right"/>
              <w:rPr>
                <w:rFonts w:ascii="Arial" w:hAnsi="Arial" w:cs="Arial"/>
                <w:color w:val="002060"/>
                <w:sz w:val="20"/>
              </w:rPr>
            </w:pPr>
            <w:r w:rsidRPr="009F17EB">
              <w:rPr>
                <w:rFonts w:ascii="Arial" w:hAnsi="Arial" w:cs="Arial"/>
                <w:color w:val="002060"/>
                <w:sz w:val="20"/>
              </w:rPr>
              <w:t>26,367</w:t>
            </w:r>
          </w:p>
        </w:tc>
        <w:tc>
          <w:tcPr>
            <w:tcW w:w="1134" w:type="dxa"/>
            <w:noWrap/>
            <w:vAlign w:val="bottom"/>
            <w:hideMark/>
          </w:tcPr>
          <w:p w:rsidR="009F17EB" w:rsidRPr="009F17EB" w:rsidRDefault="009F17EB">
            <w:pPr>
              <w:jc w:val="right"/>
              <w:rPr>
                <w:rFonts w:ascii="Arial" w:hAnsi="Arial" w:cs="Arial"/>
                <w:color w:val="002060"/>
                <w:sz w:val="20"/>
              </w:rPr>
            </w:pPr>
            <w:r w:rsidRPr="009F17EB">
              <w:rPr>
                <w:rFonts w:ascii="Arial" w:hAnsi="Arial" w:cs="Arial"/>
                <w:color w:val="002060"/>
                <w:sz w:val="20"/>
              </w:rPr>
              <w:t>20,723</w:t>
            </w:r>
          </w:p>
        </w:tc>
        <w:tc>
          <w:tcPr>
            <w:tcW w:w="1276" w:type="dxa"/>
            <w:noWrap/>
            <w:vAlign w:val="bottom"/>
            <w:hideMark/>
          </w:tcPr>
          <w:p w:rsidR="009F17EB" w:rsidRPr="009F17EB" w:rsidRDefault="009F17EB">
            <w:pPr>
              <w:jc w:val="right"/>
              <w:rPr>
                <w:rFonts w:ascii="Arial" w:hAnsi="Arial" w:cs="Arial"/>
                <w:color w:val="002060"/>
                <w:sz w:val="18"/>
                <w:szCs w:val="18"/>
              </w:rPr>
            </w:pPr>
            <w:r w:rsidRPr="009F17EB">
              <w:rPr>
                <w:rFonts w:ascii="Arial" w:hAnsi="Arial" w:cs="Arial"/>
                <w:color w:val="002060"/>
                <w:sz w:val="18"/>
                <w:szCs w:val="18"/>
              </w:rPr>
              <w:t>-21.4%</w:t>
            </w:r>
          </w:p>
        </w:tc>
      </w:tr>
      <w:tr w:rsidR="009F17EB" w:rsidRPr="00325254" w:rsidTr="00CB4D91">
        <w:trPr>
          <w:trHeight w:val="270"/>
        </w:trPr>
        <w:tc>
          <w:tcPr>
            <w:tcW w:w="2093" w:type="dxa"/>
            <w:noWrap/>
            <w:vAlign w:val="center"/>
            <w:hideMark/>
          </w:tcPr>
          <w:p w:rsidR="009F17EB" w:rsidRPr="00325254" w:rsidRDefault="009F17EB" w:rsidP="00B94DB1">
            <w:pPr>
              <w:jc w:val="right"/>
              <w:rPr>
                <w:rFonts w:ascii="Arial" w:hAnsi="Arial" w:cs="Arial"/>
                <w:color w:val="002060"/>
                <w:sz w:val="20"/>
              </w:rPr>
            </w:pPr>
            <w:r w:rsidRPr="00325254">
              <w:rPr>
                <w:rFonts w:ascii="Arial" w:hAnsi="Arial" w:cs="Arial"/>
                <w:color w:val="002060"/>
                <w:sz w:val="20"/>
              </w:rPr>
              <w:t>Export</w:t>
            </w:r>
          </w:p>
        </w:tc>
        <w:tc>
          <w:tcPr>
            <w:tcW w:w="1276" w:type="dxa"/>
            <w:noWrap/>
            <w:vAlign w:val="bottom"/>
            <w:hideMark/>
          </w:tcPr>
          <w:p w:rsidR="009F17EB" w:rsidRPr="009F17EB" w:rsidRDefault="009F17EB">
            <w:pPr>
              <w:jc w:val="right"/>
              <w:rPr>
                <w:rFonts w:ascii="Arial" w:hAnsi="Arial" w:cs="Arial"/>
                <w:color w:val="002060"/>
                <w:sz w:val="20"/>
              </w:rPr>
            </w:pPr>
            <w:r w:rsidRPr="009F17EB">
              <w:rPr>
                <w:rFonts w:ascii="Arial" w:hAnsi="Arial" w:cs="Arial"/>
                <w:color w:val="002060"/>
                <w:sz w:val="20"/>
              </w:rPr>
              <w:t>6,108</w:t>
            </w:r>
          </w:p>
        </w:tc>
        <w:tc>
          <w:tcPr>
            <w:tcW w:w="1134" w:type="dxa"/>
            <w:noWrap/>
            <w:vAlign w:val="bottom"/>
            <w:hideMark/>
          </w:tcPr>
          <w:p w:rsidR="009F17EB" w:rsidRPr="009F17EB" w:rsidRDefault="009F17EB">
            <w:pPr>
              <w:jc w:val="right"/>
              <w:rPr>
                <w:rFonts w:ascii="Arial" w:hAnsi="Arial" w:cs="Arial"/>
                <w:color w:val="002060"/>
                <w:sz w:val="20"/>
              </w:rPr>
            </w:pPr>
            <w:r w:rsidRPr="009F17EB">
              <w:rPr>
                <w:rFonts w:ascii="Arial" w:hAnsi="Arial" w:cs="Arial"/>
                <w:color w:val="002060"/>
                <w:sz w:val="20"/>
              </w:rPr>
              <w:t>4,213</w:t>
            </w:r>
          </w:p>
        </w:tc>
        <w:tc>
          <w:tcPr>
            <w:tcW w:w="1275" w:type="dxa"/>
            <w:noWrap/>
            <w:vAlign w:val="bottom"/>
            <w:hideMark/>
          </w:tcPr>
          <w:p w:rsidR="009F17EB" w:rsidRPr="009F17EB" w:rsidRDefault="009F17EB">
            <w:pPr>
              <w:jc w:val="right"/>
              <w:rPr>
                <w:rFonts w:ascii="Arial" w:hAnsi="Arial" w:cs="Arial"/>
                <w:color w:val="002060"/>
                <w:sz w:val="18"/>
                <w:szCs w:val="18"/>
              </w:rPr>
            </w:pPr>
            <w:r w:rsidRPr="009F17EB">
              <w:rPr>
                <w:rFonts w:ascii="Arial" w:hAnsi="Arial" w:cs="Arial"/>
                <w:color w:val="002060"/>
                <w:sz w:val="18"/>
                <w:szCs w:val="18"/>
              </w:rPr>
              <w:t>-31.0%</w:t>
            </w:r>
          </w:p>
        </w:tc>
        <w:tc>
          <w:tcPr>
            <w:tcW w:w="1276" w:type="dxa"/>
            <w:noWrap/>
            <w:vAlign w:val="bottom"/>
            <w:hideMark/>
          </w:tcPr>
          <w:p w:rsidR="009F17EB" w:rsidRPr="009F17EB" w:rsidRDefault="009F17EB">
            <w:pPr>
              <w:jc w:val="right"/>
              <w:rPr>
                <w:rFonts w:ascii="Arial" w:hAnsi="Arial" w:cs="Arial"/>
                <w:color w:val="002060"/>
                <w:sz w:val="20"/>
              </w:rPr>
            </w:pPr>
            <w:r w:rsidRPr="009F17EB">
              <w:rPr>
                <w:rFonts w:ascii="Arial" w:hAnsi="Arial" w:cs="Arial"/>
                <w:color w:val="002060"/>
                <w:sz w:val="20"/>
              </w:rPr>
              <w:t>30,751</w:t>
            </w:r>
          </w:p>
        </w:tc>
        <w:tc>
          <w:tcPr>
            <w:tcW w:w="1134" w:type="dxa"/>
            <w:noWrap/>
            <w:vAlign w:val="bottom"/>
            <w:hideMark/>
          </w:tcPr>
          <w:p w:rsidR="009F17EB" w:rsidRPr="009F17EB" w:rsidRDefault="009F17EB">
            <w:pPr>
              <w:jc w:val="right"/>
              <w:rPr>
                <w:rFonts w:ascii="Arial" w:hAnsi="Arial" w:cs="Arial"/>
                <w:color w:val="002060"/>
                <w:sz w:val="20"/>
              </w:rPr>
            </w:pPr>
            <w:r w:rsidRPr="009F17EB">
              <w:rPr>
                <w:rFonts w:ascii="Arial" w:hAnsi="Arial" w:cs="Arial"/>
                <w:color w:val="002060"/>
                <w:sz w:val="20"/>
              </w:rPr>
              <w:t>23,075</w:t>
            </w:r>
          </w:p>
        </w:tc>
        <w:tc>
          <w:tcPr>
            <w:tcW w:w="1276" w:type="dxa"/>
            <w:noWrap/>
            <w:vAlign w:val="bottom"/>
            <w:hideMark/>
          </w:tcPr>
          <w:p w:rsidR="009F17EB" w:rsidRPr="009F17EB" w:rsidRDefault="009F17EB">
            <w:pPr>
              <w:jc w:val="right"/>
              <w:rPr>
                <w:rFonts w:ascii="Arial" w:hAnsi="Arial" w:cs="Arial"/>
                <w:color w:val="002060"/>
                <w:sz w:val="18"/>
                <w:szCs w:val="18"/>
              </w:rPr>
            </w:pPr>
            <w:r w:rsidRPr="009F17EB">
              <w:rPr>
                <w:rFonts w:ascii="Arial" w:hAnsi="Arial" w:cs="Arial"/>
                <w:color w:val="002060"/>
                <w:sz w:val="18"/>
                <w:szCs w:val="18"/>
              </w:rPr>
              <w:t>-25.0%</w:t>
            </w:r>
          </w:p>
        </w:tc>
      </w:tr>
      <w:tr w:rsidR="009F17EB" w:rsidRPr="00325254" w:rsidTr="00CB4D91">
        <w:trPr>
          <w:trHeight w:val="270"/>
        </w:trPr>
        <w:tc>
          <w:tcPr>
            <w:tcW w:w="2093" w:type="dxa"/>
            <w:noWrap/>
            <w:vAlign w:val="center"/>
            <w:hideMark/>
          </w:tcPr>
          <w:p w:rsidR="009F17EB" w:rsidRPr="00325254" w:rsidRDefault="009F17EB" w:rsidP="00B94DB1">
            <w:pPr>
              <w:jc w:val="right"/>
              <w:rPr>
                <w:rFonts w:ascii="Arial" w:hAnsi="Arial" w:cs="Arial"/>
                <w:color w:val="002060"/>
                <w:sz w:val="20"/>
              </w:rPr>
            </w:pPr>
            <w:r w:rsidRPr="00325254">
              <w:rPr>
                <w:rFonts w:ascii="Arial" w:hAnsi="Arial" w:cs="Arial"/>
                <w:color w:val="002060"/>
                <w:sz w:val="20"/>
              </w:rPr>
              <w:t>% export</w:t>
            </w:r>
          </w:p>
        </w:tc>
        <w:tc>
          <w:tcPr>
            <w:tcW w:w="1276" w:type="dxa"/>
            <w:noWrap/>
            <w:vAlign w:val="bottom"/>
            <w:hideMark/>
          </w:tcPr>
          <w:p w:rsidR="009F17EB" w:rsidRPr="009F17EB" w:rsidRDefault="009F17EB">
            <w:pPr>
              <w:jc w:val="right"/>
              <w:rPr>
                <w:rFonts w:ascii="Arial" w:hAnsi="Arial" w:cs="Arial"/>
                <w:color w:val="002060"/>
                <w:sz w:val="20"/>
              </w:rPr>
            </w:pPr>
            <w:r w:rsidRPr="009F17EB">
              <w:rPr>
                <w:rFonts w:ascii="Arial" w:hAnsi="Arial" w:cs="Arial"/>
                <w:color w:val="002060"/>
                <w:sz w:val="20"/>
              </w:rPr>
              <w:t>72.2%</w:t>
            </w:r>
          </w:p>
        </w:tc>
        <w:tc>
          <w:tcPr>
            <w:tcW w:w="1134" w:type="dxa"/>
            <w:noWrap/>
            <w:vAlign w:val="bottom"/>
            <w:hideMark/>
          </w:tcPr>
          <w:p w:rsidR="009F17EB" w:rsidRPr="009F17EB" w:rsidRDefault="009F17EB">
            <w:pPr>
              <w:jc w:val="right"/>
              <w:rPr>
                <w:rFonts w:ascii="Arial" w:hAnsi="Arial" w:cs="Arial"/>
                <w:color w:val="002060"/>
                <w:sz w:val="20"/>
              </w:rPr>
            </w:pPr>
            <w:r w:rsidRPr="009F17EB">
              <w:rPr>
                <w:rFonts w:ascii="Arial" w:hAnsi="Arial" w:cs="Arial"/>
                <w:color w:val="002060"/>
                <w:sz w:val="20"/>
              </w:rPr>
              <w:t>66.5%</w:t>
            </w:r>
          </w:p>
        </w:tc>
        <w:tc>
          <w:tcPr>
            <w:tcW w:w="1275" w:type="dxa"/>
            <w:noWrap/>
            <w:vAlign w:val="bottom"/>
            <w:hideMark/>
          </w:tcPr>
          <w:p w:rsidR="009F17EB" w:rsidRPr="009F17EB" w:rsidRDefault="009F17EB">
            <w:pPr>
              <w:jc w:val="right"/>
              <w:rPr>
                <w:rFonts w:ascii="Arial" w:hAnsi="Arial" w:cs="Arial"/>
                <w:color w:val="002060"/>
                <w:sz w:val="20"/>
              </w:rPr>
            </w:pPr>
            <w:r w:rsidRPr="009F17EB">
              <w:rPr>
                <w:rFonts w:ascii="Arial" w:hAnsi="Arial" w:cs="Arial"/>
                <w:color w:val="002060"/>
                <w:sz w:val="20"/>
              </w:rPr>
              <w:t> </w:t>
            </w:r>
          </w:p>
        </w:tc>
        <w:tc>
          <w:tcPr>
            <w:tcW w:w="1276" w:type="dxa"/>
            <w:noWrap/>
            <w:vAlign w:val="bottom"/>
            <w:hideMark/>
          </w:tcPr>
          <w:p w:rsidR="009F17EB" w:rsidRPr="009F17EB" w:rsidRDefault="009F17EB">
            <w:pPr>
              <w:jc w:val="right"/>
              <w:rPr>
                <w:rFonts w:ascii="Arial" w:hAnsi="Arial" w:cs="Arial"/>
                <w:color w:val="002060"/>
                <w:sz w:val="20"/>
              </w:rPr>
            </w:pPr>
            <w:r w:rsidRPr="009F17EB">
              <w:rPr>
                <w:rFonts w:ascii="Arial" w:hAnsi="Arial" w:cs="Arial"/>
                <w:color w:val="002060"/>
                <w:sz w:val="20"/>
              </w:rPr>
              <w:t>53.8%</w:t>
            </w:r>
          </w:p>
        </w:tc>
        <w:tc>
          <w:tcPr>
            <w:tcW w:w="1134" w:type="dxa"/>
            <w:noWrap/>
            <w:vAlign w:val="bottom"/>
            <w:hideMark/>
          </w:tcPr>
          <w:p w:rsidR="009F17EB" w:rsidRPr="009F17EB" w:rsidRDefault="009F17EB">
            <w:pPr>
              <w:jc w:val="right"/>
              <w:rPr>
                <w:rFonts w:ascii="Arial" w:hAnsi="Arial" w:cs="Arial"/>
                <w:color w:val="002060"/>
                <w:sz w:val="20"/>
              </w:rPr>
            </w:pPr>
            <w:r w:rsidRPr="009F17EB">
              <w:rPr>
                <w:rFonts w:ascii="Arial" w:hAnsi="Arial" w:cs="Arial"/>
                <w:color w:val="002060"/>
                <w:sz w:val="20"/>
              </w:rPr>
              <w:t>52.7%</w:t>
            </w:r>
          </w:p>
        </w:tc>
        <w:tc>
          <w:tcPr>
            <w:tcW w:w="1276" w:type="dxa"/>
            <w:noWrap/>
            <w:vAlign w:val="bottom"/>
            <w:hideMark/>
          </w:tcPr>
          <w:p w:rsidR="009F17EB" w:rsidRPr="009F17EB" w:rsidRDefault="009F17EB">
            <w:pPr>
              <w:jc w:val="right"/>
              <w:rPr>
                <w:rFonts w:ascii="Arial" w:hAnsi="Arial" w:cs="Arial"/>
                <w:color w:val="002060"/>
                <w:sz w:val="20"/>
              </w:rPr>
            </w:pPr>
            <w:r w:rsidRPr="009F17EB">
              <w:rPr>
                <w:rFonts w:ascii="Arial" w:hAnsi="Arial" w:cs="Arial"/>
                <w:color w:val="002060"/>
                <w:sz w:val="20"/>
              </w:rPr>
              <w:t> </w:t>
            </w:r>
          </w:p>
        </w:tc>
      </w:tr>
    </w:tbl>
    <w:p w:rsidR="00142AE3" w:rsidRPr="00325254" w:rsidRDefault="00142AE3" w:rsidP="00142AE3">
      <w:pPr>
        <w:rPr>
          <w:rFonts w:ascii="Arial" w:hAnsi="Arial" w:cs="Arial"/>
          <w:b/>
          <w:color w:val="0D2255"/>
          <w:sz w:val="20"/>
        </w:rPr>
      </w:pPr>
    </w:p>
    <w:p w:rsidR="00142AE3" w:rsidRPr="00325254" w:rsidRDefault="00142AE3" w:rsidP="00142AE3">
      <w:pPr>
        <w:rPr>
          <w:rFonts w:ascii="Arial" w:hAnsi="Arial" w:cs="Arial"/>
          <w:b/>
          <w:color w:val="0D2255"/>
          <w:sz w:val="20"/>
        </w:rPr>
      </w:pPr>
      <w:r w:rsidRPr="00325254">
        <w:rPr>
          <w:rFonts w:ascii="Arial" w:hAnsi="Arial" w:cs="Arial"/>
          <w:b/>
          <w:color w:val="0D2255"/>
          <w:sz w:val="20"/>
        </w:rPr>
        <w:t>CV output rolling year total</w:t>
      </w:r>
      <w:r w:rsidRPr="00325254">
        <w:rPr>
          <w:rFonts w:ascii="Arial" w:hAnsi="Arial" w:cs="Arial"/>
          <w:b/>
          <w:color w:val="0D2255"/>
          <w:sz w:val="20"/>
        </w:rPr>
        <w:tab/>
      </w:r>
      <w:r w:rsidRPr="00325254">
        <w:rPr>
          <w:rFonts w:ascii="Arial" w:hAnsi="Arial" w:cs="Arial"/>
          <w:b/>
          <w:color w:val="0D2255"/>
          <w:sz w:val="20"/>
        </w:rPr>
        <w:tab/>
        <w:t xml:space="preserve">       </w:t>
      </w:r>
      <w:r w:rsidRPr="00325254">
        <w:rPr>
          <w:rFonts w:ascii="Arial" w:hAnsi="Arial" w:cs="Arial"/>
          <w:b/>
          <w:color w:val="0D2255"/>
          <w:sz w:val="20"/>
        </w:rPr>
        <w:tab/>
        <w:t xml:space="preserve">         CV output, year-to-date, 2012-2014</w:t>
      </w:r>
    </w:p>
    <w:p w:rsidR="000B47D6" w:rsidRPr="00767145" w:rsidRDefault="00187E2B" w:rsidP="00C4074C">
      <w:pPr>
        <w:rPr>
          <w:rFonts w:ascii="Arial" w:eastAsiaTheme="minorEastAsia" w:hAnsi="Arial" w:cs="Arial"/>
          <w:b/>
          <w:bCs/>
          <w:color w:val="1074CB"/>
          <w:sz w:val="44"/>
          <w:szCs w:val="44"/>
        </w:rPr>
      </w:pPr>
      <w:r w:rsidRPr="00187E2B">
        <w:rPr>
          <w:rFonts w:ascii="Arial" w:hAnsi="Arial" w:cs="Arial"/>
          <w:noProof/>
          <w:sz w:val="20"/>
          <w:highlight w:val="yellow"/>
        </w:rPr>
        <w:pict>
          <v:shapetype id="_x0000_t202" coordsize="21600,21600" o:spt="202" path="m,l,21600r21600,l21600,xe">
            <v:stroke joinstyle="miter"/>
            <v:path gradientshapeok="t" o:connecttype="rect"/>
          </v:shapetype>
          <v:shape id="_x0000_s1029" type="#_x0000_t202" style="position:absolute;margin-left:220.1pt;margin-top:2pt;width:213.6pt;height:214.75pt;z-index:251668480;mso-width-relative:margin;mso-height-relative:margin" stroked="f">
            <v:textbox style="mso-next-textbox:#_x0000_s1029">
              <w:txbxContent>
                <w:p w:rsidR="009F17EB" w:rsidRPr="00D561FB" w:rsidRDefault="0017616F" w:rsidP="00142AE3">
                  <w:r w:rsidRPr="0017616F">
                    <w:rPr>
                      <w:noProof/>
                    </w:rPr>
                    <w:drawing>
                      <wp:inline distT="0" distB="0" distL="0" distR="0">
                        <wp:extent cx="2529281" cy="2420224"/>
                        <wp:effectExtent l="0" t="0" r="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r w:rsidR="00142AE3" w:rsidRPr="00142AE3">
        <w:rPr>
          <w:noProof/>
        </w:rPr>
        <w:t xml:space="preserve"> </w:t>
      </w:r>
      <w:r w:rsidR="0017616F" w:rsidRPr="0017616F">
        <w:rPr>
          <w:noProof/>
        </w:rPr>
        <w:drawing>
          <wp:inline distT="0" distB="0" distL="0" distR="0">
            <wp:extent cx="2771775" cy="2667000"/>
            <wp:effectExtent l="0" t="0" r="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0B47D6" w:rsidRPr="00767145" w:rsidSect="00A72CAD">
      <w:headerReference w:type="default" r:id="rId9"/>
      <w:footerReference w:type="default" r:id="rId10"/>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BA5" w:rsidRDefault="005D2BA5" w:rsidP="00C80E70">
      <w:r>
        <w:separator/>
      </w:r>
    </w:p>
  </w:endnote>
  <w:endnote w:type="continuationSeparator" w:id="0">
    <w:p w:rsidR="005D2BA5" w:rsidRDefault="005D2BA5"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EB" w:rsidRPr="00853E71" w:rsidRDefault="009F17EB" w:rsidP="007A1EAA">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9F17EB" w:rsidRPr="00853E71" w:rsidRDefault="009F17EB"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9F17EB" w:rsidRPr="00853E71" w:rsidRDefault="009F17EB" w:rsidP="007A1EAA">
    <w:pPr>
      <w:spacing w:afterAutospacing="1"/>
      <w:contextualSpacing/>
      <w:rPr>
        <w:rFonts w:ascii="Arial" w:eastAsia="Times New Roman" w:hAnsi="Arial" w:cs="Arial"/>
        <w:color w:val="1074CB"/>
        <w:sz w:val="16"/>
        <w:szCs w:val="16"/>
      </w:rPr>
    </w:pPr>
  </w:p>
  <w:p w:rsidR="009F17EB" w:rsidRPr="00853E71" w:rsidRDefault="009F17EB"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9F17EB" w:rsidRPr="00853E71" w:rsidRDefault="009F17EB" w:rsidP="007A1EAA">
    <w:pPr>
      <w:spacing w:afterAutospacing="1"/>
      <w:contextualSpacing/>
      <w:rPr>
        <w:rFonts w:ascii="Arial" w:eastAsia="Times New Roman" w:hAnsi="Arial" w:cs="Arial"/>
        <w:color w:val="1074CB"/>
        <w:sz w:val="16"/>
        <w:szCs w:val="16"/>
      </w:rPr>
    </w:pPr>
  </w:p>
  <w:p w:rsidR="009F17EB" w:rsidRPr="00853E71" w:rsidRDefault="009F17EB" w:rsidP="007A1EA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9F17EB" w:rsidRPr="00853E71" w:rsidRDefault="009F17EB" w:rsidP="007A1EAA">
    <w:pPr>
      <w:spacing w:afterAutospacing="1"/>
      <w:contextualSpacing/>
      <w:rPr>
        <w:rFonts w:ascii="Arial" w:eastAsia="Times New Roman" w:hAnsi="Arial" w:cs="Arial"/>
        <w:color w:val="1074CB"/>
        <w:sz w:val="16"/>
        <w:szCs w:val="16"/>
      </w:rPr>
    </w:pPr>
  </w:p>
  <w:p w:rsidR="009F17EB" w:rsidRPr="00853E71" w:rsidRDefault="009F17EB" w:rsidP="007A1EA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9F17EB" w:rsidRPr="00853E71" w:rsidRDefault="009F17EB" w:rsidP="007A1EA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9F17EB" w:rsidRPr="00853E71" w:rsidRDefault="009F17EB" w:rsidP="007A1EAA">
    <w:pPr>
      <w:rPr>
        <w:rFonts w:ascii="Arial" w:eastAsia="Times New Roman" w:hAnsi="Arial" w:cs="Arial"/>
        <w:color w:val="1074CB"/>
        <w:sz w:val="16"/>
        <w:szCs w:val="16"/>
      </w:rPr>
    </w:pPr>
    <w:r w:rsidRPr="00853E71">
      <w:rPr>
        <w:rFonts w:ascii="Arial" w:eastAsia="Times New Roman" w:hAnsi="Arial" w:cs="Arial"/>
        <w:color w:val="1074CB"/>
        <w:sz w:val="16"/>
        <w:szCs w:val="16"/>
      </w:rPr>
      <w:t>Ben Foulds</w:t>
    </w:r>
    <w:r w:rsidRPr="00853E71">
      <w:rPr>
        <w:rFonts w:ascii="Arial" w:eastAsia="Times New Roman" w:hAnsi="Arial" w:cs="Arial"/>
        <w:color w:val="1074CB"/>
        <w:sz w:val="16"/>
        <w:szCs w:val="16"/>
      </w:rPr>
      <w:tab/>
    </w:r>
    <w:r w:rsidRPr="00853E71">
      <w:rPr>
        <w:rFonts w:ascii="Arial" w:eastAsia="Times New Roman" w:hAnsi="Arial" w:cs="Arial"/>
        <w:color w:val="1074CB"/>
        <w:sz w:val="16"/>
        <w:szCs w:val="16"/>
      </w:rPr>
      <w:tab/>
    </w:r>
    <w:r w:rsidRPr="00853E71">
      <w:rPr>
        <w:rFonts w:ascii="Arial" w:eastAsia="Times New Roman" w:hAnsi="Arial" w:cs="Arial"/>
        <w:color w:val="1074CB"/>
        <w:sz w:val="16"/>
        <w:szCs w:val="16"/>
      </w:rPr>
      <w:tab/>
      <w:t>020 7344 9222</w:t>
    </w:r>
    <w:r w:rsidRPr="00853E71">
      <w:rPr>
        <w:rFonts w:ascii="Arial" w:eastAsia="Times New Roman" w:hAnsi="Arial" w:cs="Arial"/>
        <w:color w:val="1074CB"/>
        <w:sz w:val="16"/>
        <w:szCs w:val="16"/>
      </w:rPr>
      <w:tab/>
    </w:r>
    <w:r w:rsidRPr="00853E71">
      <w:rPr>
        <w:rFonts w:ascii="Arial" w:eastAsia="Times New Roman" w:hAnsi="Arial" w:cs="Arial"/>
        <w:color w:val="1074CB"/>
        <w:sz w:val="16"/>
        <w:szCs w:val="16"/>
      </w:rPr>
      <w:tab/>
    </w:r>
    <w:hyperlink r:id="rId2" w:history="1">
      <w:r w:rsidRPr="00853E71">
        <w:rPr>
          <w:rFonts w:ascii="Arial" w:eastAsia="Times New Roman" w:hAnsi="Arial" w:cs="Arial"/>
          <w:color w:val="0000FF"/>
          <w:sz w:val="16"/>
          <w:u w:val="single"/>
        </w:rPr>
        <w:t>bfoulds@smmt.co.uk</w:t>
      </w:r>
    </w:hyperlink>
    <w:r w:rsidRPr="00853E71">
      <w:rPr>
        <w:rFonts w:ascii="Arial" w:eastAsia="Times New Roman" w:hAnsi="Arial" w:cs="Arial"/>
        <w:color w:val="1074CB"/>
        <w:sz w:val="16"/>
        <w:szCs w:val="16"/>
      </w:rPr>
      <w:t xml:space="preserve"> </w:t>
    </w:r>
  </w:p>
  <w:p w:rsidR="009F17EB" w:rsidRPr="00006B7F" w:rsidRDefault="009F17EB" w:rsidP="007A1EAA">
    <w:pPr>
      <w:rPr>
        <w:rFonts w:eastAsia="Times New Roman" w:cs="Times"/>
        <w:szCs w:val="24"/>
      </w:rPr>
    </w:pPr>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120B6E">
        <w:rPr>
          <w:rStyle w:val="Hyperlink"/>
          <w:rFonts w:ascii="Arial" w:eastAsia="Times New Roman" w:hAnsi="Arial" w:cs="Arial"/>
          <w:sz w:val="16"/>
          <w:szCs w:val="16"/>
        </w:rPr>
        <w:t>amichaelides@smmt.co.uk</w:t>
      </w:r>
    </w:hyperlink>
  </w:p>
  <w:p w:rsidR="009F17EB" w:rsidRDefault="009F17EB" w:rsidP="00B94DB1">
    <w:pPr>
      <w:rPr>
        <w:rFonts w:ascii="Arial" w:hAnsi="Arial" w:cs="Arial"/>
        <w:color w:val="1074C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BA5" w:rsidRDefault="005D2BA5" w:rsidP="00C80E70">
      <w:r>
        <w:separator/>
      </w:r>
    </w:p>
  </w:footnote>
  <w:footnote w:type="continuationSeparator" w:id="0">
    <w:p w:rsidR="005D2BA5" w:rsidRDefault="005D2BA5"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EB" w:rsidRDefault="009F17EB"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2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80E70"/>
    <w:rsid w:val="0001774D"/>
    <w:rsid w:val="00017BE7"/>
    <w:rsid w:val="000376DA"/>
    <w:rsid w:val="00040399"/>
    <w:rsid w:val="00054E31"/>
    <w:rsid w:val="00066F55"/>
    <w:rsid w:val="00096A24"/>
    <w:rsid w:val="000B47D6"/>
    <w:rsid w:val="000C3FDE"/>
    <w:rsid w:val="000E5317"/>
    <w:rsid w:val="00116666"/>
    <w:rsid w:val="00121C86"/>
    <w:rsid w:val="00125D19"/>
    <w:rsid w:val="00133B87"/>
    <w:rsid w:val="0013617E"/>
    <w:rsid w:val="00142AE3"/>
    <w:rsid w:val="0014558C"/>
    <w:rsid w:val="001737CD"/>
    <w:rsid w:val="0017616F"/>
    <w:rsid w:val="00187E2B"/>
    <w:rsid w:val="00192CE4"/>
    <w:rsid w:val="001A67B5"/>
    <w:rsid w:val="001C389E"/>
    <w:rsid w:val="001D6CB9"/>
    <w:rsid w:val="001E2638"/>
    <w:rsid w:val="001E33CE"/>
    <w:rsid w:val="001E428D"/>
    <w:rsid w:val="00200F65"/>
    <w:rsid w:val="00201A40"/>
    <w:rsid w:val="0020649D"/>
    <w:rsid w:val="00235019"/>
    <w:rsid w:val="00252DCB"/>
    <w:rsid w:val="00266A9A"/>
    <w:rsid w:val="002A5934"/>
    <w:rsid w:val="002B4F7D"/>
    <w:rsid w:val="002C400E"/>
    <w:rsid w:val="002D17AA"/>
    <w:rsid w:val="002D6C6E"/>
    <w:rsid w:val="002F3F25"/>
    <w:rsid w:val="002F73AF"/>
    <w:rsid w:val="00325254"/>
    <w:rsid w:val="003372F6"/>
    <w:rsid w:val="00375DF8"/>
    <w:rsid w:val="003A0F07"/>
    <w:rsid w:val="003A3777"/>
    <w:rsid w:val="003B1C39"/>
    <w:rsid w:val="003C76B4"/>
    <w:rsid w:val="003D5459"/>
    <w:rsid w:val="003E4D46"/>
    <w:rsid w:val="003E69D3"/>
    <w:rsid w:val="00410539"/>
    <w:rsid w:val="00440369"/>
    <w:rsid w:val="00443FDD"/>
    <w:rsid w:val="00447CDA"/>
    <w:rsid w:val="00456EBB"/>
    <w:rsid w:val="00464583"/>
    <w:rsid w:val="0046552A"/>
    <w:rsid w:val="00467D20"/>
    <w:rsid w:val="00471965"/>
    <w:rsid w:val="00472D14"/>
    <w:rsid w:val="00482D22"/>
    <w:rsid w:val="00486897"/>
    <w:rsid w:val="00494E5E"/>
    <w:rsid w:val="004B723F"/>
    <w:rsid w:val="004B727E"/>
    <w:rsid w:val="004B7D45"/>
    <w:rsid w:val="004C6507"/>
    <w:rsid w:val="004D2D65"/>
    <w:rsid w:val="004D592D"/>
    <w:rsid w:val="00505C8C"/>
    <w:rsid w:val="005218AC"/>
    <w:rsid w:val="005230CA"/>
    <w:rsid w:val="005407A6"/>
    <w:rsid w:val="00542422"/>
    <w:rsid w:val="00545182"/>
    <w:rsid w:val="005534B2"/>
    <w:rsid w:val="0055683E"/>
    <w:rsid w:val="005621BD"/>
    <w:rsid w:val="00567F13"/>
    <w:rsid w:val="00577A32"/>
    <w:rsid w:val="005926DF"/>
    <w:rsid w:val="005B33EF"/>
    <w:rsid w:val="005B536B"/>
    <w:rsid w:val="005C668F"/>
    <w:rsid w:val="005D2BA5"/>
    <w:rsid w:val="005E2C9D"/>
    <w:rsid w:val="005F44DC"/>
    <w:rsid w:val="0060762E"/>
    <w:rsid w:val="00614891"/>
    <w:rsid w:val="00626F3D"/>
    <w:rsid w:val="006315A6"/>
    <w:rsid w:val="0063394A"/>
    <w:rsid w:val="006364F0"/>
    <w:rsid w:val="00652DC2"/>
    <w:rsid w:val="00653F42"/>
    <w:rsid w:val="006623D6"/>
    <w:rsid w:val="00686576"/>
    <w:rsid w:val="00696C6A"/>
    <w:rsid w:val="006B3606"/>
    <w:rsid w:val="006B4C72"/>
    <w:rsid w:val="006B7F8A"/>
    <w:rsid w:val="006D538E"/>
    <w:rsid w:val="006E5BF9"/>
    <w:rsid w:val="006F7AF9"/>
    <w:rsid w:val="00703767"/>
    <w:rsid w:val="00714EF7"/>
    <w:rsid w:val="00735C0B"/>
    <w:rsid w:val="0073709A"/>
    <w:rsid w:val="007430A2"/>
    <w:rsid w:val="007433FE"/>
    <w:rsid w:val="00750A6C"/>
    <w:rsid w:val="00761183"/>
    <w:rsid w:val="00767145"/>
    <w:rsid w:val="007851A1"/>
    <w:rsid w:val="00787B6E"/>
    <w:rsid w:val="00791C3D"/>
    <w:rsid w:val="007A1EAA"/>
    <w:rsid w:val="007B7669"/>
    <w:rsid w:val="007D36B3"/>
    <w:rsid w:val="00800A86"/>
    <w:rsid w:val="008030A3"/>
    <w:rsid w:val="00804C47"/>
    <w:rsid w:val="00806662"/>
    <w:rsid w:val="00880351"/>
    <w:rsid w:val="008902B9"/>
    <w:rsid w:val="00891F21"/>
    <w:rsid w:val="008B50CB"/>
    <w:rsid w:val="008E4462"/>
    <w:rsid w:val="008F55A4"/>
    <w:rsid w:val="00924274"/>
    <w:rsid w:val="00931C26"/>
    <w:rsid w:val="00932034"/>
    <w:rsid w:val="009511F2"/>
    <w:rsid w:val="00951B31"/>
    <w:rsid w:val="009548FB"/>
    <w:rsid w:val="00964455"/>
    <w:rsid w:val="0097483C"/>
    <w:rsid w:val="009D44F7"/>
    <w:rsid w:val="009F17EB"/>
    <w:rsid w:val="009F5D30"/>
    <w:rsid w:val="00A2060E"/>
    <w:rsid w:val="00A24874"/>
    <w:rsid w:val="00A453EF"/>
    <w:rsid w:val="00A51715"/>
    <w:rsid w:val="00A67F90"/>
    <w:rsid w:val="00A72CAD"/>
    <w:rsid w:val="00A773DB"/>
    <w:rsid w:val="00A93DE9"/>
    <w:rsid w:val="00A94474"/>
    <w:rsid w:val="00A96D25"/>
    <w:rsid w:val="00AA2084"/>
    <w:rsid w:val="00AA7BF4"/>
    <w:rsid w:val="00AB33BB"/>
    <w:rsid w:val="00AD65CE"/>
    <w:rsid w:val="00B12E13"/>
    <w:rsid w:val="00B2588D"/>
    <w:rsid w:val="00B36DF8"/>
    <w:rsid w:val="00B4035F"/>
    <w:rsid w:val="00B40CCD"/>
    <w:rsid w:val="00B94DB1"/>
    <w:rsid w:val="00B95B22"/>
    <w:rsid w:val="00BB3EB9"/>
    <w:rsid w:val="00BC3163"/>
    <w:rsid w:val="00BC5727"/>
    <w:rsid w:val="00BC7B6B"/>
    <w:rsid w:val="00BF086E"/>
    <w:rsid w:val="00BF0928"/>
    <w:rsid w:val="00BF4C94"/>
    <w:rsid w:val="00C02170"/>
    <w:rsid w:val="00C065D0"/>
    <w:rsid w:val="00C07099"/>
    <w:rsid w:val="00C100C5"/>
    <w:rsid w:val="00C108FE"/>
    <w:rsid w:val="00C120C5"/>
    <w:rsid w:val="00C30AE8"/>
    <w:rsid w:val="00C4074C"/>
    <w:rsid w:val="00C53C0C"/>
    <w:rsid w:val="00C625B1"/>
    <w:rsid w:val="00C657AB"/>
    <w:rsid w:val="00C73F08"/>
    <w:rsid w:val="00C80E70"/>
    <w:rsid w:val="00C83606"/>
    <w:rsid w:val="00CA41BC"/>
    <w:rsid w:val="00CB221D"/>
    <w:rsid w:val="00CB4D91"/>
    <w:rsid w:val="00CC3D52"/>
    <w:rsid w:val="00CC6098"/>
    <w:rsid w:val="00CD0659"/>
    <w:rsid w:val="00CE070B"/>
    <w:rsid w:val="00CE3518"/>
    <w:rsid w:val="00D12474"/>
    <w:rsid w:val="00D335A5"/>
    <w:rsid w:val="00D446D8"/>
    <w:rsid w:val="00D448CA"/>
    <w:rsid w:val="00D561FB"/>
    <w:rsid w:val="00D6067E"/>
    <w:rsid w:val="00D6336B"/>
    <w:rsid w:val="00D65CB1"/>
    <w:rsid w:val="00D70424"/>
    <w:rsid w:val="00D82F6C"/>
    <w:rsid w:val="00D86627"/>
    <w:rsid w:val="00D911A4"/>
    <w:rsid w:val="00D92B21"/>
    <w:rsid w:val="00D96424"/>
    <w:rsid w:val="00DB3140"/>
    <w:rsid w:val="00DB3768"/>
    <w:rsid w:val="00DC2D95"/>
    <w:rsid w:val="00DE0B9A"/>
    <w:rsid w:val="00DE5D6C"/>
    <w:rsid w:val="00DF19D9"/>
    <w:rsid w:val="00E14BEF"/>
    <w:rsid w:val="00E343D2"/>
    <w:rsid w:val="00E634A1"/>
    <w:rsid w:val="00E714BD"/>
    <w:rsid w:val="00E84E41"/>
    <w:rsid w:val="00E8542A"/>
    <w:rsid w:val="00EB1B2D"/>
    <w:rsid w:val="00EB2FB8"/>
    <w:rsid w:val="00EB5EA2"/>
    <w:rsid w:val="00EC65AF"/>
    <w:rsid w:val="00EF35D8"/>
    <w:rsid w:val="00F16A23"/>
    <w:rsid w:val="00F205F0"/>
    <w:rsid w:val="00F339C4"/>
    <w:rsid w:val="00F40145"/>
    <w:rsid w:val="00F43472"/>
    <w:rsid w:val="00F50E90"/>
    <w:rsid w:val="00F5185E"/>
    <w:rsid w:val="00F84F7B"/>
    <w:rsid w:val="00F867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70034985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JULY).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JUL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9219019159990536"/>
          <c:y val="5.3619302949061684E-2"/>
          <c:w val="0.71115743960437805"/>
          <c:h val="0.85915257576717119"/>
        </c:manualLayout>
      </c:layout>
      <c:barChart>
        <c:barDir val="col"/>
        <c:grouping val="clustered"/>
        <c:ser>
          <c:idx val="0"/>
          <c:order val="0"/>
          <c:tx>
            <c:strRef>
              <c:f>'PR chart 2 A'!$I$52</c:f>
              <c:strCache>
                <c:ptCount val="1"/>
                <c:pt idx="0">
                  <c:v>CVs</c:v>
                </c:pt>
              </c:strCache>
            </c:strRef>
          </c:tx>
          <c:spPr>
            <a:solidFill>
              <a:schemeClr val="tx2">
                <a:lumMod val="40000"/>
                <a:lumOff val="60000"/>
              </a:schemeClr>
            </a:solidFill>
            <a:ln>
              <a:solidFill>
                <a:prstClr val="black"/>
              </a:solidFill>
            </a:ln>
          </c:spPr>
          <c:cat>
            <c:strRef>
              <c:f>'PR chart 2 A'!$J$51:$L$51</c:f>
              <c:strCache>
                <c:ptCount val="3"/>
                <c:pt idx="0">
                  <c:v>'12</c:v>
                </c:pt>
                <c:pt idx="1">
                  <c:v>'13</c:v>
                </c:pt>
                <c:pt idx="2">
                  <c:v>'14</c:v>
                </c:pt>
              </c:strCache>
            </c:strRef>
          </c:cat>
          <c:val>
            <c:numRef>
              <c:f>'PR chart 2 A'!$J$52:$L$52</c:f>
              <c:numCache>
                <c:formatCode>General</c:formatCode>
                <c:ptCount val="3"/>
                <c:pt idx="0">
                  <c:v>65100</c:v>
                </c:pt>
                <c:pt idx="1">
                  <c:v>57118</c:v>
                </c:pt>
                <c:pt idx="2">
                  <c:v>43798</c:v>
                </c:pt>
              </c:numCache>
            </c:numRef>
          </c:val>
        </c:ser>
        <c:dLbls/>
        <c:gapWidth val="48"/>
        <c:axId val="76447104"/>
        <c:axId val="85899520"/>
      </c:barChart>
      <c:catAx>
        <c:axId val="76447104"/>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85899520"/>
        <c:crosses val="autoZero"/>
        <c:auto val="1"/>
        <c:lblAlgn val="ctr"/>
        <c:lblOffset val="100"/>
      </c:catAx>
      <c:valAx>
        <c:axId val="85899520"/>
        <c:scaling>
          <c:orientation val="minMax"/>
          <c:max val="70000"/>
          <c:min val="40000"/>
        </c:scaling>
        <c:axPos val="l"/>
        <c:majorGridlines/>
        <c:numFmt formatCode="#,##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76447104"/>
        <c:crosses val="autoZero"/>
        <c:crossBetween val="between"/>
        <c:majorUnit val="10000"/>
        <c:dispUnits>
          <c:builtInUnit val="thousands"/>
          <c:dispUnitsLbl>
            <c:layout>
              <c:manualLayout>
                <c:xMode val="edge"/>
                <c:yMode val="edge"/>
                <c:x val="7.6332914007050988E-3"/>
                <c:y val="0.34991542723826224"/>
              </c:manualLayout>
            </c:layout>
            <c:txPr>
              <a:bodyPr rot="-5400000" vert="horz"/>
              <a:lstStyle/>
              <a:p>
                <a:pPr algn="ctr">
                  <a:defRPr sz="1000" b="1" i="0" u="none" strike="noStrike" baseline="0">
                    <a:solidFill>
                      <a:srgbClr val="000000"/>
                    </a:solidFill>
                    <a:latin typeface="Arial"/>
                    <a:ea typeface="Arial"/>
                    <a:cs typeface="Arial"/>
                  </a:defRPr>
                </a:pPr>
                <a:endParaRPr lang="en-US"/>
              </a:p>
            </c:txPr>
          </c:dispUnitsLbl>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20751215376428481"/>
          <c:y val="0.13010425780110821"/>
          <c:w val="0.70927943285439965"/>
          <c:h val="0.71952136191309424"/>
        </c:manualLayout>
      </c:layout>
      <c:lineChart>
        <c:grouping val="standard"/>
        <c:ser>
          <c:idx val="0"/>
          <c:order val="0"/>
          <c:tx>
            <c:strRef>
              <c:f>'PR&amp;12MONTHROLL-CHARTS'!$B$9</c:f>
              <c:strCache>
                <c:ptCount val="1"/>
                <c:pt idx="0">
                  <c:v>Total CV</c:v>
                </c:pt>
              </c:strCache>
            </c:strRef>
          </c:tx>
          <c:spPr>
            <a:ln>
              <a:solidFill>
                <a:schemeClr val="tx2">
                  <a:lumMod val="75000"/>
                </a:schemeClr>
              </a:solidFill>
            </a:ln>
          </c:spPr>
          <c:marker>
            <c:symbol val="none"/>
          </c:marker>
          <c:cat>
            <c:strRef>
              <c:f>'PR&amp;12MONTHROLL-CHARTS'!$C$8:$CH$8</c:f>
              <c:strCache>
                <c:ptCount val="73"/>
                <c:pt idx="0">
                  <c:v>'08</c:v>
                </c:pt>
                <c:pt idx="12">
                  <c:v>'09</c:v>
                </c:pt>
                <c:pt idx="24">
                  <c:v>'10</c:v>
                </c:pt>
                <c:pt idx="36">
                  <c:v>'11</c:v>
                </c:pt>
                <c:pt idx="48">
                  <c:v>'12</c:v>
                </c:pt>
                <c:pt idx="60">
                  <c:v>'13</c:v>
                </c:pt>
                <c:pt idx="72">
                  <c:v>'14</c:v>
                </c:pt>
              </c:strCache>
            </c:strRef>
          </c:cat>
          <c:val>
            <c:numRef>
              <c:f>'PR&amp;12MONTHROLL-CHARTS'!$C$9:$CH$9</c:f>
              <c:numCache>
                <c:formatCode>General</c:formatCode>
                <c:ptCount val="84"/>
                <c:pt idx="0">
                  <c:v>216.93200000000004</c:v>
                </c:pt>
                <c:pt idx="1">
                  <c:v>220.09</c:v>
                </c:pt>
                <c:pt idx="2">
                  <c:v>218.60499999999999</c:v>
                </c:pt>
                <c:pt idx="3">
                  <c:v>224.066</c:v>
                </c:pt>
                <c:pt idx="4">
                  <c:v>224.81300000000002</c:v>
                </c:pt>
                <c:pt idx="5">
                  <c:v>227.24299999999999</c:v>
                </c:pt>
                <c:pt idx="6">
                  <c:v>234.255</c:v>
                </c:pt>
                <c:pt idx="7">
                  <c:v>230.57899999999998</c:v>
                </c:pt>
                <c:pt idx="8">
                  <c:v>231.30100000000004</c:v>
                </c:pt>
                <c:pt idx="9">
                  <c:v>222.191</c:v>
                </c:pt>
                <c:pt idx="10">
                  <c:v>211.12800000000001</c:v>
                </c:pt>
                <c:pt idx="11">
                  <c:v>202.89600000000004</c:v>
                </c:pt>
                <c:pt idx="12">
                  <c:v>190.40700000000001</c:v>
                </c:pt>
                <c:pt idx="13">
                  <c:v>175.62800000000001</c:v>
                </c:pt>
                <c:pt idx="14">
                  <c:v>164.89700000000008</c:v>
                </c:pt>
                <c:pt idx="15">
                  <c:v>150.56800000000001</c:v>
                </c:pt>
                <c:pt idx="16">
                  <c:v>137.55800000000008</c:v>
                </c:pt>
                <c:pt idx="17">
                  <c:v>124.563</c:v>
                </c:pt>
                <c:pt idx="18">
                  <c:v>112.142</c:v>
                </c:pt>
                <c:pt idx="19">
                  <c:v>107.607</c:v>
                </c:pt>
                <c:pt idx="20">
                  <c:v>96.647999999999996</c:v>
                </c:pt>
                <c:pt idx="21">
                  <c:v>91.477000000000004</c:v>
                </c:pt>
                <c:pt idx="22">
                  <c:v>89.697999999999993</c:v>
                </c:pt>
                <c:pt idx="23">
                  <c:v>90.678999999999988</c:v>
                </c:pt>
                <c:pt idx="24">
                  <c:v>91.483999999999995</c:v>
                </c:pt>
                <c:pt idx="25">
                  <c:v>95.84</c:v>
                </c:pt>
                <c:pt idx="26">
                  <c:v>100.812</c:v>
                </c:pt>
                <c:pt idx="27">
                  <c:v>103.93400000000004</c:v>
                </c:pt>
                <c:pt idx="28">
                  <c:v>109.98699999999999</c:v>
                </c:pt>
                <c:pt idx="29">
                  <c:v>112.111</c:v>
                </c:pt>
                <c:pt idx="30">
                  <c:v>113.232</c:v>
                </c:pt>
                <c:pt idx="31">
                  <c:v>114.29600000000002</c:v>
                </c:pt>
                <c:pt idx="32">
                  <c:v>115.91900000000004</c:v>
                </c:pt>
                <c:pt idx="33">
                  <c:v>119.65799999999999</c:v>
                </c:pt>
                <c:pt idx="34">
                  <c:v>121.60799999999999</c:v>
                </c:pt>
                <c:pt idx="35">
                  <c:v>123.01900000000002</c:v>
                </c:pt>
                <c:pt idx="36">
                  <c:v>123.83</c:v>
                </c:pt>
                <c:pt idx="37">
                  <c:v>123.527</c:v>
                </c:pt>
                <c:pt idx="38">
                  <c:v>122.748</c:v>
                </c:pt>
                <c:pt idx="39">
                  <c:v>120.604</c:v>
                </c:pt>
                <c:pt idx="40">
                  <c:v>120.06399999999999</c:v>
                </c:pt>
                <c:pt idx="41">
                  <c:v>119.833</c:v>
                </c:pt>
                <c:pt idx="42">
                  <c:v>119.26300000000002</c:v>
                </c:pt>
                <c:pt idx="43">
                  <c:v>119.81100000000002</c:v>
                </c:pt>
                <c:pt idx="44">
                  <c:v>120.518</c:v>
                </c:pt>
                <c:pt idx="45">
                  <c:v>120.181</c:v>
                </c:pt>
                <c:pt idx="46">
                  <c:v>120.425</c:v>
                </c:pt>
                <c:pt idx="47">
                  <c:v>120.18899999999998</c:v>
                </c:pt>
                <c:pt idx="48">
                  <c:v>120.066</c:v>
                </c:pt>
                <c:pt idx="49">
                  <c:v>119.798</c:v>
                </c:pt>
                <c:pt idx="50">
                  <c:v>117.40300000000002</c:v>
                </c:pt>
                <c:pt idx="51">
                  <c:v>117.68300000000001</c:v>
                </c:pt>
                <c:pt idx="52">
                  <c:v>116.923</c:v>
                </c:pt>
                <c:pt idx="53">
                  <c:v>114.86499999999999</c:v>
                </c:pt>
                <c:pt idx="54">
                  <c:v>114.742</c:v>
                </c:pt>
                <c:pt idx="55">
                  <c:v>115.91700000000004</c:v>
                </c:pt>
                <c:pt idx="56">
                  <c:v>113.47799999999999</c:v>
                </c:pt>
                <c:pt idx="57">
                  <c:v>114.04</c:v>
                </c:pt>
                <c:pt idx="58">
                  <c:v>113.634</c:v>
                </c:pt>
                <c:pt idx="59">
                  <c:v>112.039</c:v>
                </c:pt>
                <c:pt idx="60">
                  <c:v>110.018</c:v>
                </c:pt>
                <c:pt idx="61">
                  <c:v>108.392</c:v>
                </c:pt>
                <c:pt idx="62">
                  <c:v>106.574</c:v>
                </c:pt>
                <c:pt idx="63">
                  <c:v>106.318</c:v>
                </c:pt>
                <c:pt idx="64">
                  <c:v>104.46700000000004</c:v>
                </c:pt>
                <c:pt idx="65">
                  <c:v>104.607</c:v>
                </c:pt>
                <c:pt idx="66">
                  <c:v>104.057</c:v>
                </c:pt>
                <c:pt idx="67">
                  <c:v>100.221</c:v>
                </c:pt>
                <c:pt idx="68">
                  <c:v>97.611000000000004</c:v>
                </c:pt>
                <c:pt idx="69">
                  <c:v>93.650999999999982</c:v>
                </c:pt>
                <c:pt idx="70">
                  <c:v>89.798000000000002</c:v>
                </c:pt>
                <c:pt idx="71">
                  <c:v>88.11</c:v>
                </c:pt>
                <c:pt idx="72">
                  <c:v>86.994000000000042</c:v>
                </c:pt>
                <c:pt idx="73">
                  <c:v>85.203999999999994</c:v>
                </c:pt>
                <c:pt idx="74">
                  <c:v>83.881999999999991</c:v>
                </c:pt>
                <c:pt idx="75">
                  <c:v>81.531999999999996</c:v>
                </c:pt>
                <c:pt idx="76">
                  <c:v>79.065000000000012</c:v>
                </c:pt>
                <c:pt idx="77">
                  <c:v>76.906000000000006</c:v>
                </c:pt>
                <c:pt idx="78">
                  <c:v>74.790000000000006</c:v>
                </c:pt>
              </c:numCache>
            </c:numRef>
          </c:val>
        </c:ser>
        <c:ser>
          <c:idx val="1"/>
          <c:order val="1"/>
          <c:tx>
            <c:strRef>
              <c:f>'PR&amp;12MONTHROLL-CHARTS'!$B$10</c:f>
              <c:strCache>
                <c:ptCount val="1"/>
                <c:pt idx="0">
                  <c:v>CV Exports</c:v>
                </c:pt>
              </c:strCache>
            </c:strRef>
          </c:tx>
          <c:spPr>
            <a:ln>
              <a:solidFill>
                <a:schemeClr val="tx2">
                  <a:lumMod val="40000"/>
                  <a:lumOff val="60000"/>
                </a:schemeClr>
              </a:solidFill>
            </a:ln>
          </c:spPr>
          <c:marker>
            <c:symbol val="none"/>
          </c:marker>
          <c:cat>
            <c:strRef>
              <c:f>'PR&amp;12MONTHROLL-CHARTS'!$C$8:$CH$8</c:f>
              <c:strCache>
                <c:ptCount val="73"/>
                <c:pt idx="0">
                  <c:v>'08</c:v>
                </c:pt>
                <c:pt idx="12">
                  <c:v>'09</c:v>
                </c:pt>
                <c:pt idx="24">
                  <c:v>'10</c:v>
                </c:pt>
                <c:pt idx="36">
                  <c:v>'11</c:v>
                </c:pt>
                <c:pt idx="48">
                  <c:v>'12</c:v>
                </c:pt>
                <c:pt idx="60">
                  <c:v>'13</c:v>
                </c:pt>
                <c:pt idx="72">
                  <c:v>'14</c:v>
                </c:pt>
              </c:strCache>
            </c:strRef>
          </c:cat>
          <c:val>
            <c:numRef>
              <c:f>'PR&amp;12MONTHROLL-CHARTS'!$C$10:$CH$10</c:f>
              <c:numCache>
                <c:formatCode>General</c:formatCode>
                <c:ptCount val="84"/>
                <c:pt idx="0">
                  <c:v>132.43900000000002</c:v>
                </c:pt>
                <c:pt idx="1">
                  <c:v>134.09800000000001</c:v>
                </c:pt>
                <c:pt idx="2">
                  <c:v>133.68700000000001</c:v>
                </c:pt>
                <c:pt idx="3">
                  <c:v>137.15700000000001</c:v>
                </c:pt>
                <c:pt idx="4">
                  <c:v>138.565</c:v>
                </c:pt>
                <c:pt idx="5">
                  <c:v>140.45400000000001</c:v>
                </c:pt>
                <c:pt idx="6">
                  <c:v>143.67099999999999</c:v>
                </c:pt>
                <c:pt idx="7">
                  <c:v>141.946</c:v>
                </c:pt>
                <c:pt idx="8">
                  <c:v>142.72899999999998</c:v>
                </c:pt>
                <c:pt idx="9">
                  <c:v>136.85100000000008</c:v>
                </c:pt>
                <c:pt idx="10">
                  <c:v>130.52600000000001</c:v>
                </c:pt>
                <c:pt idx="11">
                  <c:v>125.611</c:v>
                </c:pt>
                <c:pt idx="12">
                  <c:v>119.71899999999999</c:v>
                </c:pt>
                <c:pt idx="13">
                  <c:v>112.473</c:v>
                </c:pt>
                <c:pt idx="14">
                  <c:v>106.93700000000004</c:v>
                </c:pt>
                <c:pt idx="15">
                  <c:v>98.334000000000003</c:v>
                </c:pt>
                <c:pt idx="16">
                  <c:v>90.127999999999986</c:v>
                </c:pt>
                <c:pt idx="17">
                  <c:v>82.698999999999998</c:v>
                </c:pt>
                <c:pt idx="18">
                  <c:v>76.718000000000004</c:v>
                </c:pt>
                <c:pt idx="19">
                  <c:v>73.986999999999995</c:v>
                </c:pt>
                <c:pt idx="20">
                  <c:v>68.596999999999994</c:v>
                </c:pt>
                <c:pt idx="21">
                  <c:v>67.10499999999999</c:v>
                </c:pt>
                <c:pt idx="22">
                  <c:v>65.796000000000006</c:v>
                </c:pt>
                <c:pt idx="23">
                  <c:v>66.453999999999994</c:v>
                </c:pt>
                <c:pt idx="24">
                  <c:v>67.141999999999996</c:v>
                </c:pt>
                <c:pt idx="25">
                  <c:v>70.181999999999988</c:v>
                </c:pt>
                <c:pt idx="26">
                  <c:v>72.653999999999982</c:v>
                </c:pt>
                <c:pt idx="27">
                  <c:v>73.804999999999993</c:v>
                </c:pt>
                <c:pt idx="28">
                  <c:v>77.438000000000002</c:v>
                </c:pt>
                <c:pt idx="29">
                  <c:v>78.872999999999962</c:v>
                </c:pt>
                <c:pt idx="30">
                  <c:v>79.634999999999991</c:v>
                </c:pt>
                <c:pt idx="31">
                  <c:v>80.062000000000012</c:v>
                </c:pt>
                <c:pt idx="32">
                  <c:v>81.004999999999995</c:v>
                </c:pt>
                <c:pt idx="33">
                  <c:v>82.897999999999996</c:v>
                </c:pt>
                <c:pt idx="34">
                  <c:v>83.736000000000004</c:v>
                </c:pt>
                <c:pt idx="35">
                  <c:v>85.546999999999997</c:v>
                </c:pt>
                <c:pt idx="36">
                  <c:v>84.194999999999993</c:v>
                </c:pt>
                <c:pt idx="37">
                  <c:v>83.001000000000005</c:v>
                </c:pt>
                <c:pt idx="38">
                  <c:v>82.183999999999983</c:v>
                </c:pt>
                <c:pt idx="39">
                  <c:v>80.667999999999992</c:v>
                </c:pt>
                <c:pt idx="40">
                  <c:v>79.090999999999994</c:v>
                </c:pt>
                <c:pt idx="41">
                  <c:v>76.480999999999995</c:v>
                </c:pt>
                <c:pt idx="42">
                  <c:v>75.248000000000005</c:v>
                </c:pt>
                <c:pt idx="43">
                  <c:v>75.232000000000014</c:v>
                </c:pt>
                <c:pt idx="44">
                  <c:v>74.678999999999988</c:v>
                </c:pt>
                <c:pt idx="45">
                  <c:v>72.906999999999996</c:v>
                </c:pt>
                <c:pt idx="46">
                  <c:v>71.468999999999994</c:v>
                </c:pt>
                <c:pt idx="47">
                  <c:v>69.375999999999962</c:v>
                </c:pt>
                <c:pt idx="48">
                  <c:v>69.414000000000044</c:v>
                </c:pt>
                <c:pt idx="49">
                  <c:v>68.712999999999994</c:v>
                </c:pt>
                <c:pt idx="50">
                  <c:v>66.611000000000004</c:v>
                </c:pt>
                <c:pt idx="51">
                  <c:v>67.027000000000001</c:v>
                </c:pt>
                <c:pt idx="52">
                  <c:v>67.058999999999983</c:v>
                </c:pt>
                <c:pt idx="53">
                  <c:v>67.63</c:v>
                </c:pt>
                <c:pt idx="54">
                  <c:v>66.906000000000006</c:v>
                </c:pt>
                <c:pt idx="55">
                  <c:v>67.298000000000002</c:v>
                </c:pt>
                <c:pt idx="56">
                  <c:v>65.501999999999995</c:v>
                </c:pt>
                <c:pt idx="57">
                  <c:v>65.566000000000003</c:v>
                </c:pt>
                <c:pt idx="58">
                  <c:v>65.024000000000001</c:v>
                </c:pt>
                <c:pt idx="59">
                  <c:v>63.733000000000011</c:v>
                </c:pt>
                <c:pt idx="60">
                  <c:v>61.580999999999996</c:v>
                </c:pt>
                <c:pt idx="61">
                  <c:v>59.826000000000001</c:v>
                </c:pt>
                <c:pt idx="62">
                  <c:v>57.596000000000011</c:v>
                </c:pt>
                <c:pt idx="63">
                  <c:v>56.538000000000011</c:v>
                </c:pt>
                <c:pt idx="64">
                  <c:v>54.606000000000002</c:v>
                </c:pt>
                <c:pt idx="65">
                  <c:v>54.188000000000002</c:v>
                </c:pt>
                <c:pt idx="66">
                  <c:v>55.653999999999996</c:v>
                </c:pt>
                <c:pt idx="67">
                  <c:v>54.05</c:v>
                </c:pt>
                <c:pt idx="68">
                  <c:v>52.124000000000002</c:v>
                </c:pt>
                <c:pt idx="69">
                  <c:v>49.591000000000001</c:v>
                </c:pt>
                <c:pt idx="70">
                  <c:v>47.338000000000001</c:v>
                </c:pt>
                <c:pt idx="71">
                  <c:v>47.91</c:v>
                </c:pt>
                <c:pt idx="72">
                  <c:v>47.52</c:v>
                </c:pt>
                <c:pt idx="73">
                  <c:v>46.951999999999998</c:v>
                </c:pt>
                <c:pt idx="74">
                  <c:v>46.725000000000023</c:v>
                </c:pt>
                <c:pt idx="75">
                  <c:v>45.376000000000005</c:v>
                </c:pt>
                <c:pt idx="76">
                  <c:v>43.668000000000013</c:v>
                </c:pt>
                <c:pt idx="77">
                  <c:v>42.129000000000012</c:v>
                </c:pt>
                <c:pt idx="78">
                  <c:v>40.234000000000002</c:v>
                </c:pt>
              </c:numCache>
            </c:numRef>
          </c:val>
        </c:ser>
        <c:dLbls/>
        <c:marker val="1"/>
        <c:axId val="78521856"/>
        <c:axId val="78523392"/>
      </c:lineChart>
      <c:catAx>
        <c:axId val="78521856"/>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78523392"/>
        <c:crosses val="autoZero"/>
        <c:auto val="1"/>
        <c:lblAlgn val="ctr"/>
        <c:lblOffset val="100"/>
        <c:tickMarkSkip val="12"/>
      </c:catAx>
      <c:valAx>
        <c:axId val="78523392"/>
        <c:scaling>
          <c:orientation val="minMax"/>
          <c:max val="250"/>
          <c:min val="0"/>
        </c:scaling>
        <c:axPos val="l"/>
        <c:majorGridlines/>
        <c:title>
          <c:tx>
            <c:rich>
              <a:bodyPr/>
              <a:lstStyle/>
              <a:p>
                <a:pPr>
                  <a:defRPr sz="1000" b="1" i="0" u="none" strike="noStrike" baseline="0">
                    <a:solidFill>
                      <a:srgbClr val="000000"/>
                    </a:solidFill>
                    <a:latin typeface="Arial"/>
                    <a:ea typeface="Arial"/>
                    <a:cs typeface="Arial"/>
                  </a:defRPr>
                </a:pPr>
                <a:r>
                  <a:rPr lang="en-GB"/>
                  <a:t>Thousands</a:t>
                </a:r>
              </a:p>
            </c:rich>
          </c:tx>
          <c:layout>
            <c:manualLayout>
              <c:xMode val="edge"/>
              <c:yMode val="edge"/>
              <c:x val="1.6956643306184681E-5"/>
              <c:y val="0.35779340082489691"/>
            </c:manualLayout>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78521856"/>
        <c:crosses val="autoZero"/>
        <c:crossBetween val="between"/>
        <c:majorUnit val="50"/>
      </c:valAx>
    </c:plotArea>
    <c:legend>
      <c:legendPos val="r"/>
      <c:layout>
        <c:manualLayout>
          <c:xMode val="edge"/>
          <c:yMode val="edge"/>
          <c:x val="4.8109965635738827E-2"/>
          <c:y val="2.8571428571428591E-2"/>
          <c:w val="0.93814757691371065"/>
          <c:h val="0.10000000000000003"/>
        </c:manualLayout>
      </c:layout>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2</cp:revision>
  <cp:lastPrinted>2013-12-16T13:34:00Z</cp:lastPrinted>
  <dcterms:created xsi:type="dcterms:W3CDTF">2014-08-21T08:21:00Z</dcterms:created>
  <dcterms:modified xsi:type="dcterms:W3CDTF">2014-08-21T08:21:00Z</dcterms:modified>
</cp:coreProperties>
</file>