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6" w:rsidRPr="00176BC5" w:rsidRDefault="009E7466" w:rsidP="009E7466">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9E7466" w:rsidRDefault="009E7466" w:rsidP="009E7466">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A96A47">
        <w:rPr>
          <w:rFonts w:ascii="Arial" w:eastAsiaTheme="minorEastAsia" w:hAnsi="Arial" w:cs="Arial"/>
          <w:b w:val="0"/>
          <w:bCs/>
          <w:color w:val="1074CB"/>
          <w:sz w:val="44"/>
          <w:szCs w:val="44"/>
        </w:rPr>
        <w:t xml:space="preserve">4 June </w:t>
      </w:r>
      <w:r w:rsidRPr="00176BC5">
        <w:rPr>
          <w:rFonts w:ascii="Arial" w:eastAsiaTheme="minorEastAsia" w:hAnsi="Arial" w:cs="Arial"/>
          <w:b w:val="0"/>
          <w:bCs/>
          <w:color w:val="1074CB"/>
          <w:sz w:val="44"/>
          <w:szCs w:val="44"/>
        </w:rPr>
        <w:t>201</w:t>
      </w:r>
      <w:r>
        <w:rPr>
          <w:rFonts w:ascii="Arial" w:eastAsiaTheme="minorEastAsia" w:hAnsi="Arial" w:cs="Arial"/>
          <w:b w:val="0"/>
          <w:bCs/>
          <w:color w:val="1074CB"/>
          <w:sz w:val="44"/>
          <w:szCs w:val="44"/>
        </w:rPr>
        <w:t>2</w:t>
      </w:r>
      <w:r w:rsidRPr="00176BC5">
        <w:rPr>
          <w:rFonts w:ascii="Arial" w:eastAsiaTheme="minorEastAsia" w:hAnsi="Arial" w:cs="Arial"/>
          <w:b w:val="0"/>
          <w:bCs/>
          <w:color w:val="1074CB"/>
          <w:sz w:val="44"/>
          <w:szCs w:val="44"/>
        </w:rPr>
        <w:t xml:space="preserve"> </w:t>
      </w:r>
      <w:r w:rsidRPr="00176BC5">
        <w:rPr>
          <w:rFonts w:ascii="Arial" w:eastAsiaTheme="minorEastAsia" w:hAnsi="Arial" w:cs="Arial"/>
          <w:b w:val="0"/>
          <w:bCs/>
          <w:color w:val="1074CB"/>
          <w:sz w:val="32"/>
          <w:szCs w:val="32"/>
        </w:rPr>
        <w:t xml:space="preserve">(data for </w:t>
      </w:r>
      <w:r w:rsidR="00A96A47">
        <w:rPr>
          <w:rFonts w:ascii="Arial" w:eastAsiaTheme="minorEastAsia" w:hAnsi="Arial" w:cs="Arial"/>
          <w:b w:val="0"/>
          <w:bCs/>
          <w:color w:val="1074CB"/>
          <w:sz w:val="32"/>
          <w:szCs w:val="32"/>
        </w:rPr>
        <w:t>May</w:t>
      </w:r>
      <w:r>
        <w:rPr>
          <w:rFonts w:ascii="Arial" w:eastAsiaTheme="minorEastAsia" w:hAnsi="Arial" w:cs="Arial"/>
          <w:b w:val="0"/>
          <w:bCs/>
          <w:color w:val="1074CB"/>
          <w:sz w:val="32"/>
          <w:szCs w:val="32"/>
        </w:rPr>
        <w:t xml:space="preserve"> 2012</w:t>
      </w:r>
      <w:r w:rsidRPr="00176BC5">
        <w:rPr>
          <w:rFonts w:ascii="Arial" w:eastAsiaTheme="minorEastAsia" w:hAnsi="Arial" w:cs="Arial"/>
          <w:b w:val="0"/>
          <w:bCs/>
          <w:color w:val="1074CB"/>
          <w:sz w:val="32"/>
          <w:szCs w:val="32"/>
        </w:rPr>
        <w:t>)</w:t>
      </w:r>
    </w:p>
    <w:p w:rsidR="009E7466" w:rsidRPr="009F32FF" w:rsidRDefault="009E7466" w:rsidP="009E7466">
      <w:pPr>
        <w:rPr>
          <w:sz w:val="8"/>
          <w:szCs w:val="8"/>
        </w:rPr>
      </w:pPr>
    </w:p>
    <w:p w:rsidR="009E7466" w:rsidRPr="001A5B1A" w:rsidRDefault="009E7466" w:rsidP="009E7466">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B65FCC">
        <w:rPr>
          <w:rFonts w:ascii="Arial" w:eastAsiaTheme="minorEastAsia" w:hAnsi="Arial" w:cs="Arial"/>
          <w:b w:val="0"/>
          <w:bCs/>
          <w:color w:val="1074CB"/>
        </w:rPr>
        <w:t>5024</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9E7466" w:rsidRPr="00176BC5" w:rsidRDefault="00425C68" w:rsidP="009E7466">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45" style="position:absolute;z-index:251671552" from=".55pt,3.1pt" to="455.9pt,3.1pt" strokecolor="#1074cb"/>
        </w:pict>
      </w:r>
    </w:p>
    <w:p w:rsidR="00593F7B" w:rsidRPr="00176BC5" w:rsidRDefault="00892205" w:rsidP="00593F7B">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car manufacturing </w:t>
      </w:r>
      <w:r w:rsidR="001101CE">
        <w:rPr>
          <w:rFonts w:ascii="Arial" w:eastAsiaTheme="minorEastAsia" w:hAnsi="Arial" w:cs="Arial"/>
          <w:bCs/>
          <w:color w:val="1074CB"/>
          <w:sz w:val="36"/>
          <w:szCs w:val="36"/>
        </w:rPr>
        <w:t>continues to rise</w:t>
      </w:r>
    </w:p>
    <w:p w:rsidR="00593F7B" w:rsidRPr="006F34BF" w:rsidRDefault="00593F7B" w:rsidP="00593F7B">
      <w:pPr>
        <w:ind w:right="283"/>
        <w:rPr>
          <w:sz w:val="12"/>
          <w:szCs w:val="12"/>
        </w:rPr>
      </w:pPr>
    </w:p>
    <w:p w:rsidR="00A669F3" w:rsidRDefault="00A669F3" w:rsidP="00593F7B">
      <w:pPr>
        <w:numPr>
          <w:ilvl w:val="0"/>
          <w:numId w:val="10"/>
        </w:numPr>
        <w:spacing w:line="288" w:lineRule="auto"/>
        <w:rPr>
          <w:rFonts w:ascii="Arial" w:hAnsi="Arial" w:cs="Arial"/>
          <w:sz w:val="20"/>
        </w:rPr>
      </w:pPr>
      <w:r>
        <w:rPr>
          <w:rFonts w:ascii="Arial" w:hAnsi="Arial" w:cs="Arial"/>
          <w:sz w:val="20"/>
        </w:rPr>
        <w:t>UK automotive plants manufactured 141,146 cars in May, the month’s highest output since 2004.</w:t>
      </w:r>
    </w:p>
    <w:p w:rsidR="00A96A47" w:rsidRDefault="00593F7B" w:rsidP="00593F7B">
      <w:pPr>
        <w:numPr>
          <w:ilvl w:val="0"/>
          <w:numId w:val="10"/>
        </w:numPr>
        <w:spacing w:line="288" w:lineRule="auto"/>
        <w:rPr>
          <w:rFonts w:ascii="Arial" w:hAnsi="Arial" w:cs="Arial"/>
          <w:sz w:val="20"/>
        </w:rPr>
      </w:pPr>
      <w:r w:rsidRPr="00CB5253">
        <w:rPr>
          <w:rFonts w:ascii="Arial" w:hAnsi="Arial" w:cs="Arial"/>
          <w:sz w:val="20"/>
        </w:rPr>
        <w:t xml:space="preserve">Car </w:t>
      </w:r>
      <w:r>
        <w:rPr>
          <w:rFonts w:ascii="Arial" w:hAnsi="Arial" w:cs="Arial"/>
          <w:sz w:val="20"/>
        </w:rPr>
        <w:t>manufacturing</w:t>
      </w:r>
      <w:r w:rsidRPr="00CB5253">
        <w:rPr>
          <w:rFonts w:ascii="Arial" w:hAnsi="Arial" w:cs="Arial"/>
          <w:sz w:val="20"/>
        </w:rPr>
        <w:t xml:space="preserve"> </w:t>
      </w:r>
      <w:r w:rsidR="00A96A47">
        <w:rPr>
          <w:rFonts w:ascii="Arial" w:hAnsi="Arial" w:cs="Arial"/>
          <w:sz w:val="20"/>
        </w:rPr>
        <w:t>posted a 42.2</w:t>
      </w:r>
      <w:r w:rsidRPr="00CB5253">
        <w:rPr>
          <w:rFonts w:ascii="Arial" w:hAnsi="Arial" w:cs="Arial"/>
          <w:sz w:val="20"/>
        </w:rPr>
        <w:t xml:space="preserve">% </w:t>
      </w:r>
      <w:r w:rsidR="00A96A47">
        <w:rPr>
          <w:rFonts w:ascii="Arial" w:hAnsi="Arial" w:cs="Arial"/>
          <w:sz w:val="20"/>
        </w:rPr>
        <w:t>hike in May, with</w:t>
      </w:r>
      <w:r w:rsidR="00A669F3">
        <w:rPr>
          <w:rFonts w:ascii="Arial" w:hAnsi="Arial" w:cs="Arial"/>
          <w:sz w:val="20"/>
        </w:rPr>
        <w:t xml:space="preserve"> year-to-date volumes up 17.3%.</w:t>
      </w:r>
    </w:p>
    <w:p w:rsidR="00593F7B" w:rsidRPr="00CB5253" w:rsidRDefault="005D1F4D" w:rsidP="00593F7B">
      <w:pPr>
        <w:numPr>
          <w:ilvl w:val="0"/>
          <w:numId w:val="10"/>
        </w:numPr>
        <w:spacing w:line="288" w:lineRule="auto"/>
        <w:rPr>
          <w:rFonts w:ascii="Arial" w:hAnsi="Arial" w:cs="Arial"/>
          <w:sz w:val="20"/>
        </w:rPr>
      </w:pPr>
      <w:r>
        <w:rPr>
          <w:rFonts w:ascii="Arial" w:hAnsi="Arial" w:cs="Arial"/>
          <w:sz w:val="20"/>
        </w:rPr>
        <w:t xml:space="preserve">CV output </w:t>
      </w:r>
      <w:r w:rsidR="00A669F3">
        <w:rPr>
          <w:rFonts w:ascii="Arial" w:hAnsi="Arial" w:cs="Arial"/>
          <w:sz w:val="20"/>
        </w:rPr>
        <w:t>subdued in</w:t>
      </w:r>
      <w:r>
        <w:rPr>
          <w:rFonts w:ascii="Arial" w:hAnsi="Arial" w:cs="Arial"/>
          <w:sz w:val="20"/>
        </w:rPr>
        <w:t xml:space="preserve"> </w:t>
      </w:r>
      <w:r w:rsidR="00A669F3">
        <w:rPr>
          <w:rFonts w:ascii="Arial" w:hAnsi="Arial" w:cs="Arial"/>
          <w:sz w:val="20"/>
        </w:rPr>
        <w:t xml:space="preserve">the month with </w:t>
      </w:r>
      <w:r>
        <w:rPr>
          <w:rFonts w:ascii="Arial" w:hAnsi="Arial" w:cs="Arial"/>
          <w:sz w:val="20"/>
        </w:rPr>
        <w:t xml:space="preserve">9,445 </w:t>
      </w:r>
      <w:r w:rsidR="00A669F3">
        <w:rPr>
          <w:rFonts w:ascii="Arial" w:hAnsi="Arial" w:cs="Arial"/>
          <w:sz w:val="20"/>
        </w:rPr>
        <w:t xml:space="preserve">vehicles </w:t>
      </w:r>
      <w:proofErr w:type="gramStart"/>
      <w:r w:rsidR="00A669F3">
        <w:rPr>
          <w:rFonts w:ascii="Arial" w:hAnsi="Arial" w:cs="Arial"/>
          <w:sz w:val="20"/>
        </w:rPr>
        <w:t>produced,</w:t>
      </w:r>
      <w:proofErr w:type="gramEnd"/>
      <w:r w:rsidR="00A669F3">
        <w:rPr>
          <w:rFonts w:ascii="Arial" w:hAnsi="Arial" w:cs="Arial"/>
          <w:sz w:val="20"/>
        </w:rPr>
        <w:t xml:space="preserve"> </w:t>
      </w:r>
      <w:r>
        <w:rPr>
          <w:rFonts w:ascii="Arial" w:hAnsi="Arial" w:cs="Arial"/>
          <w:sz w:val="20"/>
        </w:rPr>
        <w:t xml:space="preserve">a 7.4% </w:t>
      </w:r>
      <w:r w:rsidR="00A669F3">
        <w:rPr>
          <w:rFonts w:ascii="Arial" w:hAnsi="Arial" w:cs="Arial"/>
          <w:sz w:val="20"/>
        </w:rPr>
        <w:t>decline.</w:t>
      </w:r>
    </w:p>
    <w:p w:rsidR="00593F7B" w:rsidRPr="00CB5253" w:rsidRDefault="00593F7B" w:rsidP="00593F7B">
      <w:pPr>
        <w:numPr>
          <w:ilvl w:val="0"/>
          <w:numId w:val="10"/>
        </w:numPr>
        <w:spacing w:line="288" w:lineRule="auto"/>
        <w:rPr>
          <w:rFonts w:ascii="Arial" w:hAnsi="Arial" w:cs="Arial"/>
          <w:sz w:val="20"/>
        </w:rPr>
      </w:pPr>
      <w:r w:rsidRPr="00CB5253">
        <w:rPr>
          <w:rFonts w:ascii="Arial" w:hAnsi="Arial" w:cs="Arial"/>
          <w:sz w:val="20"/>
        </w:rPr>
        <w:t>UK</w:t>
      </w:r>
      <w:r w:rsidR="001B22DD">
        <w:rPr>
          <w:rFonts w:ascii="Arial" w:hAnsi="Arial" w:cs="Arial"/>
          <w:sz w:val="20"/>
        </w:rPr>
        <w:t xml:space="preserve"> engine </w:t>
      </w:r>
      <w:r w:rsidR="00A669F3">
        <w:rPr>
          <w:rFonts w:ascii="Arial" w:hAnsi="Arial" w:cs="Arial"/>
          <w:sz w:val="20"/>
        </w:rPr>
        <w:t xml:space="preserve">manufacturing </w:t>
      </w:r>
      <w:r w:rsidR="005C7AD6">
        <w:rPr>
          <w:rFonts w:ascii="Arial" w:hAnsi="Arial" w:cs="Arial"/>
          <w:sz w:val="20"/>
        </w:rPr>
        <w:t>rose 1</w:t>
      </w:r>
      <w:r w:rsidR="00A96A47">
        <w:rPr>
          <w:rFonts w:ascii="Arial" w:hAnsi="Arial" w:cs="Arial"/>
          <w:sz w:val="20"/>
        </w:rPr>
        <w:t>3.4</w:t>
      </w:r>
      <w:r>
        <w:rPr>
          <w:rFonts w:ascii="Arial" w:hAnsi="Arial" w:cs="Arial"/>
          <w:sz w:val="20"/>
        </w:rPr>
        <w:t xml:space="preserve">% </w:t>
      </w:r>
      <w:r w:rsidR="005D1F4D">
        <w:rPr>
          <w:rFonts w:ascii="Arial" w:hAnsi="Arial" w:cs="Arial"/>
          <w:sz w:val="20"/>
        </w:rPr>
        <w:t xml:space="preserve">in May, </w:t>
      </w:r>
      <w:r w:rsidR="00A669F3">
        <w:rPr>
          <w:rFonts w:ascii="Arial" w:hAnsi="Arial" w:cs="Arial"/>
          <w:sz w:val="20"/>
        </w:rPr>
        <w:t xml:space="preserve">as </w:t>
      </w:r>
      <w:r w:rsidR="00416F56">
        <w:rPr>
          <w:rFonts w:ascii="Arial" w:hAnsi="Arial" w:cs="Arial"/>
          <w:sz w:val="20"/>
        </w:rPr>
        <w:t xml:space="preserve">year-to-date volumes </w:t>
      </w:r>
      <w:r w:rsidR="00CC0898">
        <w:rPr>
          <w:rFonts w:ascii="Arial" w:hAnsi="Arial" w:cs="Arial"/>
          <w:sz w:val="20"/>
        </w:rPr>
        <w:t>topped</w:t>
      </w:r>
      <w:r w:rsidR="00416F56">
        <w:rPr>
          <w:rFonts w:ascii="Arial" w:hAnsi="Arial" w:cs="Arial"/>
          <w:sz w:val="20"/>
        </w:rPr>
        <w:t xml:space="preserve"> the one</w:t>
      </w:r>
      <w:r w:rsidR="00AC3A0F">
        <w:rPr>
          <w:rFonts w:ascii="Arial" w:hAnsi="Arial" w:cs="Arial"/>
          <w:sz w:val="20"/>
        </w:rPr>
        <w:t xml:space="preserve"> </w:t>
      </w:r>
      <w:r w:rsidR="005D1F4D">
        <w:rPr>
          <w:rFonts w:ascii="Arial" w:hAnsi="Arial" w:cs="Arial"/>
          <w:sz w:val="20"/>
        </w:rPr>
        <w:t>million mark</w:t>
      </w:r>
      <w:r w:rsidR="00A669F3">
        <w:rPr>
          <w:rFonts w:ascii="Arial" w:hAnsi="Arial" w:cs="Arial"/>
          <w:sz w:val="20"/>
        </w:rPr>
        <w:t>.</w:t>
      </w:r>
    </w:p>
    <w:p w:rsidR="00D51FF6" w:rsidRDefault="00037D4E" w:rsidP="00593F7B">
      <w:pPr>
        <w:pStyle w:val="PlainText"/>
        <w:spacing w:line="276" w:lineRule="auto"/>
        <w:rPr>
          <w:rFonts w:eastAsia="Times New Roman"/>
        </w:rPr>
      </w:pPr>
      <w:r>
        <w:rPr>
          <w:rFonts w:eastAsia="Times" w:cs="Arial"/>
          <w:sz w:val="18"/>
          <w:szCs w:val="18"/>
          <w:lang w:eastAsia="en-GB"/>
        </w:rPr>
        <w:br/>
      </w:r>
      <w:r w:rsidR="00D51FF6">
        <w:rPr>
          <w:rFonts w:eastAsia="Times New Roman"/>
        </w:rPr>
        <w:t>“</w:t>
      </w:r>
      <w:r w:rsidR="00CC0898">
        <w:rPr>
          <w:rFonts w:eastAsia="Times New Roman"/>
        </w:rPr>
        <w:t>C</w:t>
      </w:r>
      <w:r w:rsidR="00892205">
        <w:rPr>
          <w:rFonts w:eastAsia="Times New Roman"/>
        </w:rPr>
        <w:t xml:space="preserve">ar manufacturing </w:t>
      </w:r>
      <w:r w:rsidR="00CC0898">
        <w:rPr>
          <w:rFonts w:eastAsia="Times New Roman"/>
        </w:rPr>
        <w:t>in May hit the</w:t>
      </w:r>
      <w:r>
        <w:rPr>
          <w:rFonts w:eastAsia="Times New Roman"/>
        </w:rPr>
        <w:t xml:space="preserve"> highest level </w:t>
      </w:r>
      <w:r w:rsidR="00CC0898">
        <w:rPr>
          <w:rFonts w:eastAsia="Times New Roman"/>
        </w:rPr>
        <w:t xml:space="preserve">of output </w:t>
      </w:r>
      <w:r>
        <w:rPr>
          <w:rFonts w:eastAsia="Times New Roman"/>
        </w:rPr>
        <w:t>since 2004</w:t>
      </w:r>
      <w:r>
        <w:rPr>
          <w:rFonts w:cs="Arial"/>
        </w:rPr>
        <w:t xml:space="preserve"> posting 42.2% growth</w:t>
      </w:r>
      <w:r w:rsidR="00CC0898">
        <w:rPr>
          <w:rFonts w:cs="Arial"/>
        </w:rPr>
        <w:t xml:space="preserve">, a sizable recovery </w:t>
      </w:r>
      <w:r w:rsidR="00B35C81">
        <w:rPr>
          <w:rFonts w:cs="Arial"/>
        </w:rPr>
        <w:t>against</w:t>
      </w:r>
      <w:r w:rsidR="00A3539C">
        <w:rPr>
          <w:rFonts w:cs="Arial"/>
        </w:rPr>
        <w:t xml:space="preserve"> </w:t>
      </w:r>
      <w:r w:rsidR="001101CE">
        <w:rPr>
          <w:rFonts w:cs="Arial"/>
        </w:rPr>
        <w:t>volumes hampered by last year’s Japanese</w:t>
      </w:r>
      <w:r w:rsidR="00CC0898">
        <w:rPr>
          <w:rFonts w:cs="Arial"/>
        </w:rPr>
        <w:t xml:space="preserve"> t</w:t>
      </w:r>
      <w:r w:rsidR="0043655B">
        <w:rPr>
          <w:rFonts w:cs="Arial"/>
        </w:rPr>
        <w:t>sunami</w:t>
      </w:r>
      <w:r w:rsidR="00CC0898">
        <w:rPr>
          <w:rFonts w:cs="Arial"/>
        </w:rPr>
        <w:t>. This boost, coupled with robust year-to-date</w:t>
      </w:r>
      <w:r w:rsidR="00041F7E">
        <w:rPr>
          <w:rFonts w:cs="Arial"/>
        </w:rPr>
        <w:t xml:space="preserve"> </w:t>
      </w:r>
      <w:r w:rsidR="00CC0898">
        <w:rPr>
          <w:rFonts w:cs="Arial"/>
        </w:rPr>
        <w:t xml:space="preserve">results </w:t>
      </w:r>
      <w:r w:rsidR="001101CE">
        <w:rPr>
          <w:rFonts w:cs="Arial"/>
        </w:rPr>
        <w:t>demonstrates the strength of UK automotive manufacturing and shows why it continues to attract</w:t>
      </w:r>
      <w:r w:rsidR="00041F7E">
        <w:rPr>
          <w:rFonts w:cs="Arial"/>
        </w:rPr>
        <w:t xml:space="preserve"> </w:t>
      </w:r>
      <w:r w:rsidR="00CC0898">
        <w:rPr>
          <w:rFonts w:cs="Arial"/>
        </w:rPr>
        <w:t xml:space="preserve">high </w:t>
      </w:r>
      <w:r w:rsidR="00041F7E">
        <w:rPr>
          <w:rFonts w:cs="Arial"/>
        </w:rPr>
        <w:t>level</w:t>
      </w:r>
      <w:r w:rsidR="00CC0898">
        <w:rPr>
          <w:rFonts w:cs="Arial"/>
        </w:rPr>
        <w:t>s</w:t>
      </w:r>
      <w:r w:rsidR="00041F7E">
        <w:rPr>
          <w:rFonts w:cs="Arial"/>
        </w:rPr>
        <w:t xml:space="preserve"> of </w:t>
      </w:r>
      <w:r w:rsidR="001101CE">
        <w:rPr>
          <w:rFonts w:cs="Arial"/>
        </w:rPr>
        <w:t xml:space="preserve">international </w:t>
      </w:r>
      <w:r w:rsidR="00041F7E">
        <w:rPr>
          <w:rFonts w:cs="Arial"/>
        </w:rPr>
        <w:t>investment</w:t>
      </w:r>
      <w:r w:rsidR="00CC0898">
        <w:rPr>
          <w:rFonts w:cs="Arial"/>
        </w:rPr>
        <w:t xml:space="preserve">,” </w:t>
      </w:r>
      <w:r w:rsidR="00CC0898" w:rsidRPr="00892205">
        <w:rPr>
          <w:rFonts w:cs="Arial"/>
        </w:rPr>
        <w:t>said Paul Everitt, SMMT Chief Executive</w:t>
      </w:r>
      <w:r w:rsidR="0043655B">
        <w:rPr>
          <w:rFonts w:cs="Arial"/>
        </w:rPr>
        <w:t xml:space="preserve">. </w:t>
      </w:r>
      <w:r w:rsidR="00CC0898">
        <w:rPr>
          <w:rFonts w:cs="Arial"/>
        </w:rPr>
        <w:t xml:space="preserve">“While </w:t>
      </w:r>
      <w:r w:rsidR="00B35C81">
        <w:rPr>
          <w:rFonts w:cs="Arial"/>
        </w:rPr>
        <w:t>commercial vehicle</w:t>
      </w:r>
      <w:r w:rsidR="00CC0898">
        <w:rPr>
          <w:rFonts w:cs="Arial"/>
        </w:rPr>
        <w:t xml:space="preserve"> output remains subdued</w:t>
      </w:r>
      <w:r w:rsidR="00B35C81">
        <w:rPr>
          <w:rFonts w:cs="Arial"/>
        </w:rPr>
        <w:t>,</w:t>
      </w:r>
      <w:r w:rsidR="00CC0898">
        <w:rPr>
          <w:rFonts w:cs="Arial"/>
        </w:rPr>
        <w:t xml:space="preserve"> in line with restrained levels of demand, the year’s e</w:t>
      </w:r>
      <w:r w:rsidR="0043655B">
        <w:rPr>
          <w:rFonts w:cs="Arial"/>
        </w:rPr>
        <w:t xml:space="preserve">ngine output </w:t>
      </w:r>
      <w:r w:rsidR="00AC3A0F">
        <w:rPr>
          <w:rFonts w:cs="Arial"/>
        </w:rPr>
        <w:t>volume</w:t>
      </w:r>
      <w:r w:rsidR="00CC0898">
        <w:rPr>
          <w:rFonts w:cs="Arial"/>
        </w:rPr>
        <w:t xml:space="preserve"> passed </w:t>
      </w:r>
      <w:r w:rsidR="0043655B">
        <w:rPr>
          <w:rFonts w:cs="Arial"/>
        </w:rPr>
        <w:t>one</w:t>
      </w:r>
      <w:r w:rsidR="00CC0898">
        <w:rPr>
          <w:rFonts w:cs="Arial"/>
        </w:rPr>
        <w:t xml:space="preserve"> </w:t>
      </w:r>
      <w:r w:rsidR="0043655B">
        <w:rPr>
          <w:rFonts w:cs="Arial"/>
        </w:rPr>
        <w:t>mi</w:t>
      </w:r>
      <w:r w:rsidR="00416F56">
        <w:rPr>
          <w:rFonts w:cs="Arial"/>
        </w:rPr>
        <w:t>llion</w:t>
      </w:r>
      <w:r w:rsidR="00CC0898">
        <w:rPr>
          <w:rFonts w:cs="Arial"/>
        </w:rPr>
        <w:t xml:space="preserve"> in May</w:t>
      </w:r>
      <w:r w:rsidR="00B35C81">
        <w:rPr>
          <w:rFonts w:cs="Arial"/>
        </w:rPr>
        <w:t xml:space="preserve"> and is more than 40,000 units ahead of last year</w:t>
      </w:r>
      <w:r w:rsidR="0043655B">
        <w:rPr>
          <w:rFonts w:cs="Arial"/>
        </w:rPr>
        <w:t>.”</w:t>
      </w:r>
      <w:r w:rsidR="00561BB9">
        <w:rPr>
          <w:rFonts w:eastAsia="Times New Roman"/>
        </w:rPr>
        <w:t xml:space="preserve">  </w:t>
      </w:r>
    </w:p>
    <w:p w:rsidR="0089689A" w:rsidRPr="00B7600D" w:rsidRDefault="0089689A" w:rsidP="0089689A">
      <w:pPr>
        <w:tabs>
          <w:tab w:val="left" w:pos="9072"/>
        </w:tabs>
        <w:ind w:right="709"/>
        <w:rPr>
          <w:rFonts w:ascii="Arial" w:hAnsi="Arial" w:cs="Arial"/>
          <w:sz w:val="20"/>
        </w:rPr>
      </w:pPr>
    </w:p>
    <w:tbl>
      <w:tblPr>
        <w:tblW w:w="8945" w:type="dxa"/>
        <w:tblLook w:val="04A0"/>
      </w:tblPr>
      <w:tblGrid>
        <w:gridCol w:w="1017"/>
        <w:gridCol w:w="867"/>
        <w:gridCol w:w="1264"/>
        <w:gridCol w:w="1032"/>
        <w:gridCol w:w="1284"/>
        <w:gridCol w:w="867"/>
        <w:gridCol w:w="867"/>
        <w:gridCol w:w="867"/>
        <w:gridCol w:w="1017"/>
      </w:tblGrid>
      <w:tr w:rsidR="0089689A" w:rsidRPr="00307829" w:rsidTr="00A96A47">
        <w:trPr>
          <w:trHeight w:val="288"/>
        </w:trPr>
        <w:tc>
          <w:tcPr>
            <w:tcW w:w="0" w:type="auto"/>
            <w:shd w:val="clear" w:color="auto" w:fill="auto"/>
            <w:noWrap/>
            <w:hideMark/>
          </w:tcPr>
          <w:p w:rsidR="0089689A" w:rsidRPr="00BE2914" w:rsidRDefault="0089689A" w:rsidP="00593F7B">
            <w:pPr>
              <w:rPr>
                <w:rFonts w:ascii="Arial" w:hAnsi="Arial" w:cs="Arial"/>
                <w:b/>
                <w:bCs/>
                <w:color w:val="1074CB"/>
                <w:sz w:val="18"/>
                <w:szCs w:val="18"/>
              </w:rPr>
            </w:pPr>
            <w:r>
              <w:rPr>
                <w:rFonts w:ascii="Arial" w:hAnsi="Arial" w:cs="Arial"/>
                <w:b/>
                <w:bCs/>
                <w:color w:val="1074CB"/>
                <w:sz w:val="18"/>
                <w:szCs w:val="18"/>
              </w:rPr>
              <w:t>SMMT</w:t>
            </w:r>
          </w:p>
        </w:tc>
        <w:tc>
          <w:tcPr>
            <w:tcW w:w="2131" w:type="dxa"/>
            <w:gridSpan w:val="2"/>
            <w:shd w:val="clear" w:color="auto" w:fill="auto"/>
            <w:noWrap/>
            <w:hideMark/>
          </w:tcPr>
          <w:p w:rsidR="0089689A" w:rsidRPr="00BE2914" w:rsidRDefault="00425C68" w:rsidP="00140FAB">
            <w:pPr>
              <w:jc w:val="center"/>
              <w:rPr>
                <w:rFonts w:ascii="Arial" w:hAnsi="Arial" w:cs="Arial"/>
                <w:b/>
                <w:bCs/>
                <w:color w:val="1074CB"/>
                <w:sz w:val="18"/>
                <w:szCs w:val="18"/>
              </w:rPr>
            </w:pPr>
            <w:r w:rsidRPr="00425C68">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44" type="#_x0000_t32" style="position:absolute;left:0;text-align:left;margin-left:-5.4pt;margin-top:.9pt;width:0;height:2in;z-index:251669504;mso-position-horizontal-relative:text;mso-position-vertical-relative:text" o:connectortype="straight" strokecolor="#1074cb"/>
              </w:pict>
            </w:r>
            <w:r w:rsidR="0089689A" w:rsidRPr="00BE2914">
              <w:rPr>
                <w:rFonts w:ascii="Arial" w:hAnsi="Arial" w:cs="Arial"/>
                <w:b/>
                <w:bCs/>
                <w:color w:val="1074CB"/>
                <w:sz w:val="18"/>
                <w:szCs w:val="18"/>
              </w:rPr>
              <w:t>Cars</w:t>
            </w:r>
          </w:p>
        </w:tc>
        <w:tc>
          <w:tcPr>
            <w:tcW w:w="2316" w:type="dxa"/>
            <w:gridSpan w:val="2"/>
            <w:shd w:val="clear" w:color="auto" w:fill="auto"/>
            <w:noWrap/>
            <w:hideMark/>
          </w:tcPr>
          <w:p w:rsidR="0089689A" w:rsidRPr="00BE2914" w:rsidRDefault="00425C68" w:rsidP="00140FAB">
            <w:pPr>
              <w:jc w:val="center"/>
              <w:rPr>
                <w:rFonts w:ascii="Arial" w:hAnsi="Arial" w:cs="Arial"/>
                <w:b/>
                <w:bCs/>
                <w:color w:val="1074CB"/>
                <w:sz w:val="18"/>
                <w:szCs w:val="18"/>
              </w:rPr>
            </w:pPr>
            <w:r w:rsidRPr="00425C68">
              <w:rPr>
                <w:rFonts w:ascii="Arial" w:hAnsi="Arial" w:cs="Arial"/>
                <w:noProof/>
                <w:color w:val="1074CB"/>
                <w:sz w:val="18"/>
                <w:szCs w:val="18"/>
              </w:rPr>
              <w:pict>
                <v:shape id="_x0000_s1043" type="#_x0000_t32" style="position:absolute;left:0;text-align:left;margin-left:-5.4pt;margin-top:.05pt;width:0;height:2in;z-index:251668480;mso-position-horizontal-relative:text;mso-position-vertical-relative:text" o:connectortype="straight" strokecolor="#1074cb"/>
              </w:pict>
            </w:r>
            <w:r w:rsidR="0089689A" w:rsidRPr="00BE2914">
              <w:rPr>
                <w:rFonts w:ascii="Arial" w:hAnsi="Arial" w:cs="Arial"/>
                <w:b/>
                <w:bCs/>
                <w:color w:val="1074CB"/>
                <w:sz w:val="18"/>
                <w:szCs w:val="18"/>
              </w:rPr>
              <w:t>Commercial Vehicles</w:t>
            </w:r>
          </w:p>
        </w:tc>
        <w:tc>
          <w:tcPr>
            <w:tcW w:w="0" w:type="auto"/>
            <w:gridSpan w:val="2"/>
            <w:shd w:val="clear" w:color="auto" w:fill="auto"/>
            <w:noWrap/>
            <w:hideMark/>
          </w:tcPr>
          <w:p w:rsidR="0089689A" w:rsidRPr="00BE2914" w:rsidRDefault="00425C68" w:rsidP="00140FAB">
            <w:pPr>
              <w:jc w:val="center"/>
              <w:rPr>
                <w:rFonts w:ascii="Arial" w:hAnsi="Arial" w:cs="Arial"/>
                <w:b/>
                <w:bCs/>
                <w:color w:val="1074CB"/>
                <w:sz w:val="18"/>
                <w:szCs w:val="18"/>
              </w:rPr>
            </w:pPr>
            <w:r w:rsidRPr="00425C68">
              <w:rPr>
                <w:rFonts w:ascii="Arial" w:hAnsi="Arial" w:cs="Arial"/>
                <w:i/>
                <w:iCs/>
                <w:noProof/>
                <w:color w:val="1074CB"/>
                <w:sz w:val="18"/>
                <w:szCs w:val="18"/>
              </w:rPr>
              <w:pict>
                <v:shape id="_x0000_s1042" type="#_x0000_t32" style="position:absolute;left:0;text-align:left;margin-left:-5.4pt;margin-top:-1pt;width:0;height:2in;z-index:251667456;mso-position-horizontal-relative:text;mso-position-vertical-relative:text" o:connectortype="straight" strokecolor="#1074cb"/>
              </w:pict>
            </w:r>
            <w:r w:rsidR="0089689A" w:rsidRPr="00BE2914">
              <w:rPr>
                <w:rFonts w:ascii="Arial" w:hAnsi="Arial" w:cs="Arial"/>
                <w:b/>
                <w:bCs/>
                <w:color w:val="1074CB"/>
                <w:sz w:val="18"/>
                <w:szCs w:val="18"/>
              </w:rPr>
              <w:t>Total Vehicles</w:t>
            </w:r>
          </w:p>
        </w:tc>
        <w:tc>
          <w:tcPr>
            <w:tcW w:w="1747" w:type="dxa"/>
            <w:gridSpan w:val="2"/>
            <w:shd w:val="clear" w:color="auto" w:fill="auto"/>
          </w:tcPr>
          <w:p w:rsidR="0089689A" w:rsidRPr="00BE2914" w:rsidRDefault="00425C68" w:rsidP="00140FAB">
            <w:pPr>
              <w:jc w:val="center"/>
              <w:rPr>
                <w:rFonts w:ascii="Arial" w:hAnsi="Arial" w:cs="Arial"/>
                <w:b/>
                <w:bCs/>
                <w:color w:val="1074CB"/>
                <w:sz w:val="18"/>
                <w:szCs w:val="18"/>
              </w:rPr>
            </w:pPr>
            <w:r w:rsidRPr="00425C68">
              <w:rPr>
                <w:rFonts w:ascii="Arial" w:hAnsi="Arial" w:cs="Arial"/>
                <w:noProof/>
                <w:color w:val="1074CB"/>
                <w:sz w:val="18"/>
                <w:szCs w:val="18"/>
              </w:rPr>
              <w:pict>
                <v:shape id="_x0000_s1041" type="#_x0000_t32" style="position:absolute;left:0;text-align:left;margin-left:-4.8pt;margin-top:-2.65pt;width:0;height:2in;z-index:251666432;mso-position-horizontal-relative:text;mso-position-vertical-relative:text" o:connectortype="straight" strokecolor="#1074cb"/>
              </w:pict>
            </w:r>
            <w:r w:rsidR="0089689A" w:rsidRPr="00BE2914">
              <w:rPr>
                <w:rFonts w:ascii="Arial" w:hAnsi="Arial" w:cs="Arial"/>
                <w:b/>
                <w:bCs/>
                <w:color w:val="1074CB"/>
                <w:sz w:val="18"/>
                <w:szCs w:val="18"/>
              </w:rPr>
              <w:t>Total Engines</w:t>
            </w:r>
          </w:p>
        </w:tc>
      </w:tr>
      <w:tr w:rsidR="00A96A47" w:rsidRPr="00307829" w:rsidTr="00A96A47">
        <w:trPr>
          <w:trHeight w:val="288"/>
        </w:trPr>
        <w:tc>
          <w:tcPr>
            <w:tcW w:w="0" w:type="auto"/>
            <w:shd w:val="clear" w:color="auto" w:fill="auto"/>
            <w:noWrap/>
            <w:hideMark/>
          </w:tcPr>
          <w:p w:rsidR="00A96A47" w:rsidRPr="00BE2914" w:rsidRDefault="00A96A47" w:rsidP="00593F7B">
            <w:pP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May-12</w:t>
            </w:r>
          </w:p>
        </w:tc>
        <w:tc>
          <w:tcPr>
            <w:tcW w:w="126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YTD-12</w:t>
            </w:r>
          </w:p>
        </w:tc>
        <w:tc>
          <w:tcPr>
            <w:tcW w:w="1032"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May-12</w:t>
            </w:r>
          </w:p>
        </w:tc>
        <w:tc>
          <w:tcPr>
            <w:tcW w:w="128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YTD-12</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May-12</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YTD-12</w:t>
            </w:r>
          </w:p>
        </w:tc>
        <w:tc>
          <w:tcPr>
            <w:tcW w:w="867"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May-12</w:t>
            </w:r>
          </w:p>
        </w:tc>
        <w:tc>
          <w:tcPr>
            <w:tcW w:w="880"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YTD-12</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141,146</w:t>
            </w:r>
          </w:p>
        </w:tc>
        <w:tc>
          <w:tcPr>
            <w:tcW w:w="126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636,923</w:t>
            </w:r>
          </w:p>
        </w:tc>
        <w:tc>
          <w:tcPr>
            <w:tcW w:w="1032"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9,445</w:t>
            </w:r>
          </w:p>
        </w:tc>
        <w:tc>
          <w:tcPr>
            <w:tcW w:w="128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47,729</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150,591</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684,652</w:t>
            </w:r>
          </w:p>
        </w:tc>
        <w:tc>
          <w:tcPr>
            <w:tcW w:w="867"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242,937</w:t>
            </w:r>
          </w:p>
        </w:tc>
        <w:tc>
          <w:tcPr>
            <w:tcW w:w="880"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1,133,091</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42.2%</w:t>
            </w:r>
          </w:p>
        </w:tc>
        <w:tc>
          <w:tcPr>
            <w:tcW w:w="1264"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17.3%</w:t>
            </w:r>
          </w:p>
        </w:tc>
        <w:tc>
          <w:tcPr>
            <w:tcW w:w="1032"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-7.4%</w:t>
            </w:r>
          </w:p>
        </w:tc>
        <w:tc>
          <w:tcPr>
            <w:tcW w:w="1284"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-6.4%</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37.5%</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15.3%</w:t>
            </w:r>
          </w:p>
        </w:tc>
        <w:tc>
          <w:tcPr>
            <w:tcW w:w="867" w:type="dxa"/>
            <w:shd w:val="clear" w:color="auto" w:fill="auto"/>
            <w:vAlign w:val="bottom"/>
          </w:tcPr>
          <w:p w:rsidR="00A96A47" w:rsidRDefault="00A96A47">
            <w:pPr>
              <w:jc w:val="center"/>
              <w:rPr>
                <w:rFonts w:ascii="Arial" w:hAnsi="Arial" w:cs="Arial"/>
                <w:color w:val="0070C0"/>
                <w:sz w:val="18"/>
                <w:szCs w:val="18"/>
              </w:rPr>
            </w:pPr>
            <w:r>
              <w:rPr>
                <w:rFonts w:ascii="Arial" w:hAnsi="Arial" w:cs="Arial"/>
                <w:color w:val="0070C0"/>
                <w:sz w:val="18"/>
                <w:szCs w:val="18"/>
              </w:rPr>
              <w:t>13.4%</w:t>
            </w:r>
          </w:p>
        </w:tc>
        <w:tc>
          <w:tcPr>
            <w:tcW w:w="880" w:type="dxa"/>
            <w:shd w:val="clear" w:color="auto" w:fill="auto"/>
            <w:vAlign w:val="bottom"/>
          </w:tcPr>
          <w:p w:rsidR="00A96A47" w:rsidRDefault="00A96A47">
            <w:pPr>
              <w:jc w:val="center"/>
              <w:rPr>
                <w:rFonts w:ascii="Arial" w:hAnsi="Arial" w:cs="Arial"/>
                <w:color w:val="0070C0"/>
                <w:sz w:val="18"/>
                <w:szCs w:val="18"/>
              </w:rPr>
            </w:pPr>
            <w:r>
              <w:rPr>
                <w:rFonts w:ascii="Arial" w:hAnsi="Arial" w:cs="Arial"/>
                <w:color w:val="0070C0"/>
                <w:sz w:val="18"/>
                <w:szCs w:val="18"/>
              </w:rPr>
              <w:t>4.0%</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120,120</w:t>
            </w:r>
          </w:p>
        </w:tc>
        <w:tc>
          <w:tcPr>
            <w:tcW w:w="126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528,204</w:t>
            </w:r>
          </w:p>
        </w:tc>
        <w:tc>
          <w:tcPr>
            <w:tcW w:w="1032"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5,830</w:t>
            </w:r>
          </w:p>
        </w:tc>
        <w:tc>
          <w:tcPr>
            <w:tcW w:w="128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28,937</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125,950</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557,141</w:t>
            </w:r>
          </w:p>
        </w:tc>
        <w:tc>
          <w:tcPr>
            <w:tcW w:w="867"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150,550</w:t>
            </w:r>
          </w:p>
        </w:tc>
        <w:tc>
          <w:tcPr>
            <w:tcW w:w="880"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726,681</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45.5%</w:t>
            </w:r>
          </w:p>
        </w:tc>
        <w:tc>
          <w:tcPr>
            <w:tcW w:w="1264"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16.6%</w:t>
            </w:r>
          </w:p>
        </w:tc>
        <w:tc>
          <w:tcPr>
            <w:tcW w:w="1032"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0.6%</w:t>
            </w:r>
          </w:p>
        </w:tc>
        <w:tc>
          <w:tcPr>
            <w:tcW w:w="1284"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-7.4%</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42.5%</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15.0%</w:t>
            </w:r>
          </w:p>
        </w:tc>
        <w:tc>
          <w:tcPr>
            <w:tcW w:w="867" w:type="dxa"/>
            <w:shd w:val="clear" w:color="auto" w:fill="auto"/>
            <w:vAlign w:val="bottom"/>
          </w:tcPr>
          <w:p w:rsidR="00A96A47" w:rsidRDefault="00A96A47">
            <w:pPr>
              <w:jc w:val="center"/>
              <w:rPr>
                <w:rFonts w:ascii="Arial" w:hAnsi="Arial" w:cs="Arial"/>
                <w:color w:val="0070C0"/>
                <w:sz w:val="18"/>
                <w:szCs w:val="18"/>
              </w:rPr>
            </w:pPr>
            <w:r>
              <w:rPr>
                <w:rFonts w:ascii="Arial" w:hAnsi="Arial" w:cs="Arial"/>
                <w:color w:val="0070C0"/>
                <w:sz w:val="18"/>
                <w:szCs w:val="18"/>
              </w:rPr>
              <w:t>-6.9%</w:t>
            </w:r>
          </w:p>
        </w:tc>
        <w:tc>
          <w:tcPr>
            <w:tcW w:w="880" w:type="dxa"/>
            <w:shd w:val="clear" w:color="auto" w:fill="auto"/>
            <w:vAlign w:val="bottom"/>
          </w:tcPr>
          <w:p w:rsidR="00A96A47" w:rsidRDefault="00A96A47">
            <w:pPr>
              <w:jc w:val="center"/>
              <w:rPr>
                <w:rFonts w:ascii="Arial" w:hAnsi="Arial" w:cs="Arial"/>
                <w:color w:val="0070C0"/>
                <w:sz w:val="18"/>
                <w:szCs w:val="18"/>
              </w:rPr>
            </w:pPr>
            <w:r>
              <w:rPr>
                <w:rFonts w:ascii="Arial" w:hAnsi="Arial" w:cs="Arial"/>
                <w:color w:val="0070C0"/>
                <w:sz w:val="18"/>
                <w:szCs w:val="18"/>
              </w:rPr>
              <w:t>-9.0%</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85.1%</w:t>
            </w:r>
          </w:p>
        </w:tc>
        <w:tc>
          <w:tcPr>
            <w:tcW w:w="1264" w:type="dxa"/>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82.9%</w:t>
            </w:r>
          </w:p>
        </w:tc>
        <w:tc>
          <w:tcPr>
            <w:tcW w:w="1032" w:type="dxa"/>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61.7%</w:t>
            </w:r>
          </w:p>
        </w:tc>
        <w:tc>
          <w:tcPr>
            <w:tcW w:w="1284" w:type="dxa"/>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60.6%</w:t>
            </w:r>
          </w:p>
        </w:tc>
        <w:tc>
          <w:tcPr>
            <w:tcW w:w="0" w:type="auto"/>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83.6%</w:t>
            </w:r>
          </w:p>
        </w:tc>
        <w:tc>
          <w:tcPr>
            <w:tcW w:w="0" w:type="auto"/>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81.4%</w:t>
            </w:r>
          </w:p>
        </w:tc>
        <w:tc>
          <w:tcPr>
            <w:tcW w:w="867" w:type="dxa"/>
            <w:shd w:val="clear" w:color="auto" w:fill="auto"/>
            <w:vAlign w:val="bottom"/>
          </w:tcPr>
          <w:p w:rsidR="00A96A47" w:rsidRDefault="00A96A47">
            <w:pPr>
              <w:jc w:val="center"/>
              <w:rPr>
                <w:rFonts w:ascii="Arial" w:hAnsi="Arial" w:cs="Arial"/>
                <w:i/>
                <w:iCs/>
                <w:color w:val="0070C0"/>
                <w:sz w:val="18"/>
                <w:szCs w:val="18"/>
              </w:rPr>
            </w:pPr>
            <w:r>
              <w:rPr>
                <w:rFonts w:ascii="Arial" w:hAnsi="Arial" w:cs="Arial"/>
                <w:i/>
                <w:iCs/>
                <w:color w:val="0070C0"/>
                <w:sz w:val="18"/>
                <w:szCs w:val="18"/>
              </w:rPr>
              <w:t>62.0%</w:t>
            </w:r>
          </w:p>
        </w:tc>
        <w:tc>
          <w:tcPr>
            <w:tcW w:w="880" w:type="dxa"/>
            <w:shd w:val="clear" w:color="auto" w:fill="auto"/>
            <w:vAlign w:val="bottom"/>
          </w:tcPr>
          <w:p w:rsidR="00A96A47" w:rsidRDefault="00A96A47">
            <w:pPr>
              <w:jc w:val="center"/>
              <w:rPr>
                <w:rFonts w:ascii="Arial" w:hAnsi="Arial" w:cs="Arial"/>
                <w:i/>
                <w:iCs/>
                <w:color w:val="0070C0"/>
                <w:sz w:val="18"/>
                <w:szCs w:val="18"/>
              </w:rPr>
            </w:pPr>
            <w:r>
              <w:rPr>
                <w:rFonts w:ascii="Arial" w:hAnsi="Arial" w:cs="Arial"/>
                <w:i/>
                <w:iCs/>
                <w:color w:val="0070C0"/>
                <w:sz w:val="18"/>
                <w:szCs w:val="18"/>
              </w:rPr>
              <w:t>64.1%</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21,026</w:t>
            </w:r>
          </w:p>
        </w:tc>
        <w:tc>
          <w:tcPr>
            <w:tcW w:w="126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108,719</w:t>
            </w:r>
          </w:p>
        </w:tc>
        <w:tc>
          <w:tcPr>
            <w:tcW w:w="1032"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3,615</w:t>
            </w:r>
          </w:p>
        </w:tc>
        <w:tc>
          <w:tcPr>
            <w:tcW w:w="1284" w:type="dxa"/>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18,792</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24,641</w:t>
            </w:r>
          </w:p>
        </w:tc>
        <w:tc>
          <w:tcPr>
            <w:tcW w:w="0" w:type="auto"/>
            <w:shd w:val="clear" w:color="auto" w:fill="auto"/>
            <w:noWrap/>
            <w:vAlign w:val="bottom"/>
            <w:hideMark/>
          </w:tcPr>
          <w:p w:rsidR="00A96A47" w:rsidRDefault="00A96A47">
            <w:pPr>
              <w:jc w:val="center"/>
              <w:rPr>
                <w:rFonts w:ascii="Arial" w:hAnsi="Arial" w:cs="Arial"/>
                <w:b/>
                <w:bCs/>
                <w:color w:val="0070C0"/>
                <w:sz w:val="18"/>
                <w:szCs w:val="18"/>
              </w:rPr>
            </w:pPr>
            <w:r>
              <w:rPr>
                <w:rFonts w:ascii="Arial" w:hAnsi="Arial" w:cs="Arial"/>
                <w:b/>
                <w:bCs/>
                <w:color w:val="0070C0"/>
                <w:sz w:val="18"/>
                <w:szCs w:val="18"/>
              </w:rPr>
              <w:t>127,511</w:t>
            </w:r>
          </w:p>
        </w:tc>
        <w:tc>
          <w:tcPr>
            <w:tcW w:w="867"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92,387</w:t>
            </w:r>
          </w:p>
        </w:tc>
        <w:tc>
          <w:tcPr>
            <w:tcW w:w="880" w:type="dxa"/>
            <w:shd w:val="clear" w:color="auto" w:fill="auto"/>
            <w:vAlign w:val="bottom"/>
          </w:tcPr>
          <w:p w:rsidR="00A96A47" w:rsidRDefault="00A96A47">
            <w:pPr>
              <w:jc w:val="center"/>
              <w:rPr>
                <w:rFonts w:ascii="Arial" w:hAnsi="Arial" w:cs="Arial"/>
                <w:b/>
                <w:bCs/>
                <w:color w:val="0070C0"/>
                <w:sz w:val="18"/>
                <w:szCs w:val="18"/>
              </w:rPr>
            </w:pPr>
            <w:r>
              <w:rPr>
                <w:rFonts w:ascii="Arial" w:hAnsi="Arial" w:cs="Arial"/>
                <w:b/>
                <w:bCs/>
                <w:color w:val="0070C0"/>
                <w:sz w:val="18"/>
                <w:szCs w:val="18"/>
              </w:rPr>
              <w:t>406,410</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25.8%</w:t>
            </w:r>
          </w:p>
        </w:tc>
        <w:tc>
          <w:tcPr>
            <w:tcW w:w="1264"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21.1%</w:t>
            </w:r>
          </w:p>
        </w:tc>
        <w:tc>
          <w:tcPr>
            <w:tcW w:w="1032"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-18.0%</w:t>
            </w:r>
          </w:p>
        </w:tc>
        <w:tc>
          <w:tcPr>
            <w:tcW w:w="1284" w:type="dxa"/>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-4.8%</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16.7%</w:t>
            </w:r>
          </w:p>
        </w:tc>
        <w:tc>
          <w:tcPr>
            <w:tcW w:w="0" w:type="auto"/>
            <w:shd w:val="clear" w:color="auto" w:fill="auto"/>
            <w:noWrap/>
            <w:vAlign w:val="bottom"/>
            <w:hideMark/>
          </w:tcPr>
          <w:p w:rsidR="00A96A47" w:rsidRDefault="00A96A47">
            <w:pPr>
              <w:jc w:val="center"/>
              <w:rPr>
                <w:rFonts w:ascii="Arial" w:hAnsi="Arial" w:cs="Arial"/>
                <w:color w:val="0070C0"/>
                <w:sz w:val="18"/>
                <w:szCs w:val="18"/>
              </w:rPr>
            </w:pPr>
            <w:r>
              <w:rPr>
                <w:rFonts w:ascii="Arial" w:hAnsi="Arial" w:cs="Arial"/>
                <w:color w:val="0070C0"/>
                <w:sz w:val="18"/>
                <w:szCs w:val="18"/>
              </w:rPr>
              <w:t>16.5%</w:t>
            </w:r>
          </w:p>
        </w:tc>
        <w:tc>
          <w:tcPr>
            <w:tcW w:w="867" w:type="dxa"/>
            <w:shd w:val="clear" w:color="auto" w:fill="auto"/>
            <w:vAlign w:val="bottom"/>
          </w:tcPr>
          <w:p w:rsidR="00A96A47" w:rsidRDefault="00A96A47">
            <w:pPr>
              <w:jc w:val="center"/>
              <w:rPr>
                <w:rFonts w:ascii="Arial" w:hAnsi="Arial" w:cs="Arial"/>
                <w:color w:val="0070C0"/>
                <w:sz w:val="18"/>
                <w:szCs w:val="18"/>
              </w:rPr>
            </w:pPr>
            <w:r>
              <w:rPr>
                <w:rFonts w:ascii="Arial" w:hAnsi="Arial" w:cs="Arial"/>
                <w:color w:val="0070C0"/>
                <w:sz w:val="18"/>
                <w:szCs w:val="18"/>
              </w:rPr>
              <w:t>75.9%</w:t>
            </w:r>
          </w:p>
        </w:tc>
        <w:tc>
          <w:tcPr>
            <w:tcW w:w="880" w:type="dxa"/>
            <w:shd w:val="clear" w:color="auto" w:fill="auto"/>
            <w:vAlign w:val="bottom"/>
          </w:tcPr>
          <w:p w:rsidR="00A96A47" w:rsidRDefault="00A96A47">
            <w:pPr>
              <w:jc w:val="center"/>
              <w:rPr>
                <w:rFonts w:ascii="Arial" w:hAnsi="Arial" w:cs="Arial"/>
                <w:color w:val="0070C0"/>
                <w:sz w:val="18"/>
                <w:szCs w:val="18"/>
              </w:rPr>
            </w:pPr>
            <w:r>
              <w:rPr>
                <w:rFonts w:ascii="Arial" w:hAnsi="Arial" w:cs="Arial"/>
                <w:color w:val="0070C0"/>
                <w:sz w:val="18"/>
                <w:szCs w:val="18"/>
              </w:rPr>
              <w:t>39.6%</w:t>
            </w:r>
          </w:p>
        </w:tc>
      </w:tr>
      <w:tr w:rsidR="00A96A47" w:rsidRPr="00307829" w:rsidTr="00A96A47">
        <w:trPr>
          <w:trHeight w:val="288"/>
        </w:trPr>
        <w:tc>
          <w:tcPr>
            <w:tcW w:w="0" w:type="auto"/>
            <w:shd w:val="clear" w:color="auto" w:fill="auto"/>
            <w:noWrap/>
            <w:vAlign w:val="center"/>
            <w:hideMark/>
          </w:tcPr>
          <w:p w:rsidR="00A96A47" w:rsidRPr="00BE2914" w:rsidRDefault="00A96A47" w:rsidP="00593F7B">
            <w:pP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14.9%</w:t>
            </w:r>
          </w:p>
        </w:tc>
        <w:tc>
          <w:tcPr>
            <w:tcW w:w="1264" w:type="dxa"/>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17.1%</w:t>
            </w:r>
          </w:p>
        </w:tc>
        <w:tc>
          <w:tcPr>
            <w:tcW w:w="1032" w:type="dxa"/>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38.3%</w:t>
            </w:r>
          </w:p>
        </w:tc>
        <w:tc>
          <w:tcPr>
            <w:tcW w:w="1284" w:type="dxa"/>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39.4%</w:t>
            </w:r>
          </w:p>
        </w:tc>
        <w:tc>
          <w:tcPr>
            <w:tcW w:w="0" w:type="auto"/>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16.4%</w:t>
            </w:r>
          </w:p>
        </w:tc>
        <w:tc>
          <w:tcPr>
            <w:tcW w:w="0" w:type="auto"/>
            <w:shd w:val="clear" w:color="auto" w:fill="auto"/>
            <w:noWrap/>
            <w:vAlign w:val="bottom"/>
            <w:hideMark/>
          </w:tcPr>
          <w:p w:rsidR="00A96A47" w:rsidRDefault="00A96A47">
            <w:pPr>
              <w:jc w:val="center"/>
              <w:rPr>
                <w:rFonts w:ascii="Arial" w:hAnsi="Arial" w:cs="Arial"/>
                <w:i/>
                <w:iCs/>
                <w:color w:val="0070C0"/>
                <w:sz w:val="18"/>
                <w:szCs w:val="18"/>
              </w:rPr>
            </w:pPr>
            <w:r>
              <w:rPr>
                <w:rFonts w:ascii="Arial" w:hAnsi="Arial" w:cs="Arial"/>
                <w:i/>
                <w:iCs/>
                <w:color w:val="0070C0"/>
                <w:sz w:val="18"/>
                <w:szCs w:val="18"/>
              </w:rPr>
              <w:t>18.6%</w:t>
            </w:r>
          </w:p>
        </w:tc>
        <w:tc>
          <w:tcPr>
            <w:tcW w:w="867" w:type="dxa"/>
            <w:shd w:val="clear" w:color="auto" w:fill="auto"/>
            <w:vAlign w:val="bottom"/>
          </w:tcPr>
          <w:p w:rsidR="00A96A47" w:rsidRDefault="00A96A47">
            <w:pPr>
              <w:jc w:val="center"/>
              <w:rPr>
                <w:rFonts w:ascii="Arial" w:hAnsi="Arial" w:cs="Arial"/>
                <w:i/>
                <w:iCs/>
                <w:color w:val="0070C0"/>
                <w:sz w:val="18"/>
                <w:szCs w:val="18"/>
              </w:rPr>
            </w:pPr>
            <w:r>
              <w:rPr>
                <w:rFonts w:ascii="Arial" w:hAnsi="Arial" w:cs="Arial"/>
                <w:i/>
                <w:iCs/>
                <w:color w:val="0070C0"/>
                <w:sz w:val="18"/>
                <w:szCs w:val="18"/>
              </w:rPr>
              <w:t>38.0%</w:t>
            </w:r>
          </w:p>
        </w:tc>
        <w:tc>
          <w:tcPr>
            <w:tcW w:w="880" w:type="dxa"/>
            <w:shd w:val="clear" w:color="auto" w:fill="auto"/>
            <w:vAlign w:val="bottom"/>
          </w:tcPr>
          <w:p w:rsidR="00A96A47" w:rsidRDefault="00A96A47">
            <w:pPr>
              <w:jc w:val="center"/>
              <w:rPr>
                <w:rFonts w:ascii="Arial" w:hAnsi="Arial" w:cs="Arial"/>
                <w:i/>
                <w:iCs/>
                <w:color w:val="0070C0"/>
                <w:sz w:val="18"/>
                <w:szCs w:val="18"/>
              </w:rPr>
            </w:pPr>
            <w:r>
              <w:rPr>
                <w:rFonts w:ascii="Arial" w:hAnsi="Arial" w:cs="Arial"/>
                <w:i/>
                <w:iCs/>
                <w:color w:val="0070C0"/>
                <w:sz w:val="18"/>
                <w:szCs w:val="18"/>
              </w:rPr>
              <w:t>35.9%</w:t>
            </w:r>
          </w:p>
        </w:tc>
      </w:tr>
    </w:tbl>
    <w:p w:rsidR="00593F7B" w:rsidRPr="00B35C81" w:rsidRDefault="00593F7B" w:rsidP="0089689A">
      <w:pPr>
        <w:spacing w:line="276" w:lineRule="auto"/>
        <w:rPr>
          <w:rFonts w:ascii="Arial" w:hAnsi="Arial" w:cs="Arial"/>
          <w:b/>
          <w:color w:val="0D2255"/>
          <w:sz w:val="16"/>
          <w:szCs w:val="16"/>
        </w:rPr>
      </w:pPr>
    </w:p>
    <w:p w:rsidR="001A5B1A" w:rsidRPr="007244A5" w:rsidRDefault="001A5B1A" w:rsidP="0089689A">
      <w:pPr>
        <w:spacing w:line="276" w:lineRule="auto"/>
        <w:rPr>
          <w:rFonts w:ascii="Arial" w:hAnsi="Arial" w:cs="Arial"/>
          <w:b/>
          <w:color w:val="0D2255"/>
          <w:sz w:val="20"/>
        </w:rPr>
        <w:sectPr w:rsidR="001A5B1A" w:rsidRPr="007244A5" w:rsidSect="00B7600D">
          <w:headerReference w:type="even" r:id="rId8"/>
          <w:headerReference w:type="default" r:id="rId9"/>
          <w:footerReference w:type="even" r:id="rId10"/>
          <w:footerReference w:type="default" r:id="rId11"/>
          <w:headerReference w:type="first" r:id="rId12"/>
          <w:footerReference w:type="first" r:id="rId13"/>
          <w:pgSz w:w="11906" w:h="16838"/>
          <w:pgMar w:top="828" w:right="1133" w:bottom="1134" w:left="1418" w:header="0" w:footer="397" w:gutter="0"/>
          <w:cols w:space="720" w:equalWidth="0">
            <w:col w:w="9355"/>
          </w:cols>
          <w:docGrid w:linePitch="360"/>
        </w:sectPr>
      </w:pPr>
      <w:r w:rsidRPr="0081561D">
        <w:rPr>
          <w:rFonts w:ascii="Arial" w:hAnsi="Arial" w:cs="Arial"/>
          <w:b/>
          <w:color w:val="0D2255"/>
          <w:sz w:val="20"/>
        </w:rPr>
        <w:t xml:space="preserve">Car </w:t>
      </w:r>
      <w:r w:rsidR="00593F7B">
        <w:rPr>
          <w:rFonts w:ascii="Arial" w:hAnsi="Arial" w:cs="Arial"/>
          <w:b/>
          <w:color w:val="0D2255"/>
          <w:sz w:val="20"/>
        </w:rPr>
        <w:t>manufacturing</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r>
      <w:r w:rsidR="00056FAB">
        <w:rPr>
          <w:rFonts w:ascii="Arial" w:hAnsi="Arial" w:cs="Arial"/>
          <w:b/>
          <w:color w:val="0D2255"/>
          <w:sz w:val="20"/>
        </w:rPr>
        <w:t xml:space="preserve"> </w:t>
      </w:r>
      <w:r w:rsidR="00593F7B">
        <w:rPr>
          <w:rFonts w:ascii="Arial" w:hAnsi="Arial" w:cs="Arial"/>
          <w:b/>
          <w:color w:val="0D2255"/>
          <w:sz w:val="20"/>
        </w:rPr>
        <w:t xml:space="preserve">    </w:t>
      </w:r>
      <w:r>
        <w:rPr>
          <w:rFonts w:ascii="Arial" w:hAnsi="Arial" w:cs="Arial"/>
          <w:b/>
          <w:color w:val="0D2255"/>
          <w:sz w:val="20"/>
        </w:rPr>
        <w:t xml:space="preserve">CV </w:t>
      </w:r>
      <w:r w:rsidR="00593F7B">
        <w:rPr>
          <w:rFonts w:ascii="Arial" w:hAnsi="Arial" w:cs="Arial"/>
          <w:b/>
          <w:color w:val="0D2255"/>
          <w:sz w:val="20"/>
        </w:rPr>
        <w:t xml:space="preserve">manufacturing </w:t>
      </w:r>
      <w:r>
        <w:rPr>
          <w:rFonts w:ascii="Arial" w:hAnsi="Arial" w:cs="Arial"/>
          <w:b/>
          <w:color w:val="0D2255"/>
          <w:sz w:val="20"/>
        </w:rPr>
        <w:t xml:space="preserve">rolling year total </w:t>
      </w:r>
      <w:r w:rsidR="00026A40" w:rsidRPr="00026A40">
        <w:rPr>
          <w:noProof/>
        </w:rPr>
        <w:t xml:space="preserve"> </w:t>
      </w:r>
      <w:r w:rsidR="00A96A47" w:rsidRPr="00A96A47">
        <w:rPr>
          <w:noProof/>
        </w:rPr>
        <w:drawing>
          <wp:inline distT="0" distB="0" distL="0" distR="0">
            <wp:extent cx="2886502" cy="2531659"/>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B22DD" w:rsidRPr="001B22DD">
        <w:rPr>
          <w:noProof/>
        </w:rPr>
        <w:t xml:space="preserve"> </w:t>
      </w:r>
      <w:r w:rsidR="00A96A47" w:rsidRPr="00A96A47">
        <w:rPr>
          <w:noProof/>
        </w:rPr>
        <w:drawing>
          <wp:inline distT="0" distB="0" distL="0" distR="0">
            <wp:extent cx="2770496" cy="252483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6BC5" w:rsidRPr="00D33CE4" w:rsidRDefault="00176BC5" w:rsidP="00593F7B">
      <w:pPr>
        <w:tabs>
          <w:tab w:val="left" w:pos="2016"/>
        </w:tabs>
        <w:rPr>
          <w:rFonts w:ascii="Arial" w:hAnsi="Arial" w:cs="Arial"/>
          <w:sz w:val="2"/>
          <w:szCs w:val="2"/>
        </w:rPr>
      </w:pPr>
    </w:p>
    <w:sectPr w:rsidR="00176BC5" w:rsidRPr="00D33CE4" w:rsidSect="00D7536D">
      <w:headerReference w:type="default" r:id="rId16"/>
      <w:footerReference w:type="default" r:id="rId17"/>
      <w:type w:val="continuous"/>
      <w:pgSz w:w="11906" w:h="16838" w:code="9"/>
      <w:pgMar w:top="-249" w:right="284" w:bottom="851" w:left="1418" w:header="23" w:footer="160"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13" w:rsidRDefault="00FF1C13">
      <w:r>
        <w:separator/>
      </w:r>
    </w:p>
  </w:endnote>
  <w:endnote w:type="continuationSeparator" w:id="0">
    <w:p w:rsidR="00FF1C13" w:rsidRDefault="00FF1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A7" w:rsidRDefault="005A6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7E" w:rsidRDefault="00041F7E" w:rsidP="0098763B">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041F7E" w:rsidRPr="0098763B" w:rsidRDefault="00041F7E" w:rsidP="0098763B">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£49 billion turnover and £10 billion value added. With over 700,000 jobs dependent on the industry, it accounts for more than 10% of total exports and invests </w:t>
    </w:r>
    <w:r w:rsidR="005A62A7">
      <w:rPr>
        <w:rFonts w:ascii="Arial" w:hAnsi="Arial" w:cs="Arial"/>
        <w:b w:val="0"/>
        <w:color w:val="1074CB"/>
        <w:sz w:val="16"/>
        <w:szCs w:val="16"/>
      </w:rPr>
      <w:t>£</w:t>
    </w:r>
    <w:r w:rsidRPr="0098763B">
      <w:rPr>
        <w:rFonts w:ascii="Arial" w:hAnsi="Arial" w:cs="Arial"/>
        <w:b w:val="0"/>
        <w:color w:val="1074CB"/>
        <w:sz w:val="16"/>
        <w:szCs w:val="16"/>
      </w:rPr>
      <w:t xml:space="preserve">1.3 billion each year in automotive R&amp;D. For more details, see </w:t>
    </w:r>
    <w:r w:rsidR="00B7600D">
      <w:rPr>
        <w:rFonts w:ascii="Arial" w:hAnsi="Arial" w:cs="Arial"/>
        <w:b w:val="0"/>
        <w:color w:val="1074CB"/>
        <w:sz w:val="16"/>
        <w:szCs w:val="16"/>
      </w:rPr>
      <w:t xml:space="preserve">SMMT’s </w:t>
    </w:r>
    <w:r w:rsidRPr="0098763B">
      <w:rPr>
        <w:rFonts w:ascii="Arial" w:hAnsi="Arial" w:cs="Arial"/>
        <w:b w:val="0"/>
        <w:i/>
        <w:color w:val="1074CB"/>
        <w:sz w:val="16"/>
        <w:szCs w:val="16"/>
      </w:rPr>
      <w:t>Motor Industry Facts</w:t>
    </w:r>
    <w:r w:rsidRPr="0098763B">
      <w:rPr>
        <w:rFonts w:ascii="Arial" w:hAnsi="Arial" w:cs="Arial"/>
        <w:b w:val="0"/>
        <w:color w:val="1074CB"/>
        <w:sz w:val="16"/>
        <w:szCs w:val="16"/>
      </w:rPr>
      <w:t xml:space="preserve"> </w:t>
    </w:r>
    <w:r w:rsidR="00B7600D">
      <w:rPr>
        <w:rFonts w:ascii="Arial" w:hAnsi="Arial" w:cs="Arial"/>
        <w:b w:val="0"/>
        <w:color w:val="1074CB"/>
        <w:sz w:val="16"/>
        <w:szCs w:val="16"/>
      </w:rPr>
      <w:t xml:space="preserve">publication </w:t>
    </w:r>
    <w:r w:rsidRPr="0098763B">
      <w:rPr>
        <w:rFonts w:ascii="Arial" w:hAnsi="Arial" w:cs="Arial"/>
        <w:b w:val="0"/>
        <w:color w:val="1074CB"/>
        <w:sz w:val="16"/>
        <w:szCs w:val="16"/>
      </w:rPr>
      <w:t xml:space="preserve">at </w:t>
    </w:r>
    <w:hyperlink r:id="rId1" w:history="1">
      <w:r w:rsidRPr="0098763B">
        <w:rPr>
          <w:rStyle w:val="Hyperlink"/>
          <w:rFonts w:ascii="Arial" w:hAnsi="Arial" w:cs="Arial"/>
          <w:b w:val="0"/>
          <w:sz w:val="16"/>
          <w:szCs w:val="16"/>
        </w:rPr>
        <w:t>www.smmt.co.uk/publications</w:t>
      </w:r>
    </w:hyperlink>
  </w:p>
  <w:p w:rsidR="00041F7E" w:rsidRPr="00593F7B" w:rsidRDefault="00041F7E" w:rsidP="0098763B">
    <w:pPr>
      <w:pStyle w:val="Footer"/>
      <w:rPr>
        <w:rFonts w:ascii="Arial" w:hAnsi="Arial" w:cs="Arial"/>
        <w:sz w:val="16"/>
        <w:szCs w:val="16"/>
      </w:rPr>
    </w:pPr>
  </w:p>
  <w:p w:rsidR="00041F7E" w:rsidRDefault="00041F7E" w:rsidP="0098763B">
    <w:pPr>
      <w:rPr>
        <w:rFonts w:ascii="Arial" w:hAnsi="Arial" w:cs="Arial"/>
        <w:b/>
        <w:color w:val="1074CB"/>
        <w:sz w:val="16"/>
        <w:szCs w:val="16"/>
      </w:rPr>
    </w:pPr>
    <w:r>
      <w:rPr>
        <w:rFonts w:ascii="Arial" w:hAnsi="Arial" w:cs="Arial"/>
        <w:b/>
        <w:color w:val="1074CB"/>
        <w:sz w:val="16"/>
        <w:szCs w:val="16"/>
      </w:rPr>
      <w:t>Media contacts:</w:t>
    </w:r>
  </w:p>
  <w:p w:rsidR="00041F7E" w:rsidRDefault="00041F7E" w:rsidP="0098763B">
    <w:r>
      <w:rPr>
        <w:rFonts w:ascii="Arial" w:hAnsi="Arial" w:cs="Arial"/>
        <w:color w:val="1074CB"/>
        <w:sz w:val="16"/>
        <w:szCs w:val="16"/>
      </w:rPr>
      <w:t>Dan Montefusco</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2" w:history="1">
      <w:r w:rsidRPr="00001748">
        <w:rPr>
          <w:rStyle w:val="Hyperlink"/>
          <w:rFonts w:ascii="Arial" w:hAnsi="Arial" w:cs="Arial"/>
          <w:sz w:val="16"/>
          <w:szCs w:val="16"/>
        </w:rPr>
        <w:t>dmontefusco@smmt.co.uk</w:t>
      </w:r>
    </w:hyperlink>
  </w:p>
  <w:p w:rsidR="00041F7E" w:rsidRDefault="00041F7E" w:rsidP="0098763B">
    <w:pPr>
      <w:rPr>
        <w:rFonts w:ascii="Arial" w:hAnsi="Arial" w:cs="Arial"/>
        <w:color w:val="1074CB"/>
        <w:sz w:val="16"/>
        <w:szCs w:val="16"/>
      </w:rPr>
    </w:pPr>
    <w:r w:rsidRPr="00F120A4">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020 7344 9263 </w:t>
    </w:r>
    <w:r>
      <w:rPr>
        <w:rFonts w:ascii="Arial" w:hAnsi="Arial" w:cs="Arial"/>
        <w:color w:val="1074CB"/>
        <w:sz w:val="16"/>
        <w:szCs w:val="16"/>
      </w:rPr>
      <w:tab/>
    </w:r>
    <w:r>
      <w:rPr>
        <w:rFonts w:ascii="Arial" w:hAnsi="Arial" w:cs="Arial"/>
        <w:color w:val="1074CB"/>
        <w:sz w:val="16"/>
        <w:szCs w:val="16"/>
      </w:rPr>
      <w:tab/>
    </w:r>
    <w:hyperlink r:id="rId3" w:history="1">
      <w:r w:rsidRPr="00ED2502">
        <w:rPr>
          <w:rStyle w:val="Hyperlink"/>
          <w:rFonts w:ascii="Arial" w:hAnsi="Arial" w:cs="Arial"/>
          <w:sz w:val="16"/>
          <w:szCs w:val="16"/>
        </w:rPr>
        <w:t>jvisscher@smmt.co.uk</w:t>
      </w:r>
    </w:hyperlink>
  </w:p>
  <w:p w:rsidR="00041F7E" w:rsidRDefault="00041F7E" w:rsidP="00B7600D">
    <w:r>
      <w:rPr>
        <w:rFonts w:ascii="Arial" w:hAnsi="Arial" w:cs="Arial"/>
        <w:color w:val="1074CB"/>
        <w:sz w:val="16"/>
        <w:szCs w:val="16"/>
      </w:rPr>
      <w:t>Nikki Rooke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Pr>
          <w:rStyle w:val="Hyperlink"/>
          <w:rFonts w:ascii="Arial" w:hAnsi="Arial" w:cs="Arial"/>
          <w:sz w:val="16"/>
          <w:szCs w:val="16"/>
        </w:rPr>
        <w:t>nrooke@smmt.co.uk</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A7" w:rsidRDefault="005A62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7E" w:rsidRPr="00E450D6" w:rsidRDefault="00041F7E" w:rsidP="00B21E34">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041F7E" w:rsidRPr="00F26FC5" w:rsidRDefault="00041F7E" w:rsidP="00B21E34">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041F7E" w:rsidRPr="00AD730E" w:rsidRDefault="00041F7E" w:rsidP="00B21E34">
    <w:pPr>
      <w:pStyle w:val="BodyText3"/>
      <w:ind w:right="710"/>
      <w:rPr>
        <w:rFonts w:ascii="Arial" w:hAnsi="Arial" w:cs="Arial"/>
        <w:color w:val="1074CB"/>
        <w:sz w:val="12"/>
        <w:szCs w:val="12"/>
      </w:rPr>
    </w:pPr>
  </w:p>
  <w:p w:rsidR="00041F7E" w:rsidRPr="00333348" w:rsidRDefault="00041F7E" w:rsidP="00B21E34">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041F7E" w:rsidRPr="00333348" w:rsidRDefault="00041F7E" w:rsidP="00B21E34">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041F7E" w:rsidRDefault="00041F7E" w:rsidP="00B21E34">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041F7E" w:rsidRPr="00934017" w:rsidRDefault="00041F7E" w:rsidP="00B21E34">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041F7E" w:rsidRDefault="00041F7E" w:rsidP="00B21E34">
    <w:pPr>
      <w:pStyle w:val="Footer"/>
      <w:ind w:right="-1"/>
      <w:jc w:val="right"/>
    </w:pPr>
  </w:p>
  <w:p w:rsidR="00041F7E" w:rsidRPr="00E450D6" w:rsidRDefault="00041F7E" w:rsidP="00E82E51">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041F7E" w:rsidRPr="00F26FC5" w:rsidRDefault="00041F7E" w:rsidP="00E82E51">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5"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041F7E" w:rsidRPr="00AD730E" w:rsidRDefault="00041F7E" w:rsidP="00E82E51">
    <w:pPr>
      <w:pStyle w:val="BodyText3"/>
      <w:ind w:right="710"/>
      <w:rPr>
        <w:rFonts w:ascii="Arial" w:hAnsi="Arial" w:cs="Arial"/>
        <w:color w:val="1074CB"/>
        <w:sz w:val="12"/>
        <w:szCs w:val="12"/>
      </w:rPr>
    </w:pPr>
  </w:p>
  <w:p w:rsidR="00041F7E" w:rsidRPr="00333348" w:rsidRDefault="00041F7E" w:rsidP="00E82E51">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041F7E" w:rsidRPr="00333348" w:rsidRDefault="00041F7E" w:rsidP="00E82E51">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6"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041F7E" w:rsidRDefault="00041F7E" w:rsidP="00E82E51">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7"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041F7E" w:rsidRPr="00934017" w:rsidRDefault="00041F7E" w:rsidP="00E82E51">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8"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041F7E" w:rsidRDefault="00041F7E">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13" w:rsidRDefault="00FF1C13">
      <w:r>
        <w:separator/>
      </w:r>
    </w:p>
  </w:footnote>
  <w:footnote w:type="continuationSeparator" w:id="0">
    <w:p w:rsidR="00FF1C13" w:rsidRDefault="00FF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A7" w:rsidRDefault="005A6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7E" w:rsidRDefault="00041F7E" w:rsidP="003517A2">
    <w:pPr>
      <w:pStyle w:val="Header"/>
      <w:jc w:val="right"/>
    </w:pPr>
    <w:r w:rsidRPr="0040241C">
      <w:rPr>
        <w:noProof/>
      </w:rPr>
      <w:drawing>
        <wp:anchor distT="0" distB="0" distL="114300" distR="114300" simplePos="0" relativeHeight="251660288"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041F7E" w:rsidRDefault="00041F7E" w:rsidP="001A5B1A">
    <w:pPr>
      <w:rPr>
        <w:rStyle w:val="Strong"/>
        <w:rFonts w:ascii="Arial" w:hAnsi="Arial" w:cs="Arial"/>
        <w:color w:val="1074CB"/>
        <w:sz w:val="20"/>
      </w:rPr>
    </w:pPr>
    <w:r>
      <w:rPr>
        <w:rStyle w:val="Strong"/>
        <w:rFonts w:ascii="Arial" w:hAnsi="Arial" w:cs="Arial"/>
        <w:color w:val="1074CB"/>
        <w:sz w:val="20"/>
      </w:rPr>
      <w:t xml:space="preserve">                                                                                   </w:t>
    </w:r>
  </w:p>
  <w:p w:rsidR="00041F7E" w:rsidRDefault="00041F7E" w:rsidP="001A5B1A">
    <w:pPr>
      <w:rPr>
        <w:rStyle w:val="Strong"/>
        <w:rFonts w:ascii="Arial" w:hAnsi="Arial" w:cs="Arial"/>
        <w:color w:val="1074CB"/>
        <w:sz w:val="20"/>
      </w:rPr>
    </w:pPr>
  </w:p>
  <w:p w:rsidR="00041F7E" w:rsidRDefault="00041F7E" w:rsidP="001A5B1A">
    <w:pPr>
      <w:rPr>
        <w:rStyle w:val="Strong"/>
        <w:rFonts w:ascii="Arial" w:hAnsi="Arial" w:cs="Arial"/>
        <w:color w:val="1074CB"/>
        <w:sz w:val="20"/>
      </w:rPr>
    </w:pPr>
  </w:p>
  <w:p w:rsidR="00041F7E" w:rsidRDefault="00041F7E" w:rsidP="001A5B1A">
    <w:pPr>
      <w:rPr>
        <w:rStyle w:val="Strong"/>
        <w:rFonts w:ascii="Arial" w:hAnsi="Arial" w:cs="Arial"/>
        <w:color w:val="1074CB"/>
        <w:sz w:val="20"/>
      </w:rPr>
    </w:pPr>
  </w:p>
  <w:p w:rsidR="00041F7E" w:rsidRDefault="00041F7E" w:rsidP="005C2E16">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041F7E" w:rsidRPr="001A5B1A" w:rsidRDefault="00041F7E" w:rsidP="001A5B1A">
    <w:pPr>
      <w:rPr>
        <w:rFonts w:ascii="Arial" w:hAnsi="Arial" w:cs="Arial"/>
        <w:b/>
        <w:bCs/>
        <w:color w:val="1074C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A7" w:rsidRDefault="005A62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7E" w:rsidRPr="003517A2" w:rsidRDefault="00041F7E" w:rsidP="007244A5">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52929">
      <o:colormru v:ext="edit" colors="#1074cb"/>
      <o:colormenu v:ext="edit" strokecolor="#1074cb"/>
    </o:shapedefaults>
  </w:hdrShapeDefaults>
  <w:footnotePr>
    <w:footnote w:id="-1"/>
    <w:footnote w:id="0"/>
  </w:footnotePr>
  <w:endnotePr>
    <w:endnote w:id="-1"/>
    <w:endnote w:id="0"/>
  </w:endnotePr>
  <w:compat/>
  <w:rsids>
    <w:rsidRoot w:val="005F33F2"/>
    <w:rsid w:val="00005D31"/>
    <w:rsid w:val="00026A40"/>
    <w:rsid w:val="00027809"/>
    <w:rsid w:val="00027C48"/>
    <w:rsid w:val="0003260E"/>
    <w:rsid w:val="00037D4E"/>
    <w:rsid w:val="00041F7E"/>
    <w:rsid w:val="00050C31"/>
    <w:rsid w:val="00056FAB"/>
    <w:rsid w:val="00075678"/>
    <w:rsid w:val="0007652F"/>
    <w:rsid w:val="00076ACE"/>
    <w:rsid w:val="000805B0"/>
    <w:rsid w:val="00090CA0"/>
    <w:rsid w:val="00092A9D"/>
    <w:rsid w:val="000A65A8"/>
    <w:rsid w:val="000B0F65"/>
    <w:rsid w:val="000B7B11"/>
    <w:rsid w:val="000C285D"/>
    <w:rsid w:val="000C2FE1"/>
    <w:rsid w:val="000C5CE4"/>
    <w:rsid w:val="000F1208"/>
    <w:rsid w:val="000F7BA1"/>
    <w:rsid w:val="001101CE"/>
    <w:rsid w:val="00111673"/>
    <w:rsid w:val="00117956"/>
    <w:rsid w:val="001269F3"/>
    <w:rsid w:val="0013028B"/>
    <w:rsid w:val="00140FAB"/>
    <w:rsid w:val="00144A17"/>
    <w:rsid w:val="00176BC5"/>
    <w:rsid w:val="00180BCF"/>
    <w:rsid w:val="00185340"/>
    <w:rsid w:val="001944FF"/>
    <w:rsid w:val="00194814"/>
    <w:rsid w:val="001A5B1A"/>
    <w:rsid w:val="001B22DD"/>
    <w:rsid w:val="001C0A2D"/>
    <w:rsid w:val="001C2867"/>
    <w:rsid w:val="001C2DA8"/>
    <w:rsid w:val="001C489B"/>
    <w:rsid w:val="001C6B5A"/>
    <w:rsid w:val="001C7513"/>
    <w:rsid w:val="001C7D62"/>
    <w:rsid w:val="001D6FA4"/>
    <w:rsid w:val="001E063D"/>
    <w:rsid w:val="001F61B9"/>
    <w:rsid w:val="001F63ED"/>
    <w:rsid w:val="001F6C3E"/>
    <w:rsid w:val="00204E5F"/>
    <w:rsid w:val="00207F59"/>
    <w:rsid w:val="00212FE4"/>
    <w:rsid w:val="002178E0"/>
    <w:rsid w:val="00226668"/>
    <w:rsid w:val="002279AF"/>
    <w:rsid w:val="00232792"/>
    <w:rsid w:val="002426FE"/>
    <w:rsid w:val="00245D1D"/>
    <w:rsid w:val="00247046"/>
    <w:rsid w:val="00255300"/>
    <w:rsid w:val="00256802"/>
    <w:rsid w:val="00256DBE"/>
    <w:rsid w:val="002668F4"/>
    <w:rsid w:val="00271C41"/>
    <w:rsid w:val="0027504A"/>
    <w:rsid w:val="00282060"/>
    <w:rsid w:val="002831AE"/>
    <w:rsid w:val="00290298"/>
    <w:rsid w:val="002A0E79"/>
    <w:rsid w:val="002B5AA3"/>
    <w:rsid w:val="002C28C5"/>
    <w:rsid w:val="002C3D6F"/>
    <w:rsid w:val="002C5C01"/>
    <w:rsid w:val="002D2867"/>
    <w:rsid w:val="002D2C9B"/>
    <w:rsid w:val="002D7ED3"/>
    <w:rsid w:val="002E1576"/>
    <w:rsid w:val="00317226"/>
    <w:rsid w:val="00320BCA"/>
    <w:rsid w:val="00321043"/>
    <w:rsid w:val="00323E45"/>
    <w:rsid w:val="003316E0"/>
    <w:rsid w:val="00331733"/>
    <w:rsid w:val="00333348"/>
    <w:rsid w:val="003413C6"/>
    <w:rsid w:val="003427FE"/>
    <w:rsid w:val="003510EF"/>
    <w:rsid w:val="003517A2"/>
    <w:rsid w:val="003558AE"/>
    <w:rsid w:val="00360A7A"/>
    <w:rsid w:val="00361103"/>
    <w:rsid w:val="00366EEE"/>
    <w:rsid w:val="0036791C"/>
    <w:rsid w:val="003774F6"/>
    <w:rsid w:val="003833C4"/>
    <w:rsid w:val="00385C83"/>
    <w:rsid w:val="0039211B"/>
    <w:rsid w:val="00392B45"/>
    <w:rsid w:val="003C36E0"/>
    <w:rsid w:val="003C7BFB"/>
    <w:rsid w:val="003D161E"/>
    <w:rsid w:val="003E0EDD"/>
    <w:rsid w:val="003E4D56"/>
    <w:rsid w:val="003F1036"/>
    <w:rsid w:val="003F5418"/>
    <w:rsid w:val="003F59D3"/>
    <w:rsid w:val="0040178B"/>
    <w:rsid w:val="0040241C"/>
    <w:rsid w:val="00416F56"/>
    <w:rsid w:val="00425C68"/>
    <w:rsid w:val="00431020"/>
    <w:rsid w:val="00433212"/>
    <w:rsid w:val="0043655B"/>
    <w:rsid w:val="00436759"/>
    <w:rsid w:val="00440B3B"/>
    <w:rsid w:val="00447343"/>
    <w:rsid w:val="004504E9"/>
    <w:rsid w:val="00450563"/>
    <w:rsid w:val="00451144"/>
    <w:rsid w:val="0047461A"/>
    <w:rsid w:val="004863DC"/>
    <w:rsid w:val="00487D67"/>
    <w:rsid w:val="004A6461"/>
    <w:rsid w:val="004A686A"/>
    <w:rsid w:val="004A7C46"/>
    <w:rsid w:val="004B3772"/>
    <w:rsid w:val="004B4ECE"/>
    <w:rsid w:val="004B56E9"/>
    <w:rsid w:val="004C2831"/>
    <w:rsid w:val="004C6D62"/>
    <w:rsid w:val="004D6C03"/>
    <w:rsid w:val="004F012E"/>
    <w:rsid w:val="004F2308"/>
    <w:rsid w:val="005056AA"/>
    <w:rsid w:val="00506954"/>
    <w:rsid w:val="005112C5"/>
    <w:rsid w:val="00523379"/>
    <w:rsid w:val="00523692"/>
    <w:rsid w:val="0053668F"/>
    <w:rsid w:val="00536818"/>
    <w:rsid w:val="00537ABA"/>
    <w:rsid w:val="005415C0"/>
    <w:rsid w:val="005425EB"/>
    <w:rsid w:val="0054563A"/>
    <w:rsid w:val="0054725E"/>
    <w:rsid w:val="00550518"/>
    <w:rsid w:val="00553FCD"/>
    <w:rsid w:val="00561BB9"/>
    <w:rsid w:val="00573FCC"/>
    <w:rsid w:val="0057404C"/>
    <w:rsid w:val="00575D00"/>
    <w:rsid w:val="00577FD9"/>
    <w:rsid w:val="0058382F"/>
    <w:rsid w:val="00583956"/>
    <w:rsid w:val="00590814"/>
    <w:rsid w:val="00593F7B"/>
    <w:rsid w:val="00596682"/>
    <w:rsid w:val="00596CA2"/>
    <w:rsid w:val="005A62A7"/>
    <w:rsid w:val="005C0FEC"/>
    <w:rsid w:val="005C2E16"/>
    <w:rsid w:val="005C594A"/>
    <w:rsid w:val="005C5B7A"/>
    <w:rsid w:val="005C7AD6"/>
    <w:rsid w:val="005D00EB"/>
    <w:rsid w:val="005D1F4D"/>
    <w:rsid w:val="005D22CA"/>
    <w:rsid w:val="005E5D6E"/>
    <w:rsid w:val="005F218C"/>
    <w:rsid w:val="005F33F2"/>
    <w:rsid w:val="005F40D2"/>
    <w:rsid w:val="006048B1"/>
    <w:rsid w:val="00620FAC"/>
    <w:rsid w:val="00624DF8"/>
    <w:rsid w:val="00626BE0"/>
    <w:rsid w:val="00627CAE"/>
    <w:rsid w:val="00634E11"/>
    <w:rsid w:val="006363C1"/>
    <w:rsid w:val="00636581"/>
    <w:rsid w:val="0063711E"/>
    <w:rsid w:val="0064439B"/>
    <w:rsid w:val="00650B54"/>
    <w:rsid w:val="00651ACB"/>
    <w:rsid w:val="006630EE"/>
    <w:rsid w:val="0066453D"/>
    <w:rsid w:val="00673F85"/>
    <w:rsid w:val="0067660C"/>
    <w:rsid w:val="00680092"/>
    <w:rsid w:val="006808F4"/>
    <w:rsid w:val="00680E78"/>
    <w:rsid w:val="006875B6"/>
    <w:rsid w:val="00687D02"/>
    <w:rsid w:val="00695DD4"/>
    <w:rsid w:val="006A46AA"/>
    <w:rsid w:val="006B390A"/>
    <w:rsid w:val="006C5808"/>
    <w:rsid w:val="006D33BD"/>
    <w:rsid w:val="006D4894"/>
    <w:rsid w:val="006D5EF5"/>
    <w:rsid w:val="006D76BB"/>
    <w:rsid w:val="006E2E38"/>
    <w:rsid w:val="00705657"/>
    <w:rsid w:val="007071AF"/>
    <w:rsid w:val="00707247"/>
    <w:rsid w:val="00715B26"/>
    <w:rsid w:val="007244A5"/>
    <w:rsid w:val="00727E31"/>
    <w:rsid w:val="00732C2B"/>
    <w:rsid w:val="0073476E"/>
    <w:rsid w:val="00736331"/>
    <w:rsid w:val="00743F57"/>
    <w:rsid w:val="00756060"/>
    <w:rsid w:val="00774933"/>
    <w:rsid w:val="0077559D"/>
    <w:rsid w:val="00777063"/>
    <w:rsid w:val="00781FB5"/>
    <w:rsid w:val="0078700B"/>
    <w:rsid w:val="007874FF"/>
    <w:rsid w:val="00791579"/>
    <w:rsid w:val="007928D0"/>
    <w:rsid w:val="007A4F88"/>
    <w:rsid w:val="007B2BC8"/>
    <w:rsid w:val="007B5441"/>
    <w:rsid w:val="007C10F2"/>
    <w:rsid w:val="007C2DC3"/>
    <w:rsid w:val="007C5357"/>
    <w:rsid w:val="007C5E71"/>
    <w:rsid w:val="007C79C4"/>
    <w:rsid w:val="007D224C"/>
    <w:rsid w:val="007D3255"/>
    <w:rsid w:val="007D366E"/>
    <w:rsid w:val="007D6CB9"/>
    <w:rsid w:val="007E1945"/>
    <w:rsid w:val="007E5459"/>
    <w:rsid w:val="007E7289"/>
    <w:rsid w:val="007F0CD1"/>
    <w:rsid w:val="007F5CAD"/>
    <w:rsid w:val="00800947"/>
    <w:rsid w:val="008025E1"/>
    <w:rsid w:val="008120B3"/>
    <w:rsid w:val="0081561D"/>
    <w:rsid w:val="00815BF4"/>
    <w:rsid w:val="0082035E"/>
    <w:rsid w:val="00830974"/>
    <w:rsid w:val="008321E6"/>
    <w:rsid w:val="0083241B"/>
    <w:rsid w:val="00856801"/>
    <w:rsid w:val="0086468E"/>
    <w:rsid w:val="008661ED"/>
    <w:rsid w:val="00870427"/>
    <w:rsid w:val="00886036"/>
    <w:rsid w:val="00892205"/>
    <w:rsid w:val="00893B13"/>
    <w:rsid w:val="00894317"/>
    <w:rsid w:val="0089584A"/>
    <w:rsid w:val="0089689A"/>
    <w:rsid w:val="008A0998"/>
    <w:rsid w:val="008A1908"/>
    <w:rsid w:val="008B0EEB"/>
    <w:rsid w:val="008B17F2"/>
    <w:rsid w:val="008B233B"/>
    <w:rsid w:val="008B3332"/>
    <w:rsid w:val="008B75F2"/>
    <w:rsid w:val="008C0453"/>
    <w:rsid w:val="008C3204"/>
    <w:rsid w:val="008C4226"/>
    <w:rsid w:val="008C4FCE"/>
    <w:rsid w:val="008E0467"/>
    <w:rsid w:val="008E05EB"/>
    <w:rsid w:val="008E2C32"/>
    <w:rsid w:val="008E5D97"/>
    <w:rsid w:val="00902AC0"/>
    <w:rsid w:val="009074DA"/>
    <w:rsid w:val="0091684C"/>
    <w:rsid w:val="00922499"/>
    <w:rsid w:val="009334DB"/>
    <w:rsid w:val="00934017"/>
    <w:rsid w:val="009368E1"/>
    <w:rsid w:val="009409AE"/>
    <w:rsid w:val="00942D0B"/>
    <w:rsid w:val="00954928"/>
    <w:rsid w:val="00955BBC"/>
    <w:rsid w:val="00955F85"/>
    <w:rsid w:val="0096575D"/>
    <w:rsid w:val="009670F8"/>
    <w:rsid w:val="00971BBC"/>
    <w:rsid w:val="00973FE5"/>
    <w:rsid w:val="0097722A"/>
    <w:rsid w:val="00985B3D"/>
    <w:rsid w:val="009864CF"/>
    <w:rsid w:val="0098763B"/>
    <w:rsid w:val="00991B0F"/>
    <w:rsid w:val="0099277F"/>
    <w:rsid w:val="00992B11"/>
    <w:rsid w:val="009936BA"/>
    <w:rsid w:val="0099479C"/>
    <w:rsid w:val="009A0664"/>
    <w:rsid w:val="009A0897"/>
    <w:rsid w:val="009B4633"/>
    <w:rsid w:val="009C6850"/>
    <w:rsid w:val="009C7E1E"/>
    <w:rsid w:val="009D652F"/>
    <w:rsid w:val="009D77B5"/>
    <w:rsid w:val="009E368E"/>
    <w:rsid w:val="009E4728"/>
    <w:rsid w:val="009E7466"/>
    <w:rsid w:val="00A02FA3"/>
    <w:rsid w:val="00A152E9"/>
    <w:rsid w:val="00A17635"/>
    <w:rsid w:val="00A23D4A"/>
    <w:rsid w:val="00A33D63"/>
    <w:rsid w:val="00A3539C"/>
    <w:rsid w:val="00A40FA6"/>
    <w:rsid w:val="00A46F49"/>
    <w:rsid w:val="00A50B89"/>
    <w:rsid w:val="00A55574"/>
    <w:rsid w:val="00A61DB9"/>
    <w:rsid w:val="00A62DC3"/>
    <w:rsid w:val="00A65DF5"/>
    <w:rsid w:val="00A669F3"/>
    <w:rsid w:val="00A66DE9"/>
    <w:rsid w:val="00A721B6"/>
    <w:rsid w:val="00A73083"/>
    <w:rsid w:val="00A739D3"/>
    <w:rsid w:val="00A74D8D"/>
    <w:rsid w:val="00A76708"/>
    <w:rsid w:val="00A7791D"/>
    <w:rsid w:val="00A8507D"/>
    <w:rsid w:val="00A91D88"/>
    <w:rsid w:val="00A9297A"/>
    <w:rsid w:val="00A96A47"/>
    <w:rsid w:val="00AA088B"/>
    <w:rsid w:val="00AA5537"/>
    <w:rsid w:val="00AB158A"/>
    <w:rsid w:val="00AB1AD8"/>
    <w:rsid w:val="00AB7E93"/>
    <w:rsid w:val="00AC203E"/>
    <w:rsid w:val="00AC29A4"/>
    <w:rsid w:val="00AC3A0F"/>
    <w:rsid w:val="00AC512F"/>
    <w:rsid w:val="00AD56C6"/>
    <w:rsid w:val="00AD730E"/>
    <w:rsid w:val="00AE0A27"/>
    <w:rsid w:val="00AE0CAF"/>
    <w:rsid w:val="00AE2F3E"/>
    <w:rsid w:val="00AE3014"/>
    <w:rsid w:val="00AF0BD8"/>
    <w:rsid w:val="00AF2308"/>
    <w:rsid w:val="00B024A9"/>
    <w:rsid w:val="00B036DF"/>
    <w:rsid w:val="00B03B9C"/>
    <w:rsid w:val="00B060C5"/>
    <w:rsid w:val="00B1187E"/>
    <w:rsid w:val="00B17BB5"/>
    <w:rsid w:val="00B21E34"/>
    <w:rsid w:val="00B249F4"/>
    <w:rsid w:val="00B25EEA"/>
    <w:rsid w:val="00B31AFF"/>
    <w:rsid w:val="00B3285A"/>
    <w:rsid w:val="00B338E6"/>
    <w:rsid w:val="00B35C81"/>
    <w:rsid w:val="00B423FF"/>
    <w:rsid w:val="00B4519F"/>
    <w:rsid w:val="00B512B2"/>
    <w:rsid w:val="00B5230B"/>
    <w:rsid w:val="00B539D9"/>
    <w:rsid w:val="00B57176"/>
    <w:rsid w:val="00B57D89"/>
    <w:rsid w:val="00B65FCC"/>
    <w:rsid w:val="00B7600D"/>
    <w:rsid w:val="00B856B8"/>
    <w:rsid w:val="00B91CE9"/>
    <w:rsid w:val="00B9297E"/>
    <w:rsid w:val="00B961FF"/>
    <w:rsid w:val="00B97946"/>
    <w:rsid w:val="00BA7796"/>
    <w:rsid w:val="00BE1842"/>
    <w:rsid w:val="00BE1E92"/>
    <w:rsid w:val="00BE2914"/>
    <w:rsid w:val="00C00D93"/>
    <w:rsid w:val="00C05E17"/>
    <w:rsid w:val="00C133C6"/>
    <w:rsid w:val="00C138A9"/>
    <w:rsid w:val="00C27736"/>
    <w:rsid w:val="00C27801"/>
    <w:rsid w:val="00C34440"/>
    <w:rsid w:val="00C35196"/>
    <w:rsid w:val="00C42C17"/>
    <w:rsid w:val="00C44552"/>
    <w:rsid w:val="00C6464E"/>
    <w:rsid w:val="00C64D75"/>
    <w:rsid w:val="00C6659E"/>
    <w:rsid w:val="00C71942"/>
    <w:rsid w:val="00C76A66"/>
    <w:rsid w:val="00C8081D"/>
    <w:rsid w:val="00C8444D"/>
    <w:rsid w:val="00C932B2"/>
    <w:rsid w:val="00C933FF"/>
    <w:rsid w:val="00CA41FF"/>
    <w:rsid w:val="00CA5948"/>
    <w:rsid w:val="00CB1884"/>
    <w:rsid w:val="00CB5253"/>
    <w:rsid w:val="00CC0898"/>
    <w:rsid w:val="00CC6370"/>
    <w:rsid w:val="00CD5FD1"/>
    <w:rsid w:val="00CD6E12"/>
    <w:rsid w:val="00CE2717"/>
    <w:rsid w:val="00CE6B3D"/>
    <w:rsid w:val="00CF0AB8"/>
    <w:rsid w:val="00CF22E6"/>
    <w:rsid w:val="00D00F43"/>
    <w:rsid w:val="00D028B7"/>
    <w:rsid w:val="00D06B61"/>
    <w:rsid w:val="00D13496"/>
    <w:rsid w:val="00D166BE"/>
    <w:rsid w:val="00D2461C"/>
    <w:rsid w:val="00D33CE4"/>
    <w:rsid w:val="00D40639"/>
    <w:rsid w:val="00D42195"/>
    <w:rsid w:val="00D42D34"/>
    <w:rsid w:val="00D440DD"/>
    <w:rsid w:val="00D46D8B"/>
    <w:rsid w:val="00D502CB"/>
    <w:rsid w:val="00D512F1"/>
    <w:rsid w:val="00D51FF6"/>
    <w:rsid w:val="00D63CE1"/>
    <w:rsid w:val="00D64425"/>
    <w:rsid w:val="00D7536D"/>
    <w:rsid w:val="00D83C77"/>
    <w:rsid w:val="00D85412"/>
    <w:rsid w:val="00DA18D5"/>
    <w:rsid w:val="00DA6323"/>
    <w:rsid w:val="00DB03A7"/>
    <w:rsid w:val="00DB1C97"/>
    <w:rsid w:val="00DB4E97"/>
    <w:rsid w:val="00DC4DAD"/>
    <w:rsid w:val="00DC5456"/>
    <w:rsid w:val="00DC6D85"/>
    <w:rsid w:val="00DF5009"/>
    <w:rsid w:val="00E02E79"/>
    <w:rsid w:val="00E07678"/>
    <w:rsid w:val="00E1075B"/>
    <w:rsid w:val="00E14379"/>
    <w:rsid w:val="00E22985"/>
    <w:rsid w:val="00E23AF3"/>
    <w:rsid w:val="00E24DAE"/>
    <w:rsid w:val="00E26A2E"/>
    <w:rsid w:val="00E37902"/>
    <w:rsid w:val="00E450D6"/>
    <w:rsid w:val="00E5098E"/>
    <w:rsid w:val="00E700DE"/>
    <w:rsid w:val="00E739D4"/>
    <w:rsid w:val="00E7588C"/>
    <w:rsid w:val="00E81BC1"/>
    <w:rsid w:val="00E82E51"/>
    <w:rsid w:val="00E84F2D"/>
    <w:rsid w:val="00E879C8"/>
    <w:rsid w:val="00E91DEB"/>
    <w:rsid w:val="00E92861"/>
    <w:rsid w:val="00EB12C2"/>
    <w:rsid w:val="00EB2AD9"/>
    <w:rsid w:val="00EB4005"/>
    <w:rsid w:val="00EC6E09"/>
    <w:rsid w:val="00ED393B"/>
    <w:rsid w:val="00ED7A4F"/>
    <w:rsid w:val="00EE07D1"/>
    <w:rsid w:val="00EE49BE"/>
    <w:rsid w:val="00EE653B"/>
    <w:rsid w:val="00EF07D0"/>
    <w:rsid w:val="00EF4D6D"/>
    <w:rsid w:val="00EF614F"/>
    <w:rsid w:val="00F02A2C"/>
    <w:rsid w:val="00F1027F"/>
    <w:rsid w:val="00F17B90"/>
    <w:rsid w:val="00F27D61"/>
    <w:rsid w:val="00F32BBE"/>
    <w:rsid w:val="00F33832"/>
    <w:rsid w:val="00F35BEF"/>
    <w:rsid w:val="00F36139"/>
    <w:rsid w:val="00F46621"/>
    <w:rsid w:val="00F50241"/>
    <w:rsid w:val="00F557C7"/>
    <w:rsid w:val="00F608C9"/>
    <w:rsid w:val="00F61A24"/>
    <w:rsid w:val="00F62E56"/>
    <w:rsid w:val="00F645B8"/>
    <w:rsid w:val="00F6500F"/>
    <w:rsid w:val="00F72A49"/>
    <w:rsid w:val="00F75CB1"/>
    <w:rsid w:val="00F8221B"/>
    <w:rsid w:val="00F86077"/>
    <w:rsid w:val="00FA19C1"/>
    <w:rsid w:val="00FA3782"/>
    <w:rsid w:val="00FA388F"/>
    <w:rsid w:val="00FA4502"/>
    <w:rsid w:val="00FA6453"/>
    <w:rsid w:val="00FB3142"/>
    <w:rsid w:val="00FB57C9"/>
    <w:rsid w:val="00FB645A"/>
    <w:rsid w:val="00FB692A"/>
    <w:rsid w:val="00FC1529"/>
    <w:rsid w:val="00FD294C"/>
    <w:rsid w:val="00FE2264"/>
    <w:rsid w:val="00FF0FEB"/>
    <w:rsid w:val="00FF1C13"/>
    <w:rsid w:val="00FF5B7F"/>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colormru v:ext="edit" colors="#1074cb"/>
      <o:colormenu v:ext="edit" strokecolor="#1074cb"/>
    </o:shapedefaults>
    <o:shapelayout v:ext="edit">
      <o:idmap v:ext="edit" data="1"/>
      <o:rules v:ext="edit">
        <o:r id="V:Rule5" type="connector" idref="#_x0000_s1044"/>
        <o:r id="V:Rule6" type="connector" idref="#_x0000_s1041"/>
        <o:r id="V:Rule7" type="connector" idref="#_x0000_s1043"/>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9"/>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E7466"/>
    <w:rPr>
      <w:rFonts w:ascii="Arial Bold" w:eastAsia="Times New Roman" w:hAnsi="Arial Bold"/>
      <w:b/>
    </w:rPr>
  </w:style>
  <w:style w:type="paragraph" w:styleId="PlainText">
    <w:name w:val="Plain Text"/>
    <w:basedOn w:val="Normal"/>
    <w:link w:val="PlainTextChar"/>
    <w:uiPriority w:val="99"/>
    <w:semiHidden/>
    <w:unhideWhenUsed/>
    <w:rsid w:val="0052337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523379"/>
    <w:rPr>
      <w:rFonts w:ascii="Arial" w:eastAsiaTheme="minorHAnsi" w:hAnsi="Arial"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1048335697">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309096448">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593008101">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 w:id="2077782755">
      <w:bodyDiv w:val="1"/>
      <w:marLeft w:val="0"/>
      <w:marRight w:val="0"/>
      <w:marTop w:val="0"/>
      <w:marBottom w:val="0"/>
      <w:divBdr>
        <w:top w:val="none" w:sz="0" w:space="0" w:color="auto"/>
        <w:left w:val="none" w:sz="0" w:space="0" w:color="auto"/>
        <w:bottom w:val="none" w:sz="0" w:space="0" w:color="auto"/>
        <w:right w:val="none" w:sz="0" w:space="0" w:color="auto"/>
      </w:divBdr>
    </w:div>
    <w:div w:id="210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dmontefusco@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footer4.xml.rels><?xml version="1.0" encoding="UTF-8" standalone="yes"?>
<Relationships xmlns="http://schemas.openxmlformats.org/package/2006/relationships"><Relationship Id="rId8" Type="http://schemas.openxmlformats.org/officeDocument/2006/relationships/hyperlink" Target="mailto:kowen@smmt.co.uk" TargetMode="External"/><Relationship Id="rId3" Type="http://schemas.openxmlformats.org/officeDocument/2006/relationships/hyperlink" Target="mailto:nrooke@smmt.co.uk" TargetMode="External"/><Relationship Id="rId7"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6" Type="http://schemas.openxmlformats.org/officeDocument/2006/relationships/hyperlink" Target="mailto:jvisscher@smmt.co.uk" TargetMode="External"/><Relationship Id="rId5"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PressReleases\PR-CarCV-ONS\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PressReleases\PR-CarCV-ON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1294751522"/>
          <c:y val="0.12534233220847393"/>
          <c:w val="0.67037481700926094"/>
          <c:h val="0.76714023247094265"/>
        </c:manualLayout>
      </c:layout>
      <c:lineChart>
        <c:grouping val="standard"/>
        <c:ser>
          <c:idx val="0"/>
          <c:order val="0"/>
          <c:tx>
            <c:strRef>
              <c:f>'[1]PR-12MONTH-charts'!$B$4</c:f>
              <c:strCache>
                <c:ptCount val="1"/>
                <c:pt idx="0">
                  <c:v>Total</c:v>
                </c:pt>
              </c:strCache>
            </c:strRef>
          </c:tx>
          <c:spPr>
            <a:ln>
              <a:solidFill>
                <a:schemeClr val="tx2">
                  <a:lumMod val="75000"/>
                </a:schemeClr>
              </a:solidFill>
            </a:ln>
          </c:spPr>
          <c:marker>
            <c:symbol val="none"/>
          </c:marker>
          <c:cat>
            <c:numRef>
              <c:f>'[1]PR-12MONTH-charts'!$C$3:$BV$3</c:f>
              <c:numCache>
                <c:formatCode>General</c:formatCode>
                <c:ptCount val="72"/>
                <c:pt idx="0">
                  <c:v>2007</c:v>
                </c:pt>
                <c:pt idx="12">
                  <c:v>2008</c:v>
                </c:pt>
                <c:pt idx="24">
                  <c:v>2009</c:v>
                </c:pt>
                <c:pt idx="36">
                  <c:v>2010</c:v>
                </c:pt>
                <c:pt idx="48">
                  <c:v>2011</c:v>
                </c:pt>
                <c:pt idx="60">
                  <c:v>2012</c:v>
                </c:pt>
              </c:numCache>
            </c:numRef>
          </c:cat>
          <c:val>
            <c:numRef>
              <c:f>'[1]PR-12MONTH-charts'!$C$4:$BV$4</c:f>
              <c:numCache>
                <c:formatCode>General</c:formatCode>
                <c:ptCount val="72"/>
                <c:pt idx="0">
                  <c:v>1447.1529999999998</c:v>
                </c:pt>
                <c:pt idx="1">
                  <c:v>1431.6109999999999</c:v>
                </c:pt>
                <c:pt idx="2">
                  <c:v>1410.6589999999999</c:v>
                </c:pt>
                <c:pt idx="3">
                  <c:v>1412.5039999999999</c:v>
                </c:pt>
                <c:pt idx="4">
                  <c:v>1408.684999999997</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1009.3649999999986</c:v>
                </c:pt>
                <c:pt idx="31">
                  <c:v>983.24400000000003</c:v>
                </c:pt>
                <c:pt idx="32">
                  <c:v>960.25400000000002</c:v>
                </c:pt>
                <c:pt idx="33">
                  <c:v>952.62300000000005</c:v>
                </c:pt>
                <c:pt idx="34">
                  <c:v>967.96699999999828</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numCache>
            </c:numRef>
          </c:val>
        </c:ser>
        <c:ser>
          <c:idx val="1"/>
          <c:order val="1"/>
          <c:tx>
            <c:strRef>
              <c:f>'[1]PR-12MONTH-charts'!$B$5</c:f>
              <c:strCache>
                <c:ptCount val="1"/>
                <c:pt idx="0">
                  <c:v>Export</c:v>
                </c:pt>
              </c:strCache>
            </c:strRef>
          </c:tx>
          <c:spPr>
            <a:ln>
              <a:solidFill>
                <a:schemeClr val="tx2">
                  <a:lumMod val="40000"/>
                  <a:lumOff val="60000"/>
                </a:schemeClr>
              </a:solidFill>
            </a:ln>
          </c:spPr>
          <c:marker>
            <c:symbol val="none"/>
          </c:marker>
          <c:cat>
            <c:numRef>
              <c:f>'[1]PR-12MONTH-charts'!$C$3:$BV$3</c:f>
              <c:numCache>
                <c:formatCode>General</c:formatCode>
                <c:ptCount val="72"/>
                <c:pt idx="0">
                  <c:v>2007</c:v>
                </c:pt>
                <c:pt idx="12">
                  <c:v>2008</c:v>
                </c:pt>
                <c:pt idx="24">
                  <c:v>2009</c:v>
                </c:pt>
                <c:pt idx="36">
                  <c:v>2010</c:v>
                </c:pt>
                <c:pt idx="48">
                  <c:v>2011</c:v>
                </c:pt>
                <c:pt idx="60">
                  <c:v>2012</c:v>
                </c:pt>
              </c:numCache>
            </c:numRef>
          </c:cat>
          <c:val>
            <c:numRef>
              <c:f>'[1]PR-12MONTH-charts'!$C$5:$BV$5</c:f>
              <c:numCache>
                <c:formatCode>General</c:formatCode>
                <c:ptCount val="72"/>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1167.684999999997</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1003.4599999999994</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905.96299999999815</c:v>
                </c:pt>
                <c:pt idx="44">
                  <c:v>922.69299999999998</c:v>
                </c:pt>
                <c:pt idx="45">
                  <c:v>928.33599999999865</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numCache>
            </c:numRef>
          </c:val>
        </c:ser>
        <c:marker val="1"/>
        <c:axId val="89811200"/>
        <c:axId val="94543872"/>
      </c:lineChart>
      <c:catAx>
        <c:axId val="8981120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4543872"/>
        <c:crosses val="autoZero"/>
        <c:auto val="1"/>
        <c:lblAlgn val="ctr"/>
        <c:lblOffset val="100"/>
        <c:tickMarkSkip val="12"/>
      </c:catAx>
      <c:valAx>
        <c:axId val="94543872"/>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9811200"/>
        <c:crosses val="autoZero"/>
        <c:crossBetween val="between"/>
      </c:valAx>
    </c:plotArea>
    <c:legend>
      <c:legendPos val="r"/>
      <c:layout>
        <c:manualLayout>
          <c:xMode val="edge"/>
          <c:yMode val="edge"/>
          <c:x val="4.6204769379026719E-2"/>
          <c:y val="1.7857173997583027E-2"/>
          <c:w val="0.93729675026025638"/>
          <c:h val="0.1000001743864650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84334045928"/>
          <c:y val="0.13010425780110821"/>
          <c:w val="0.70004527784542492"/>
          <c:h val="0.75761642294713161"/>
        </c:manualLayout>
      </c:layout>
      <c:lineChart>
        <c:grouping val="standard"/>
        <c:ser>
          <c:idx val="0"/>
          <c:order val="0"/>
          <c:tx>
            <c:strRef>
              <c:f>'[1]PR-12MONTH-charts'!$B$8</c:f>
              <c:strCache>
                <c:ptCount val="1"/>
                <c:pt idx="0">
                  <c:v>Total</c:v>
                </c:pt>
              </c:strCache>
            </c:strRef>
          </c:tx>
          <c:spPr>
            <a:ln>
              <a:solidFill>
                <a:schemeClr val="tx2">
                  <a:lumMod val="75000"/>
                </a:schemeClr>
              </a:solidFill>
            </a:ln>
          </c:spPr>
          <c:marker>
            <c:symbol val="none"/>
          </c:marker>
          <c:cat>
            <c:numRef>
              <c:f>'[1]PR-12MONTH-charts'!$C$7:$BV$7</c:f>
              <c:numCache>
                <c:formatCode>General</c:formatCode>
                <c:ptCount val="72"/>
                <c:pt idx="0">
                  <c:v>2007</c:v>
                </c:pt>
                <c:pt idx="12">
                  <c:v>2008</c:v>
                </c:pt>
                <c:pt idx="24">
                  <c:v>2009</c:v>
                </c:pt>
                <c:pt idx="36">
                  <c:v>2010</c:v>
                </c:pt>
                <c:pt idx="48">
                  <c:v>2011</c:v>
                </c:pt>
                <c:pt idx="60">
                  <c:v>2012</c:v>
                </c:pt>
              </c:numCache>
            </c:numRef>
          </c:cat>
          <c:val>
            <c:numRef>
              <c:f>'[1]PR-12MONTH-charts'!$C$8:$BV$8</c:f>
              <c:numCache>
                <c:formatCode>General</c:formatCode>
                <c:ptCount val="72"/>
                <c:pt idx="0">
                  <c:v>209.13800000000001</c:v>
                </c:pt>
                <c:pt idx="1">
                  <c:v>208.41499999999999</c:v>
                </c:pt>
                <c:pt idx="2">
                  <c:v>207.38600000000034</c:v>
                </c:pt>
                <c:pt idx="3">
                  <c:v>207.62</c:v>
                </c:pt>
                <c:pt idx="4">
                  <c:v>209.48000000000027</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230.57900000000001</c:v>
                </c:pt>
                <c:pt idx="20">
                  <c:v>231.30100000000004</c:v>
                </c:pt>
                <c:pt idx="21">
                  <c:v>222.191</c:v>
                </c:pt>
                <c:pt idx="22">
                  <c:v>211.12800000000001</c:v>
                </c:pt>
                <c:pt idx="23">
                  <c:v>202.89600000000004</c:v>
                </c:pt>
                <c:pt idx="24">
                  <c:v>190.40700000000001</c:v>
                </c:pt>
                <c:pt idx="25">
                  <c:v>175.62800000000001</c:v>
                </c:pt>
                <c:pt idx="26">
                  <c:v>164.89700000000033</c:v>
                </c:pt>
                <c:pt idx="27">
                  <c:v>150.56800000000001</c:v>
                </c:pt>
                <c:pt idx="28">
                  <c:v>137.55800000000033</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103.93400000000017</c:v>
                </c:pt>
                <c:pt idx="40">
                  <c:v>109.98699999999999</c:v>
                </c:pt>
                <c:pt idx="41">
                  <c:v>112.111</c:v>
                </c:pt>
                <c:pt idx="42">
                  <c:v>113.232</c:v>
                </c:pt>
                <c:pt idx="43">
                  <c:v>114.29600000000002</c:v>
                </c:pt>
                <c:pt idx="44">
                  <c:v>115.91900000000012</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numCache>
            </c:numRef>
          </c:val>
        </c:ser>
        <c:ser>
          <c:idx val="1"/>
          <c:order val="1"/>
          <c:tx>
            <c:strRef>
              <c:f>'[1]PR-12MONTH-charts'!$B$9</c:f>
              <c:strCache>
                <c:ptCount val="1"/>
                <c:pt idx="0">
                  <c:v>Export</c:v>
                </c:pt>
              </c:strCache>
            </c:strRef>
          </c:tx>
          <c:spPr>
            <a:ln>
              <a:solidFill>
                <a:schemeClr val="tx2">
                  <a:lumMod val="40000"/>
                  <a:lumOff val="60000"/>
                </a:schemeClr>
              </a:solidFill>
            </a:ln>
          </c:spPr>
          <c:marker>
            <c:symbol val="none"/>
          </c:marker>
          <c:cat>
            <c:numRef>
              <c:f>'[1]PR-12MONTH-charts'!$C$7:$BV$7</c:f>
              <c:numCache>
                <c:formatCode>General</c:formatCode>
                <c:ptCount val="72"/>
                <c:pt idx="0">
                  <c:v>2007</c:v>
                </c:pt>
                <c:pt idx="12">
                  <c:v>2008</c:v>
                </c:pt>
                <c:pt idx="24">
                  <c:v>2009</c:v>
                </c:pt>
                <c:pt idx="36">
                  <c:v>2010</c:v>
                </c:pt>
                <c:pt idx="48">
                  <c:v>2011</c:v>
                </c:pt>
                <c:pt idx="60">
                  <c:v>2012</c:v>
                </c:pt>
              </c:numCache>
            </c:numRef>
          </c:cat>
          <c:val>
            <c:numRef>
              <c:f>'[1]PR-12MONTH-charts'!$C$9:$BV$9</c:f>
              <c:numCache>
                <c:formatCode>General</c:formatCode>
                <c:ptCount val="72"/>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142.72900000000001</c:v>
                </c:pt>
                <c:pt idx="21">
                  <c:v>136.85100000000034</c:v>
                </c:pt>
                <c:pt idx="22">
                  <c:v>130.52600000000001</c:v>
                </c:pt>
                <c:pt idx="23">
                  <c:v>125.611</c:v>
                </c:pt>
                <c:pt idx="24">
                  <c:v>119.71899999999999</c:v>
                </c:pt>
                <c:pt idx="25">
                  <c:v>112.473</c:v>
                </c:pt>
                <c:pt idx="26">
                  <c:v>106.93700000000017</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70.182000000000002</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69.4140000000002</c:v>
                </c:pt>
                <c:pt idx="61">
                  <c:v>68.712999999999994</c:v>
                </c:pt>
                <c:pt idx="62">
                  <c:v>66.611000000000004</c:v>
                </c:pt>
                <c:pt idx="63">
                  <c:v>67.027000000000001</c:v>
                </c:pt>
                <c:pt idx="64">
                  <c:v>67.058999999999983</c:v>
                </c:pt>
              </c:numCache>
            </c:numRef>
          </c:val>
        </c:ser>
        <c:marker val="1"/>
        <c:axId val="94561408"/>
        <c:axId val="94562944"/>
      </c:lineChart>
      <c:catAx>
        <c:axId val="9456140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4562944"/>
        <c:crosses val="autoZero"/>
        <c:auto val="1"/>
        <c:lblAlgn val="ctr"/>
        <c:lblOffset val="100"/>
        <c:tickMarkSkip val="12"/>
      </c:catAx>
      <c:valAx>
        <c:axId val="94562944"/>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4561408"/>
        <c:crosses val="autoZero"/>
        <c:crossBetween val="between"/>
        <c:majorUnit val="50"/>
      </c:valAx>
    </c:plotArea>
    <c:legend>
      <c:legendPos val="r"/>
      <c:layout>
        <c:manualLayout>
          <c:xMode val="edge"/>
          <c:yMode val="edge"/>
          <c:x val="4.8110127087786884E-2"/>
          <c:y val="2.8571478396132787E-2"/>
          <c:w val="0.93814747821184463"/>
          <c:h val="0.10000017438646502"/>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CB32-90EE-4763-BA2F-F3E377CD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1875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5</cp:revision>
  <cp:lastPrinted>2012-04-18T09:29:00Z</cp:lastPrinted>
  <dcterms:created xsi:type="dcterms:W3CDTF">2012-06-13T14:43:00Z</dcterms:created>
  <dcterms:modified xsi:type="dcterms:W3CDTF">2012-06-14T08:21:00Z</dcterms:modified>
</cp:coreProperties>
</file>