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A51715" w:rsidP="006B3606">
      <w:pPr>
        <w:pStyle w:val="Heading1"/>
        <w:ind w:right="142"/>
      </w:pPr>
      <w:r>
        <w:rPr>
          <w:rFonts w:ascii="Arial" w:eastAsiaTheme="minorEastAsia" w:hAnsi="Arial" w:cs="Arial"/>
          <w:b w:val="0"/>
          <w:bCs/>
          <w:color w:val="1074CB"/>
          <w:sz w:val="44"/>
          <w:szCs w:val="44"/>
        </w:rPr>
        <w:t>1</w:t>
      </w:r>
      <w:r w:rsidR="009511F2">
        <w:rPr>
          <w:rFonts w:ascii="Arial" w:eastAsiaTheme="minorEastAsia" w:hAnsi="Arial" w:cs="Arial"/>
          <w:b w:val="0"/>
          <w:bCs/>
          <w:color w:val="1074CB"/>
          <w:sz w:val="44"/>
          <w:szCs w:val="44"/>
        </w:rPr>
        <w:t xml:space="preserve">9 </w:t>
      </w:r>
      <w:r>
        <w:rPr>
          <w:rFonts w:ascii="Arial" w:eastAsiaTheme="minorEastAsia" w:hAnsi="Arial" w:cs="Arial"/>
          <w:b w:val="0"/>
          <w:bCs/>
          <w:color w:val="1074CB"/>
          <w:sz w:val="44"/>
          <w:szCs w:val="44"/>
        </w:rPr>
        <w:t>June</w:t>
      </w:r>
      <w:r w:rsidR="006B3606" w:rsidRPr="00440369">
        <w:rPr>
          <w:rFonts w:ascii="Arial" w:eastAsiaTheme="minorEastAsia" w:hAnsi="Arial" w:cs="Arial"/>
          <w:b w:val="0"/>
          <w:bCs/>
          <w:color w:val="1074CB"/>
          <w:sz w:val="44"/>
          <w:szCs w:val="44"/>
        </w:rPr>
        <w:t xml:space="preserve"> 2014</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May</w:t>
      </w:r>
      <w:r w:rsidR="009511F2">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6B3606">
        <w:rPr>
          <w:rFonts w:ascii="Arial" w:eastAsiaTheme="minorEastAsia" w:hAnsi="Arial" w:cs="Arial"/>
          <w:b w:val="0"/>
          <w:bCs/>
          <w:color w:val="1074CB"/>
          <w:sz w:val="28"/>
          <w:szCs w:val="28"/>
        </w:rPr>
        <w:t>4</w:t>
      </w:r>
      <w:r w:rsidR="006B3606" w:rsidRPr="00696C6A">
        <w:rPr>
          <w:rFonts w:ascii="Arial" w:eastAsiaTheme="minorEastAsia" w:hAnsi="Arial" w:cs="Arial"/>
          <w:b w:val="0"/>
          <w:bCs/>
          <w:color w:val="1074CB"/>
          <w:sz w:val="28"/>
          <w:szCs w:val="28"/>
        </w:rPr>
        <w:t>)</w:t>
      </w:r>
    </w:p>
    <w:p w:rsidR="00C80E70" w:rsidRPr="007B7D91" w:rsidRDefault="004974B1" w:rsidP="00C80E70">
      <w:r w:rsidRPr="004974B1">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D12474" w:rsidRPr="00B56547" w:rsidRDefault="00670632" w:rsidP="00D12474">
      <w:pPr>
        <w:pStyle w:val="Heading1"/>
        <w:ind w:left="0" w:right="425" w:firstLine="0"/>
      </w:pPr>
      <w:r>
        <w:rPr>
          <w:rFonts w:ascii="Arial" w:hAnsi="Arial" w:cs="Arial"/>
          <w:color w:val="1074CB"/>
          <w:sz w:val="36"/>
          <w:szCs w:val="36"/>
        </w:rPr>
        <w:t>Commercial vehicle output remains</w:t>
      </w:r>
      <w:r w:rsidR="00531139">
        <w:rPr>
          <w:rFonts w:ascii="Arial" w:hAnsi="Arial" w:cs="Arial"/>
          <w:color w:val="1074CB"/>
          <w:sz w:val="36"/>
          <w:szCs w:val="36"/>
        </w:rPr>
        <w:t xml:space="preserve"> down in May</w:t>
      </w:r>
    </w:p>
    <w:p w:rsidR="00D12474" w:rsidRPr="00B56547" w:rsidRDefault="00D12474" w:rsidP="00D12474">
      <w:pPr>
        <w:rPr>
          <w:rFonts w:eastAsiaTheme="minorHAnsi"/>
        </w:rPr>
      </w:pPr>
      <w:r w:rsidRPr="00B56547">
        <w:rPr>
          <w:rFonts w:cs="Times"/>
          <w:sz w:val="10"/>
          <w:szCs w:val="10"/>
        </w:rPr>
        <w:t> </w:t>
      </w:r>
    </w:p>
    <w:p w:rsidR="00D12474" w:rsidRPr="00B56547" w:rsidRDefault="00D12474" w:rsidP="00D12474">
      <w:r w:rsidRPr="00B56547">
        <w:rPr>
          <w:sz w:val="10"/>
          <w:szCs w:val="10"/>
        </w:rPr>
        <w:t> </w:t>
      </w:r>
    </w:p>
    <w:p w:rsidR="00D12474" w:rsidRPr="00B56547" w:rsidRDefault="00D12474" w:rsidP="00D12474">
      <w:pPr>
        <w:numPr>
          <w:ilvl w:val="0"/>
          <w:numId w:val="5"/>
        </w:numPr>
        <w:spacing w:line="360" w:lineRule="auto"/>
        <w:ind w:hanging="76"/>
        <w:rPr>
          <w:sz w:val="20"/>
        </w:rPr>
      </w:pPr>
      <w:r w:rsidRPr="00B56547">
        <w:rPr>
          <w:rFonts w:ascii="Arial" w:hAnsi="Arial" w:cs="Arial"/>
          <w:sz w:val="20"/>
        </w:rPr>
        <w:t xml:space="preserve">Commercial vehicle </w:t>
      </w:r>
      <w:r w:rsidR="00B56547">
        <w:rPr>
          <w:rFonts w:ascii="Arial" w:hAnsi="Arial" w:cs="Arial"/>
          <w:sz w:val="20"/>
        </w:rPr>
        <w:t>output</w:t>
      </w:r>
      <w:r w:rsidRPr="00B56547">
        <w:rPr>
          <w:rFonts w:ascii="Arial" w:hAnsi="Arial" w:cs="Arial"/>
          <w:sz w:val="20"/>
        </w:rPr>
        <w:t xml:space="preserve"> </w:t>
      </w:r>
      <w:r w:rsidR="00B56547">
        <w:rPr>
          <w:rFonts w:ascii="Arial" w:hAnsi="Arial" w:cs="Arial"/>
          <w:sz w:val="20"/>
        </w:rPr>
        <w:t>fell 32</w:t>
      </w:r>
      <w:r w:rsidR="009511F2" w:rsidRPr="00B56547">
        <w:rPr>
          <w:rFonts w:ascii="Arial" w:hAnsi="Arial" w:cs="Arial"/>
          <w:sz w:val="20"/>
        </w:rPr>
        <w:t>.</w:t>
      </w:r>
      <w:r w:rsidR="00B56547">
        <w:rPr>
          <w:rFonts w:ascii="Arial" w:hAnsi="Arial" w:cs="Arial"/>
          <w:sz w:val="20"/>
        </w:rPr>
        <w:t>2</w:t>
      </w:r>
      <w:r w:rsidRPr="00B56547">
        <w:rPr>
          <w:rFonts w:ascii="Arial" w:hAnsi="Arial" w:cs="Arial"/>
          <w:sz w:val="20"/>
        </w:rPr>
        <w:t xml:space="preserve">% </w:t>
      </w:r>
      <w:r w:rsidR="009511F2" w:rsidRPr="00B56547">
        <w:rPr>
          <w:rFonts w:ascii="Arial" w:hAnsi="Arial" w:cs="Arial"/>
          <w:sz w:val="20"/>
        </w:rPr>
        <w:t xml:space="preserve">in </w:t>
      </w:r>
      <w:r w:rsidR="00B56547">
        <w:rPr>
          <w:rFonts w:ascii="Arial" w:hAnsi="Arial" w:cs="Arial"/>
          <w:sz w:val="20"/>
        </w:rPr>
        <w:t>May</w:t>
      </w:r>
      <w:r w:rsidR="009511F2" w:rsidRPr="00B56547">
        <w:rPr>
          <w:rFonts w:ascii="Arial" w:hAnsi="Arial" w:cs="Arial"/>
          <w:sz w:val="20"/>
        </w:rPr>
        <w:t>, as restructuring impacts continue</w:t>
      </w:r>
      <w:r w:rsidRPr="00B56547">
        <w:rPr>
          <w:rFonts w:ascii="Arial" w:hAnsi="Arial" w:cs="Arial"/>
          <w:sz w:val="20"/>
        </w:rPr>
        <w:t>.</w:t>
      </w:r>
    </w:p>
    <w:p w:rsidR="00D12474" w:rsidRPr="00B56547" w:rsidRDefault="00B56547" w:rsidP="00D12474">
      <w:pPr>
        <w:numPr>
          <w:ilvl w:val="0"/>
          <w:numId w:val="5"/>
        </w:numPr>
        <w:spacing w:line="360" w:lineRule="auto"/>
        <w:ind w:hanging="76"/>
        <w:rPr>
          <w:sz w:val="20"/>
        </w:rPr>
      </w:pPr>
      <w:r>
        <w:rPr>
          <w:rFonts w:ascii="Arial" w:hAnsi="Arial" w:cs="Arial"/>
          <w:sz w:val="20"/>
        </w:rPr>
        <w:t>Manufacturing</w:t>
      </w:r>
      <w:r w:rsidR="009511F2" w:rsidRPr="00B56547">
        <w:rPr>
          <w:rFonts w:ascii="Arial" w:hAnsi="Arial" w:cs="Arial"/>
          <w:sz w:val="20"/>
        </w:rPr>
        <w:t xml:space="preserve"> down 2</w:t>
      </w:r>
      <w:r>
        <w:rPr>
          <w:rFonts w:ascii="Arial" w:hAnsi="Arial" w:cs="Arial"/>
          <w:sz w:val="20"/>
        </w:rPr>
        <w:t>2</w:t>
      </w:r>
      <w:r w:rsidR="009511F2" w:rsidRPr="00B56547">
        <w:rPr>
          <w:rFonts w:ascii="Arial" w:hAnsi="Arial" w:cs="Arial"/>
          <w:sz w:val="20"/>
        </w:rPr>
        <w:t>.</w:t>
      </w:r>
      <w:r>
        <w:rPr>
          <w:rFonts w:ascii="Arial" w:hAnsi="Arial" w:cs="Arial"/>
          <w:sz w:val="20"/>
        </w:rPr>
        <w:t>8</w:t>
      </w:r>
      <w:r w:rsidR="009511F2" w:rsidRPr="00B56547">
        <w:rPr>
          <w:rFonts w:ascii="Arial" w:hAnsi="Arial" w:cs="Arial"/>
          <w:sz w:val="20"/>
        </w:rPr>
        <w:t>% over the year-to-date, with output for both home and export down</w:t>
      </w:r>
      <w:r w:rsidR="00D12474" w:rsidRPr="00B56547">
        <w:rPr>
          <w:rFonts w:ascii="Arial" w:hAnsi="Arial" w:cs="Arial"/>
          <w:sz w:val="20"/>
        </w:rPr>
        <w:t>.</w:t>
      </w:r>
    </w:p>
    <w:p w:rsidR="00D12474" w:rsidRPr="00B56547" w:rsidRDefault="00B56547" w:rsidP="00D12474">
      <w:pPr>
        <w:numPr>
          <w:ilvl w:val="0"/>
          <w:numId w:val="5"/>
        </w:numPr>
        <w:spacing w:line="360" w:lineRule="auto"/>
        <w:ind w:hanging="76"/>
        <w:rPr>
          <w:sz w:val="20"/>
        </w:rPr>
      </w:pPr>
      <w:r>
        <w:rPr>
          <w:rFonts w:ascii="Arial" w:hAnsi="Arial" w:cs="Arial"/>
          <w:sz w:val="20"/>
        </w:rPr>
        <w:t>Production</w:t>
      </w:r>
      <w:r w:rsidR="009511F2" w:rsidRPr="00B56547">
        <w:rPr>
          <w:rFonts w:ascii="Arial" w:hAnsi="Arial" w:cs="Arial"/>
          <w:sz w:val="20"/>
        </w:rPr>
        <w:t xml:space="preserve"> expected to stabilise in </w:t>
      </w:r>
      <w:r>
        <w:rPr>
          <w:rFonts w:ascii="Arial" w:hAnsi="Arial" w:cs="Arial"/>
          <w:sz w:val="20"/>
        </w:rPr>
        <w:t>late summer</w:t>
      </w:r>
      <w:r w:rsidR="00D12474" w:rsidRPr="00B56547">
        <w:rPr>
          <w:rFonts w:ascii="Arial" w:hAnsi="Arial" w:cs="Arial"/>
          <w:sz w:val="20"/>
        </w:rPr>
        <w:t>.</w:t>
      </w:r>
    </w:p>
    <w:p w:rsidR="00D12474" w:rsidRPr="00B56547" w:rsidRDefault="00D12474" w:rsidP="00D12474">
      <w:pPr>
        <w:spacing w:line="276" w:lineRule="auto"/>
      </w:pPr>
      <w:r w:rsidRPr="00B56547">
        <w:rPr>
          <w:rFonts w:ascii="Arial" w:hAnsi="Arial" w:cs="Arial"/>
          <w:sz w:val="20"/>
        </w:rPr>
        <w:t> </w:t>
      </w:r>
    </w:p>
    <w:p w:rsidR="00AD5A18" w:rsidRDefault="00AD5A18" w:rsidP="00D12474">
      <w:pPr>
        <w:spacing w:line="360" w:lineRule="auto"/>
      </w:pPr>
      <w:r>
        <w:rPr>
          <w:rFonts w:ascii="Arial" w:hAnsi="Arial" w:cs="Arial"/>
          <w:sz w:val="20"/>
        </w:rPr>
        <w:t xml:space="preserve">"UK commercial vehicle output continued to feel the effects of last year’s production restructuring with volumes down 32% in May. There is light at the end of the tunnel, however, as we look forward to the end of this impact in late summer," said Mike Hawes, SMMT Chief Executive. "The next few months will also see new models rolling off UK </w:t>
      </w:r>
      <w:r w:rsidR="0037100E">
        <w:rPr>
          <w:rFonts w:ascii="Arial" w:hAnsi="Arial" w:cs="Arial"/>
          <w:sz w:val="20"/>
        </w:rPr>
        <w:t xml:space="preserve">assembly </w:t>
      </w:r>
      <w:bookmarkStart w:id="0" w:name="_GoBack"/>
      <w:bookmarkEnd w:id="0"/>
      <w:r>
        <w:rPr>
          <w:rFonts w:ascii="Arial" w:hAnsi="Arial" w:cs="Arial"/>
          <w:sz w:val="20"/>
        </w:rPr>
        <w:t>lines, which will help boost production numbers."</w:t>
      </w:r>
    </w:p>
    <w:p w:rsidR="00D6336B" w:rsidRPr="00E714BD" w:rsidRDefault="00D6336B" w:rsidP="00B94DB1">
      <w:pPr>
        <w:rPr>
          <w:rFonts w:ascii="Arial" w:hAnsi="Arial" w:cs="Arial"/>
          <w:sz w:val="20"/>
          <w:highlight w:val="yellow"/>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A51715" w:rsidRPr="00325254" w:rsidTr="00A51715">
        <w:trPr>
          <w:trHeight w:val="270"/>
        </w:trPr>
        <w:tc>
          <w:tcPr>
            <w:tcW w:w="2093" w:type="dxa"/>
            <w:noWrap/>
            <w:vAlign w:val="center"/>
            <w:hideMark/>
          </w:tcPr>
          <w:p w:rsidR="00A51715" w:rsidRPr="00325254" w:rsidRDefault="00A51715" w:rsidP="00B94DB1">
            <w:pPr>
              <w:rPr>
                <w:rFonts w:ascii="Arial" w:hAnsi="Arial" w:cs="Arial"/>
                <w:b/>
                <w:color w:val="002060"/>
                <w:sz w:val="20"/>
              </w:rPr>
            </w:pPr>
            <w:r w:rsidRPr="00325254">
              <w:rPr>
                <w:rFonts w:ascii="Arial" w:hAnsi="Arial" w:cs="Arial"/>
                <w:b/>
                <w:color w:val="002060"/>
                <w:sz w:val="20"/>
              </w:rPr>
              <w:t>CV manufacturing</w:t>
            </w:r>
          </w:p>
        </w:tc>
        <w:tc>
          <w:tcPr>
            <w:tcW w:w="1276"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May-13</w:t>
            </w:r>
          </w:p>
        </w:tc>
        <w:tc>
          <w:tcPr>
            <w:tcW w:w="1134"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May-14</w:t>
            </w:r>
          </w:p>
        </w:tc>
        <w:tc>
          <w:tcPr>
            <w:tcW w:w="1275"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 xml:space="preserve">% Change </w:t>
            </w:r>
          </w:p>
        </w:tc>
        <w:tc>
          <w:tcPr>
            <w:tcW w:w="1276"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YTD-13</w:t>
            </w:r>
          </w:p>
        </w:tc>
        <w:tc>
          <w:tcPr>
            <w:tcW w:w="1134"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YTD-14</w:t>
            </w:r>
          </w:p>
        </w:tc>
        <w:tc>
          <w:tcPr>
            <w:tcW w:w="1276"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 Change</w:t>
            </w:r>
          </w:p>
        </w:tc>
      </w:tr>
      <w:tr w:rsidR="00A51715" w:rsidRPr="00325254" w:rsidTr="00A51715">
        <w:trPr>
          <w:trHeight w:val="270"/>
        </w:trPr>
        <w:tc>
          <w:tcPr>
            <w:tcW w:w="2093" w:type="dxa"/>
            <w:noWrap/>
            <w:vAlign w:val="center"/>
            <w:hideMark/>
          </w:tcPr>
          <w:p w:rsidR="00A51715" w:rsidRPr="00325254" w:rsidRDefault="00A51715" w:rsidP="00B94DB1">
            <w:pPr>
              <w:jc w:val="right"/>
              <w:rPr>
                <w:rFonts w:ascii="Arial" w:hAnsi="Arial" w:cs="Arial"/>
                <w:b/>
                <w:color w:val="002060"/>
                <w:sz w:val="20"/>
              </w:rPr>
            </w:pPr>
            <w:r w:rsidRPr="00325254">
              <w:rPr>
                <w:rFonts w:ascii="Arial" w:hAnsi="Arial" w:cs="Arial"/>
                <w:b/>
                <w:color w:val="002060"/>
                <w:sz w:val="20"/>
              </w:rPr>
              <w:t>Total</w:t>
            </w:r>
          </w:p>
        </w:tc>
        <w:tc>
          <w:tcPr>
            <w:tcW w:w="1276"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7,560</w:t>
            </w:r>
          </w:p>
        </w:tc>
        <w:tc>
          <w:tcPr>
            <w:tcW w:w="1134"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5,127</w:t>
            </w:r>
          </w:p>
        </w:tc>
        <w:tc>
          <w:tcPr>
            <w:tcW w:w="1275" w:type="dxa"/>
            <w:noWrap/>
            <w:vAlign w:val="bottom"/>
            <w:hideMark/>
          </w:tcPr>
          <w:p w:rsidR="00A51715" w:rsidRPr="00A51715" w:rsidRDefault="00A51715" w:rsidP="00A51715">
            <w:pPr>
              <w:jc w:val="right"/>
              <w:rPr>
                <w:rFonts w:ascii="Arial" w:hAnsi="Arial" w:cs="Arial"/>
                <w:b/>
                <w:color w:val="002060"/>
                <w:sz w:val="18"/>
                <w:szCs w:val="18"/>
              </w:rPr>
            </w:pPr>
            <w:r w:rsidRPr="00A51715">
              <w:rPr>
                <w:rFonts w:ascii="Arial" w:hAnsi="Arial" w:cs="Arial"/>
                <w:b/>
                <w:color w:val="002060"/>
                <w:sz w:val="18"/>
                <w:szCs w:val="18"/>
              </w:rPr>
              <w:t>-32.2%</w:t>
            </w:r>
          </w:p>
        </w:tc>
        <w:tc>
          <w:tcPr>
            <w:tcW w:w="1276"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40,037</w:t>
            </w:r>
          </w:p>
        </w:tc>
        <w:tc>
          <w:tcPr>
            <w:tcW w:w="1134"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30,917</w:t>
            </w:r>
          </w:p>
        </w:tc>
        <w:tc>
          <w:tcPr>
            <w:tcW w:w="1276" w:type="dxa"/>
            <w:noWrap/>
            <w:vAlign w:val="bottom"/>
            <w:hideMark/>
          </w:tcPr>
          <w:p w:rsidR="00A51715" w:rsidRPr="00A51715" w:rsidRDefault="00A51715" w:rsidP="00A51715">
            <w:pPr>
              <w:jc w:val="right"/>
              <w:rPr>
                <w:rFonts w:ascii="Arial" w:hAnsi="Arial" w:cs="Arial"/>
                <w:b/>
                <w:color w:val="002060"/>
                <w:sz w:val="18"/>
                <w:szCs w:val="18"/>
              </w:rPr>
            </w:pPr>
            <w:r w:rsidRPr="00A51715">
              <w:rPr>
                <w:rFonts w:ascii="Arial" w:hAnsi="Arial" w:cs="Arial"/>
                <w:b/>
                <w:color w:val="002060"/>
                <w:sz w:val="18"/>
                <w:szCs w:val="18"/>
              </w:rPr>
              <w:t>-22.8%</w:t>
            </w:r>
          </w:p>
        </w:tc>
      </w:tr>
      <w:tr w:rsidR="00A51715" w:rsidRPr="00325254" w:rsidTr="00A51715">
        <w:trPr>
          <w:trHeight w:val="270"/>
        </w:trPr>
        <w:tc>
          <w:tcPr>
            <w:tcW w:w="2093" w:type="dxa"/>
            <w:noWrap/>
            <w:vAlign w:val="center"/>
            <w:hideMark/>
          </w:tcPr>
          <w:p w:rsidR="00A51715" w:rsidRPr="00325254" w:rsidRDefault="00A51715" w:rsidP="00B94DB1">
            <w:pPr>
              <w:jc w:val="right"/>
              <w:rPr>
                <w:rFonts w:ascii="Arial" w:hAnsi="Arial" w:cs="Arial"/>
                <w:color w:val="002060"/>
                <w:sz w:val="20"/>
              </w:rPr>
            </w:pPr>
            <w:r w:rsidRPr="00325254">
              <w:rPr>
                <w:rFonts w:ascii="Arial" w:hAnsi="Arial" w:cs="Arial"/>
                <w:color w:val="002060"/>
                <w:sz w:val="20"/>
              </w:rPr>
              <w:t>Home</w:t>
            </w:r>
          </w:p>
        </w:tc>
        <w:tc>
          <w:tcPr>
            <w:tcW w:w="1276"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3,662</w:t>
            </w:r>
          </w:p>
        </w:tc>
        <w:tc>
          <w:tcPr>
            <w:tcW w:w="1134"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2,937</w:t>
            </w:r>
          </w:p>
        </w:tc>
        <w:tc>
          <w:tcPr>
            <w:tcW w:w="1275" w:type="dxa"/>
            <w:noWrap/>
            <w:vAlign w:val="bottom"/>
            <w:hideMark/>
          </w:tcPr>
          <w:p w:rsidR="00A51715" w:rsidRPr="00A51715" w:rsidRDefault="00A51715" w:rsidP="00A51715">
            <w:pPr>
              <w:jc w:val="right"/>
              <w:rPr>
                <w:rFonts w:ascii="Arial" w:hAnsi="Arial" w:cs="Arial"/>
                <w:color w:val="002060"/>
                <w:sz w:val="18"/>
                <w:szCs w:val="18"/>
              </w:rPr>
            </w:pPr>
            <w:r w:rsidRPr="00A51715">
              <w:rPr>
                <w:rFonts w:ascii="Arial" w:hAnsi="Arial" w:cs="Arial"/>
                <w:color w:val="002060"/>
                <w:sz w:val="18"/>
                <w:szCs w:val="18"/>
              </w:rPr>
              <w:t>-19.8%</w:t>
            </w:r>
          </w:p>
        </w:tc>
        <w:tc>
          <w:tcPr>
            <w:tcW w:w="1276"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20,227</w:t>
            </w:r>
          </w:p>
        </w:tc>
        <w:tc>
          <w:tcPr>
            <w:tcW w:w="1134"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15,349</w:t>
            </w:r>
          </w:p>
        </w:tc>
        <w:tc>
          <w:tcPr>
            <w:tcW w:w="1276" w:type="dxa"/>
            <w:noWrap/>
            <w:vAlign w:val="bottom"/>
            <w:hideMark/>
          </w:tcPr>
          <w:p w:rsidR="00A51715" w:rsidRPr="00A51715" w:rsidRDefault="00A51715" w:rsidP="00A51715">
            <w:pPr>
              <w:jc w:val="right"/>
              <w:rPr>
                <w:rFonts w:ascii="Arial" w:hAnsi="Arial" w:cs="Arial"/>
                <w:color w:val="002060"/>
                <w:sz w:val="18"/>
                <w:szCs w:val="18"/>
              </w:rPr>
            </w:pPr>
            <w:r w:rsidRPr="00A51715">
              <w:rPr>
                <w:rFonts w:ascii="Arial" w:hAnsi="Arial" w:cs="Arial"/>
                <w:color w:val="002060"/>
                <w:sz w:val="18"/>
                <w:szCs w:val="18"/>
              </w:rPr>
              <w:t>-24.1%</w:t>
            </w:r>
          </w:p>
        </w:tc>
      </w:tr>
      <w:tr w:rsidR="00A51715" w:rsidRPr="00325254" w:rsidTr="00A51715">
        <w:trPr>
          <w:trHeight w:val="270"/>
        </w:trPr>
        <w:tc>
          <w:tcPr>
            <w:tcW w:w="2093" w:type="dxa"/>
            <w:noWrap/>
            <w:vAlign w:val="center"/>
            <w:hideMark/>
          </w:tcPr>
          <w:p w:rsidR="00A51715" w:rsidRPr="00325254" w:rsidRDefault="00A51715" w:rsidP="00B94DB1">
            <w:pPr>
              <w:jc w:val="right"/>
              <w:rPr>
                <w:rFonts w:ascii="Arial" w:hAnsi="Arial" w:cs="Arial"/>
                <w:color w:val="002060"/>
                <w:sz w:val="20"/>
              </w:rPr>
            </w:pPr>
            <w:r w:rsidRPr="00325254">
              <w:rPr>
                <w:rFonts w:ascii="Arial" w:hAnsi="Arial" w:cs="Arial"/>
                <w:color w:val="002060"/>
                <w:sz w:val="20"/>
              </w:rPr>
              <w:t>Export</w:t>
            </w:r>
          </w:p>
        </w:tc>
        <w:tc>
          <w:tcPr>
            <w:tcW w:w="1276"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3,898</w:t>
            </w:r>
          </w:p>
        </w:tc>
        <w:tc>
          <w:tcPr>
            <w:tcW w:w="1134"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2,190</w:t>
            </w:r>
          </w:p>
        </w:tc>
        <w:tc>
          <w:tcPr>
            <w:tcW w:w="1275" w:type="dxa"/>
            <w:noWrap/>
            <w:vAlign w:val="bottom"/>
            <w:hideMark/>
          </w:tcPr>
          <w:p w:rsidR="00A51715" w:rsidRPr="00A51715" w:rsidRDefault="00A51715" w:rsidP="00A51715">
            <w:pPr>
              <w:jc w:val="right"/>
              <w:rPr>
                <w:rFonts w:ascii="Arial" w:hAnsi="Arial" w:cs="Arial"/>
                <w:color w:val="002060"/>
                <w:sz w:val="18"/>
                <w:szCs w:val="18"/>
              </w:rPr>
            </w:pPr>
            <w:r w:rsidRPr="00A51715">
              <w:rPr>
                <w:rFonts w:ascii="Arial" w:hAnsi="Arial" w:cs="Arial"/>
                <w:color w:val="002060"/>
                <w:sz w:val="18"/>
                <w:szCs w:val="18"/>
              </w:rPr>
              <w:t>-43.8%</w:t>
            </w:r>
          </w:p>
        </w:tc>
        <w:tc>
          <w:tcPr>
            <w:tcW w:w="1276"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19,810</w:t>
            </w:r>
          </w:p>
        </w:tc>
        <w:tc>
          <w:tcPr>
            <w:tcW w:w="1134"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15,568</w:t>
            </w:r>
          </w:p>
        </w:tc>
        <w:tc>
          <w:tcPr>
            <w:tcW w:w="1276" w:type="dxa"/>
            <w:noWrap/>
            <w:vAlign w:val="bottom"/>
            <w:hideMark/>
          </w:tcPr>
          <w:p w:rsidR="00A51715" w:rsidRPr="00A51715" w:rsidRDefault="00A51715" w:rsidP="00A51715">
            <w:pPr>
              <w:jc w:val="right"/>
              <w:rPr>
                <w:rFonts w:ascii="Arial" w:hAnsi="Arial" w:cs="Arial"/>
                <w:color w:val="002060"/>
                <w:sz w:val="18"/>
                <w:szCs w:val="18"/>
              </w:rPr>
            </w:pPr>
            <w:r w:rsidRPr="00A51715">
              <w:rPr>
                <w:rFonts w:ascii="Arial" w:hAnsi="Arial" w:cs="Arial"/>
                <w:color w:val="002060"/>
                <w:sz w:val="18"/>
                <w:szCs w:val="18"/>
              </w:rPr>
              <w:t>-21.4%</w:t>
            </w:r>
          </w:p>
        </w:tc>
      </w:tr>
      <w:tr w:rsidR="00A51715" w:rsidRPr="00325254" w:rsidTr="00A51715">
        <w:trPr>
          <w:trHeight w:val="270"/>
        </w:trPr>
        <w:tc>
          <w:tcPr>
            <w:tcW w:w="2093" w:type="dxa"/>
            <w:noWrap/>
            <w:vAlign w:val="center"/>
            <w:hideMark/>
          </w:tcPr>
          <w:p w:rsidR="00A51715" w:rsidRPr="00325254" w:rsidRDefault="00A51715" w:rsidP="00B94DB1">
            <w:pPr>
              <w:jc w:val="right"/>
              <w:rPr>
                <w:rFonts w:ascii="Arial" w:hAnsi="Arial" w:cs="Arial"/>
                <w:color w:val="002060"/>
                <w:sz w:val="20"/>
              </w:rPr>
            </w:pPr>
            <w:r w:rsidRPr="00325254">
              <w:rPr>
                <w:rFonts w:ascii="Arial" w:hAnsi="Arial" w:cs="Arial"/>
                <w:color w:val="002060"/>
                <w:sz w:val="20"/>
              </w:rPr>
              <w:t>% export</w:t>
            </w:r>
          </w:p>
        </w:tc>
        <w:tc>
          <w:tcPr>
            <w:tcW w:w="1276"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51.6%</w:t>
            </w:r>
          </w:p>
        </w:tc>
        <w:tc>
          <w:tcPr>
            <w:tcW w:w="1134"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42.7%</w:t>
            </w:r>
          </w:p>
        </w:tc>
        <w:tc>
          <w:tcPr>
            <w:tcW w:w="1275"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 </w:t>
            </w:r>
          </w:p>
        </w:tc>
        <w:tc>
          <w:tcPr>
            <w:tcW w:w="1276"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49.5%</w:t>
            </w:r>
          </w:p>
        </w:tc>
        <w:tc>
          <w:tcPr>
            <w:tcW w:w="1134"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50.4%</w:t>
            </w:r>
          </w:p>
        </w:tc>
        <w:tc>
          <w:tcPr>
            <w:tcW w:w="1276" w:type="dxa"/>
            <w:noWrap/>
            <w:vAlign w:val="bottom"/>
            <w:hideMark/>
          </w:tcPr>
          <w:p w:rsidR="00A51715" w:rsidRPr="00A51715" w:rsidRDefault="00A51715" w:rsidP="00A51715">
            <w:pPr>
              <w:jc w:val="right"/>
              <w:rPr>
                <w:rFonts w:ascii="Arial" w:hAnsi="Arial" w:cs="Arial"/>
                <w:color w:val="002060"/>
                <w:sz w:val="20"/>
              </w:rPr>
            </w:pPr>
            <w:r w:rsidRPr="00A51715">
              <w:rPr>
                <w:rFonts w:ascii="Arial" w:hAnsi="Arial" w:cs="Arial"/>
                <w:color w:val="002060"/>
                <w:sz w:val="20"/>
              </w:rPr>
              <w:t> </w:t>
            </w:r>
          </w:p>
        </w:tc>
      </w:tr>
    </w:tbl>
    <w:p w:rsidR="00142AE3" w:rsidRPr="00325254" w:rsidRDefault="00142AE3" w:rsidP="00142AE3">
      <w:pPr>
        <w:rPr>
          <w:rFonts w:ascii="Arial" w:hAnsi="Arial" w:cs="Arial"/>
          <w:b/>
          <w:color w:val="0D2255"/>
          <w:sz w:val="20"/>
        </w:rPr>
      </w:pPr>
    </w:p>
    <w:p w:rsidR="00142AE3" w:rsidRPr="00325254" w:rsidRDefault="00142AE3" w:rsidP="00142AE3">
      <w:pPr>
        <w:rPr>
          <w:rFonts w:ascii="Arial" w:hAnsi="Arial" w:cs="Arial"/>
          <w:b/>
          <w:color w:val="0D2255"/>
          <w:sz w:val="20"/>
        </w:rPr>
      </w:pPr>
      <w:r w:rsidRPr="00325254">
        <w:rPr>
          <w:rFonts w:ascii="Arial" w:hAnsi="Arial" w:cs="Arial"/>
          <w:b/>
          <w:color w:val="0D2255"/>
          <w:sz w:val="20"/>
        </w:rPr>
        <w:t>CV output rolling year total</w:t>
      </w:r>
      <w:r w:rsidRPr="00325254">
        <w:rPr>
          <w:rFonts w:ascii="Arial" w:hAnsi="Arial" w:cs="Arial"/>
          <w:b/>
          <w:color w:val="0D2255"/>
          <w:sz w:val="20"/>
        </w:rPr>
        <w:tab/>
      </w:r>
      <w:r w:rsidRPr="00325254">
        <w:rPr>
          <w:rFonts w:ascii="Arial" w:hAnsi="Arial" w:cs="Arial"/>
          <w:b/>
          <w:color w:val="0D2255"/>
          <w:sz w:val="20"/>
        </w:rPr>
        <w:tab/>
        <w:t xml:space="preserve">       </w:t>
      </w:r>
      <w:r w:rsidRPr="00325254">
        <w:rPr>
          <w:rFonts w:ascii="Arial" w:hAnsi="Arial" w:cs="Arial"/>
          <w:b/>
          <w:color w:val="0D2255"/>
          <w:sz w:val="20"/>
        </w:rPr>
        <w:tab/>
        <w:t xml:space="preserve">         CV output, year-to-date, 2012-2014</w:t>
      </w:r>
    </w:p>
    <w:p w:rsidR="000B47D6" w:rsidRPr="00767145" w:rsidRDefault="004974B1" w:rsidP="00C4074C">
      <w:pPr>
        <w:rPr>
          <w:rFonts w:ascii="Arial" w:eastAsiaTheme="minorEastAsia" w:hAnsi="Arial" w:cs="Arial"/>
          <w:b/>
          <w:bCs/>
          <w:color w:val="1074CB"/>
          <w:sz w:val="44"/>
          <w:szCs w:val="44"/>
        </w:rPr>
      </w:pPr>
      <w:r w:rsidRPr="004974B1">
        <w:rPr>
          <w:rFonts w:ascii="Arial" w:hAnsi="Arial" w:cs="Arial"/>
          <w:noProof/>
          <w:sz w:val="20"/>
          <w:highlight w:val="yellow"/>
        </w:rPr>
        <w:pict>
          <v:shapetype id="_x0000_t202" coordsize="21600,21600" o:spt="202" path="m,l,21600r21600,l21600,xe">
            <v:stroke joinstyle="miter"/>
            <v:path gradientshapeok="t" o:connecttype="rect"/>
          </v:shapetype>
          <v:shape id="_x0000_s1029" type="#_x0000_t202" style="position:absolute;margin-left:220.1pt;margin-top:2pt;width:213.6pt;height:214.75pt;z-index:251668480;mso-width-relative:margin;mso-height-relative:margin" stroked="f">
            <v:textbox style="mso-next-textbox:#_x0000_s1029">
              <w:txbxContent>
                <w:p w:rsidR="00670632" w:rsidRPr="00D561FB" w:rsidRDefault="00670632" w:rsidP="00142AE3">
                  <w:r w:rsidRPr="003D5459">
                    <w:rPr>
                      <w:noProof/>
                    </w:rPr>
                    <w:drawing>
                      <wp:inline distT="0" distB="0" distL="0" distR="0">
                        <wp:extent cx="2531534" cy="2429933"/>
                        <wp:effectExtent l="0" t="0" r="0"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sidR="00142AE3" w:rsidRPr="00142AE3">
        <w:rPr>
          <w:noProof/>
        </w:rPr>
        <w:t xml:space="preserve"> </w:t>
      </w:r>
      <w:r w:rsidR="003D5459" w:rsidRPr="003D5459">
        <w:rPr>
          <w:noProof/>
        </w:rPr>
        <w:drawing>
          <wp:inline distT="0" distB="0" distL="0" distR="0">
            <wp:extent cx="2771775" cy="2667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0B47D6" w:rsidRPr="00767145"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E98" w:rsidRDefault="009B1E98" w:rsidP="00C80E70">
      <w:r>
        <w:separator/>
      </w:r>
    </w:p>
  </w:endnote>
  <w:endnote w:type="continuationSeparator" w:id="0">
    <w:p w:rsidR="009B1E98" w:rsidRDefault="009B1E98"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32" w:rsidRDefault="00670632" w:rsidP="0014558C">
    <w:pPr>
      <w:rPr>
        <w:rFonts w:ascii="Arial" w:hAnsi="Arial" w:cs="Arial"/>
        <w:sz w:val="16"/>
        <w:szCs w:val="16"/>
      </w:rPr>
    </w:pPr>
    <w:r>
      <w:rPr>
        <w:rFonts w:ascii="Arial" w:hAnsi="Arial" w:cs="Arial"/>
        <w:b/>
        <w:bCs/>
        <w:color w:val="1074CB"/>
        <w:sz w:val="16"/>
        <w:szCs w:val="16"/>
      </w:rPr>
      <w:t>About SMMT</w:t>
    </w:r>
    <w:r w:rsidR="00AD5A18">
      <w:rPr>
        <w:rFonts w:ascii="Arial" w:hAnsi="Arial" w:cs="Arial"/>
        <w:b/>
        <w:bCs/>
        <w:color w:val="1074CB"/>
        <w:sz w:val="16"/>
        <w:szCs w:val="16"/>
      </w:rPr>
      <w:t xml:space="preserve"> and the UK automotive industry</w:t>
    </w:r>
  </w:p>
  <w:p w:rsidR="00670632" w:rsidRDefault="00670632" w:rsidP="0014558C">
    <w:pPr>
      <w:pStyle w:val="NormalWeb"/>
      <w:spacing w:before="0" w:beforeAutospacing="0" w:after="0" w:afterAutospacing="0"/>
      <w:rPr>
        <w:rFonts w:ascii="Arial" w:hAnsi="Arial" w:cs="Arial"/>
        <w:color w:val="1074CB"/>
        <w:sz w:val="16"/>
        <w:szCs w:val="16"/>
      </w:rPr>
    </w:pPr>
    <w:r>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70632" w:rsidRDefault="00670632" w:rsidP="0014558C">
    <w:pPr>
      <w:pStyle w:val="NormalWeb"/>
      <w:spacing w:before="0" w:beforeAutospacing="0" w:after="0" w:afterAutospacing="0"/>
      <w:rPr>
        <w:rFonts w:ascii="Arial" w:hAnsi="Arial" w:cs="Arial"/>
        <w:color w:val="1074CB"/>
        <w:sz w:val="15"/>
        <w:szCs w:val="15"/>
      </w:rPr>
    </w:pPr>
  </w:p>
  <w:p w:rsidR="00670632" w:rsidRDefault="00670632" w:rsidP="0014558C">
    <w:pPr>
      <w:pStyle w:val="NormalWeb"/>
      <w:spacing w:before="0" w:beforeAutospacing="0" w:after="0" w:afterAutospacing="0"/>
      <w:rPr>
        <w:rFonts w:ascii="Arial" w:hAnsi="Arial" w:cs="Arial"/>
        <w:color w:val="1074CB"/>
        <w:sz w:val="16"/>
        <w:szCs w:val="16"/>
      </w:rPr>
    </w:pPr>
    <w:r>
      <w:rPr>
        <w:rFonts w:ascii="Arial" w:hAnsi="Arial" w:cs="Arial"/>
        <w:color w:val="1074CB"/>
        <w:sz w:val="16"/>
        <w:szCs w:val="16"/>
      </w:rPr>
      <w:t xml:space="preserve">The automotive industry is a vital part of the UK economy accounting for more than </w:t>
    </w:r>
    <w:r>
      <w:rPr>
        <w:rStyle w:val="Strong"/>
        <w:rFonts w:ascii="Arial" w:hAnsi="Arial" w:cs="Arial"/>
        <w:color w:val="1074CB"/>
        <w:sz w:val="16"/>
        <w:szCs w:val="16"/>
      </w:rPr>
      <w:t>£60 billion turnover</w:t>
    </w:r>
    <w:r>
      <w:rPr>
        <w:rFonts w:ascii="Arial" w:hAnsi="Arial" w:cs="Arial"/>
        <w:color w:val="1074CB"/>
        <w:sz w:val="16"/>
        <w:szCs w:val="16"/>
      </w:rPr>
      <w:t xml:space="preserve"> and </w:t>
    </w:r>
    <w:r>
      <w:rPr>
        <w:rStyle w:val="Strong"/>
        <w:rFonts w:ascii="Arial" w:hAnsi="Arial" w:cs="Arial"/>
        <w:color w:val="1074CB"/>
        <w:sz w:val="16"/>
        <w:szCs w:val="16"/>
      </w:rPr>
      <w:t>£12 billion value added</w:t>
    </w:r>
    <w:r>
      <w:rPr>
        <w:rFonts w:ascii="Arial" w:hAnsi="Arial" w:cs="Arial"/>
        <w:color w:val="1074CB"/>
        <w:sz w:val="16"/>
        <w:szCs w:val="16"/>
      </w:rPr>
      <w:t xml:space="preserve">. With almost </w:t>
    </w:r>
    <w:r>
      <w:rPr>
        <w:rFonts w:ascii="Arial" w:hAnsi="Arial" w:cs="Arial"/>
        <w:b/>
        <w:bCs/>
        <w:color w:val="1074CB"/>
        <w:sz w:val="16"/>
        <w:szCs w:val="16"/>
      </w:rPr>
      <w:t>150,000</w:t>
    </w:r>
    <w:r>
      <w:rPr>
        <w:rFonts w:ascii="Arial" w:hAnsi="Arial" w:cs="Arial"/>
        <w:color w:val="1074CB"/>
        <w:sz w:val="16"/>
        <w:szCs w:val="16"/>
      </w:rPr>
      <w:t xml:space="preserve"> people employed directly in manufacturing and more than </w:t>
    </w:r>
    <w:r>
      <w:rPr>
        <w:rStyle w:val="Strong"/>
        <w:rFonts w:ascii="Arial" w:hAnsi="Arial" w:cs="Arial"/>
        <w:color w:val="1074CB"/>
        <w:sz w:val="16"/>
        <w:szCs w:val="16"/>
      </w:rPr>
      <w:t xml:space="preserve">700,000 across </w:t>
    </w:r>
    <w:r>
      <w:rPr>
        <w:rFonts w:ascii="Arial" w:hAnsi="Arial" w:cs="Arial"/>
        <w:color w:val="1074CB"/>
        <w:sz w:val="16"/>
        <w:szCs w:val="16"/>
      </w:rPr>
      <w:t xml:space="preserve">the wider automotive industry, it accounts for </w:t>
    </w:r>
    <w:r>
      <w:rPr>
        <w:rStyle w:val="Strong"/>
        <w:rFonts w:ascii="Arial" w:hAnsi="Arial" w:cs="Arial"/>
        <w:color w:val="1074CB"/>
        <w:sz w:val="16"/>
        <w:szCs w:val="16"/>
      </w:rPr>
      <w:t>10% of total UK export</w:t>
    </w:r>
    <w:r>
      <w:rPr>
        <w:rFonts w:ascii="Arial" w:hAnsi="Arial" w:cs="Arial"/>
        <w:b/>
        <w:bCs/>
        <w:color w:val="1074CB"/>
        <w:sz w:val="16"/>
        <w:szCs w:val="16"/>
      </w:rPr>
      <w:t xml:space="preserve"> of goods</w:t>
    </w:r>
    <w:r>
      <w:rPr>
        <w:rFonts w:ascii="Arial" w:hAnsi="Arial" w:cs="Arial"/>
        <w:color w:val="1074CB"/>
        <w:sz w:val="16"/>
        <w:szCs w:val="16"/>
      </w:rPr>
      <w:t xml:space="preserve"> and invests </w:t>
    </w:r>
    <w:r>
      <w:rPr>
        <w:rStyle w:val="Strong"/>
        <w:rFonts w:ascii="Arial" w:hAnsi="Arial" w:cs="Arial"/>
        <w:color w:val="1074CB"/>
        <w:sz w:val="16"/>
        <w:szCs w:val="16"/>
      </w:rPr>
      <w:t>£1.7 billion</w:t>
    </w:r>
    <w:r>
      <w:rPr>
        <w:rFonts w:ascii="Arial" w:hAnsi="Arial" w:cs="Arial"/>
        <w:color w:val="1074CB"/>
        <w:sz w:val="16"/>
        <w:szCs w:val="16"/>
      </w:rPr>
      <w:t xml:space="preserve"> each year in automotive R&amp;D. More than </w:t>
    </w:r>
    <w:r>
      <w:rPr>
        <w:rStyle w:val="Strong"/>
        <w:rFonts w:ascii="Arial" w:hAnsi="Arial" w:cs="Arial"/>
        <w:color w:val="1074CB"/>
        <w:sz w:val="16"/>
        <w:szCs w:val="16"/>
      </w:rPr>
      <w:t>30 manufacturers</w:t>
    </w:r>
    <w:r>
      <w:rPr>
        <w:rFonts w:ascii="Arial" w:hAnsi="Arial" w:cs="Arial"/>
        <w:color w:val="1074CB"/>
        <w:sz w:val="16"/>
        <w:szCs w:val="16"/>
      </w:rPr>
      <w:t xml:space="preserve"> build in excess of </w:t>
    </w:r>
    <w:r>
      <w:rPr>
        <w:rStyle w:val="Strong"/>
        <w:rFonts w:ascii="Arial" w:hAnsi="Arial" w:cs="Arial"/>
        <w:color w:val="1074CB"/>
        <w:sz w:val="16"/>
        <w:szCs w:val="16"/>
      </w:rPr>
      <w:t>70 models</w:t>
    </w:r>
    <w:r>
      <w:rPr>
        <w:rFonts w:ascii="Arial" w:hAnsi="Arial" w:cs="Arial"/>
        <w:color w:val="1074CB"/>
        <w:sz w:val="16"/>
        <w:szCs w:val="16"/>
      </w:rPr>
      <w:t xml:space="preserve"> of vehicle in the UK supported by around </w:t>
    </w:r>
    <w:r>
      <w:rPr>
        <w:rStyle w:val="Strong"/>
        <w:rFonts w:ascii="Arial" w:hAnsi="Arial" w:cs="Arial"/>
        <w:color w:val="1074CB"/>
        <w:sz w:val="16"/>
        <w:szCs w:val="16"/>
      </w:rPr>
      <w:t>2,500 component providers</w:t>
    </w:r>
    <w:r>
      <w:rPr>
        <w:rFonts w:ascii="Arial" w:hAnsi="Arial" w:cs="Arial"/>
        <w:color w:val="1074CB"/>
        <w:sz w:val="16"/>
        <w:szCs w:val="16"/>
      </w:rPr>
      <w:t xml:space="preserve"> and some of the world's most </w:t>
    </w:r>
    <w:r>
      <w:rPr>
        <w:rStyle w:val="Strong"/>
        <w:rFonts w:ascii="Arial" w:hAnsi="Arial" w:cs="Arial"/>
        <w:color w:val="1074CB"/>
        <w:sz w:val="16"/>
        <w:szCs w:val="16"/>
      </w:rPr>
      <w:t>skilled engineers</w:t>
    </w:r>
    <w:r>
      <w:rPr>
        <w:rFonts w:ascii="Arial" w:hAnsi="Arial" w:cs="Arial"/>
        <w:color w:val="1074CB"/>
        <w:sz w:val="16"/>
        <w:szCs w:val="16"/>
      </w:rPr>
      <w:t>.</w:t>
    </w:r>
  </w:p>
  <w:p w:rsidR="00670632" w:rsidRDefault="00670632" w:rsidP="0014558C">
    <w:pPr>
      <w:pStyle w:val="NormalWeb"/>
      <w:spacing w:before="0" w:beforeAutospacing="0" w:after="0" w:afterAutospacing="0"/>
      <w:rPr>
        <w:rFonts w:ascii="Arial" w:hAnsi="Arial" w:cs="Arial"/>
        <w:color w:val="1074CB"/>
        <w:sz w:val="16"/>
        <w:szCs w:val="16"/>
      </w:rPr>
    </w:pPr>
  </w:p>
  <w:p w:rsidR="00670632" w:rsidRDefault="00670632" w:rsidP="0014558C">
    <w:pPr>
      <w:pStyle w:val="NormalWeb"/>
      <w:spacing w:before="0" w:beforeAutospacing="0" w:after="0" w:afterAutospacing="0"/>
      <w:rPr>
        <w:rFonts w:ascii="Arial" w:hAnsi="Arial" w:cs="Arial"/>
        <w:sz w:val="16"/>
        <w:szCs w:val="16"/>
      </w:rPr>
    </w:pPr>
    <w:r>
      <w:rPr>
        <w:rFonts w:ascii="Arial" w:hAnsi="Arial" w:cs="Arial"/>
        <w:color w:val="1074CB"/>
        <w:sz w:val="16"/>
        <w:szCs w:val="16"/>
      </w:rPr>
      <w:t xml:space="preserve">More detail on UK automotive available in SMMT's Motor Industry Facts 2014 publication at </w:t>
    </w:r>
    <w:hyperlink r:id="rId1" w:history="1">
      <w:r>
        <w:rPr>
          <w:rStyle w:val="Hyperlink"/>
          <w:rFonts w:ascii="Arial" w:hAnsi="Arial" w:cs="Arial"/>
          <w:sz w:val="16"/>
          <w:szCs w:val="16"/>
        </w:rPr>
        <w:t>www.smmt.co.uk/facts14</w:t>
      </w:r>
    </w:hyperlink>
    <w:r>
      <w:rPr>
        <w:rFonts w:ascii="Arial" w:hAnsi="Arial" w:cs="Arial"/>
        <w:color w:val="1074CB"/>
        <w:sz w:val="16"/>
        <w:szCs w:val="16"/>
      </w:rPr>
      <w:t>.</w:t>
    </w:r>
  </w:p>
  <w:p w:rsidR="00670632" w:rsidRDefault="00670632" w:rsidP="0014558C">
    <w:pPr>
      <w:pStyle w:val="NormalWeb"/>
      <w:spacing w:before="0" w:beforeAutospacing="0" w:after="0" w:afterAutospacing="0"/>
      <w:rPr>
        <w:rFonts w:ascii="Arial" w:hAnsi="Arial" w:cs="Arial"/>
        <w:sz w:val="16"/>
        <w:szCs w:val="16"/>
      </w:rPr>
    </w:pPr>
  </w:p>
  <w:p w:rsidR="00670632" w:rsidRDefault="00670632" w:rsidP="0014558C">
    <w:pPr>
      <w:pStyle w:val="NormalWeb"/>
      <w:spacing w:before="0" w:beforeAutospacing="0" w:after="0" w:afterAutospacing="0"/>
      <w:rPr>
        <w:rFonts w:ascii="Arial" w:hAnsi="Arial" w:cs="Arial"/>
        <w:sz w:val="16"/>
        <w:szCs w:val="16"/>
      </w:rPr>
    </w:pPr>
    <w:r>
      <w:rPr>
        <w:rStyle w:val="Strong"/>
        <w:rFonts w:ascii="Arial" w:hAnsi="Arial" w:cs="Arial"/>
        <w:color w:val="1074CB"/>
        <w:sz w:val="16"/>
        <w:szCs w:val="16"/>
        <w:u w:val="single"/>
      </w:rPr>
      <w:t>Broadcasters</w:t>
    </w:r>
    <w:r>
      <w:rPr>
        <w:rStyle w:val="Strong"/>
        <w:rFonts w:ascii="Arial" w:hAnsi="Arial" w:cs="Arial"/>
        <w:color w:val="1074CB"/>
        <w:sz w:val="16"/>
        <w:szCs w:val="16"/>
      </w:rPr>
      <w:t>: SMMT has an ISDN studio and access to expert spokespeople, case studies and regional representatives.</w:t>
    </w:r>
  </w:p>
  <w:p w:rsidR="00670632" w:rsidRDefault="00670632" w:rsidP="0014558C">
    <w:pPr>
      <w:rPr>
        <w:rFonts w:ascii="Arial" w:hAnsi="Arial" w:cs="Arial"/>
        <w:b/>
        <w:bCs/>
        <w:color w:val="1074CB"/>
        <w:sz w:val="16"/>
        <w:szCs w:val="16"/>
      </w:rPr>
    </w:pPr>
  </w:p>
  <w:p w:rsidR="00670632" w:rsidRDefault="00670632" w:rsidP="0014558C">
    <w:pPr>
      <w:rPr>
        <w:rFonts w:ascii="Arial" w:hAnsi="Arial" w:cs="Arial"/>
        <w:b/>
        <w:bCs/>
        <w:color w:val="1074CB"/>
        <w:sz w:val="16"/>
        <w:szCs w:val="16"/>
      </w:rPr>
    </w:pPr>
    <w:r>
      <w:rPr>
        <w:rFonts w:ascii="Arial" w:hAnsi="Arial" w:cs="Arial"/>
        <w:b/>
        <w:bCs/>
        <w:color w:val="1074CB"/>
        <w:sz w:val="16"/>
        <w:szCs w:val="16"/>
      </w:rPr>
      <w:t>Media contacts</w:t>
    </w:r>
  </w:p>
  <w:p w:rsidR="00670632" w:rsidRDefault="00670632" w:rsidP="0014558C">
    <w:pPr>
      <w:rPr>
        <w:rFonts w:ascii="Arial" w:hAnsi="Arial" w:cs="Arial"/>
        <w:color w:val="1074CB"/>
        <w:sz w:val="16"/>
        <w:szCs w:val="16"/>
      </w:rPr>
    </w:pPr>
    <w:r>
      <w:rPr>
        <w:rFonts w:ascii="Arial" w:hAnsi="Arial" w:cs="Arial"/>
        <w:color w:val="1074CB"/>
        <w:sz w:val="16"/>
        <w:szCs w:val="16"/>
      </w:rPr>
      <w:t>Ben Foulds</w:t>
    </w:r>
    <w:r w:rsidR="00AD5A18">
      <w:rPr>
        <w:rFonts w:ascii="Arial" w:hAnsi="Arial" w:cs="Arial"/>
        <w:color w:val="1074CB"/>
        <w:sz w:val="16"/>
        <w:szCs w:val="16"/>
      </w:rPr>
      <w:tab/>
    </w:r>
    <w:r w:rsidR="00AD5A18">
      <w:rPr>
        <w:rFonts w:ascii="Arial" w:hAnsi="Arial" w:cs="Arial"/>
        <w:color w:val="1074CB"/>
        <w:sz w:val="16"/>
        <w:szCs w:val="16"/>
      </w:rPr>
      <w:tab/>
    </w:r>
    <w:r>
      <w:rPr>
        <w:rFonts w:ascii="Arial" w:hAnsi="Arial" w:cs="Arial"/>
        <w:color w:val="1074CB"/>
        <w:sz w:val="16"/>
        <w:szCs w:val="16"/>
      </w:rPr>
      <w:t>020 7344 9222</w:t>
    </w:r>
    <w:r w:rsidR="00AD5A18">
      <w:rPr>
        <w:rFonts w:ascii="Arial" w:hAnsi="Arial" w:cs="Arial"/>
        <w:color w:val="1074CB"/>
        <w:sz w:val="16"/>
        <w:szCs w:val="16"/>
      </w:rPr>
      <w:tab/>
    </w:r>
    <w:hyperlink r:id="rId2" w:history="1">
      <w:r>
        <w:rPr>
          <w:rStyle w:val="Hyperlink"/>
          <w:rFonts w:ascii="Arial" w:hAnsi="Arial" w:cs="Arial"/>
          <w:sz w:val="16"/>
          <w:szCs w:val="16"/>
        </w:rPr>
        <w:t>bfoulds@smmt.co.uk</w:t>
      </w:r>
    </w:hyperlink>
    <w:r>
      <w:rPr>
        <w:rFonts w:ascii="Arial" w:hAnsi="Arial" w:cs="Arial"/>
        <w:color w:val="1074CB"/>
        <w:sz w:val="16"/>
        <w:szCs w:val="16"/>
      </w:rPr>
      <w:t xml:space="preserve"> </w:t>
    </w:r>
  </w:p>
  <w:p w:rsidR="00670632" w:rsidRDefault="00670632" w:rsidP="0014558C">
    <w:pPr>
      <w:rPr>
        <w:rFonts w:ascii="Arial" w:hAnsi="Arial" w:cs="Arial"/>
        <w:color w:val="1074CB"/>
        <w:sz w:val="16"/>
        <w:szCs w:val="16"/>
      </w:rPr>
    </w:pPr>
    <w:r>
      <w:rPr>
        <w:rFonts w:ascii="Arial" w:hAnsi="Arial" w:cs="Arial"/>
        <w:color w:val="1074CB"/>
        <w:sz w:val="16"/>
        <w:szCs w:val="16"/>
      </w:rPr>
      <w:t>Jonathan Visscher</w:t>
    </w:r>
    <w:r w:rsidR="00AD5A18">
      <w:rPr>
        <w:rFonts w:ascii="Arial" w:hAnsi="Arial" w:cs="Arial"/>
        <w:color w:val="1074CB"/>
        <w:sz w:val="16"/>
        <w:szCs w:val="16"/>
      </w:rPr>
      <w:tab/>
    </w:r>
    <w:r w:rsidR="00AD5A18">
      <w:rPr>
        <w:rFonts w:ascii="Arial" w:hAnsi="Arial" w:cs="Arial"/>
        <w:color w:val="1074CB"/>
        <w:sz w:val="16"/>
        <w:szCs w:val="16"/>
      </w:rPr>
      <w:tab/>
    </w:r>
    <w:r>
      <w:rPr>
        <w:rFonts w:ascii="Arial" w:hAnsi="Arial" w:cs="Arial"/>
        <w:color w:val="1074CB"/>
        <w:sz w:val="16"/>
        <w:szCs w:val="16"/>
      </w:rPr>
      <w:t>020 7344 9263</w:t>
    </w:r>
    <w:r w:rsidR="00AD5A18">
      <w:rPr>
        <w:rFonts w:ascii="Arial" w:hAnsi="Arial" w:cs="Arial"/>
        <w:color w:val="1074CB"/>
        <w:sz w:val="16"/>
        <w:szCs w:val="16"/>
      </w:rPr>
      <w:tab/>
    </w:r>
    <w:hyperlink r:id="rId3" w:history="1">
      <w:r>
        <w:rPr>
          <w:rStyle w:val="Hyperlink"/>
          <w:rFonts w:ascii="Arial" w:hAnsi="Arial" w:cs="Arial"/>
          <w:sz w:val="16"/>
          <w:szCs w:val="16"/>
        </w:rPr>
        <w:t>jvisscher@smmt.co.uk</w:t>
      </w:r>
    </w:hyperlink>
    <w:r>
      <w:rPr>
        <w:rFonts w:ascii="Arial" w:hAnsi="Arial" w:cs="Arial"/>
        <w:color w:val="1074CB"/>
        <w:sz w:val="16"/>
        <w:szCs w:val="16"/>
      </w:rPr>
      <w:t xml:space="preserve"> </w:t>
    </w:r>
  </w:p>
  <w:p w:rsidR="00670632" w:rsidRDefault="00670632" w:rsidP="0014558C">
    <w:pPr>
      <w:rPr>
        <w:rFonts w:cs="Times"/>
        <w:szCs w:val="24"/>
      </w:rPr>
    </w:pPr>
    <w:r>
      <w:rPr>
        <w:rFonts w:ascii="Arial" w:hAnsi="Arial" w:cs="Arial"/>
        <w:color w:val="1074CB"/>
        <w:sz w:val="16"/>
        <w:szCs w:val="16"/>
      </w:rPr>
      <w:t>Keith Lewis</w:t>
    </w:r>
    <w:r w:rsidR="00AD5A18">
      <w:rPr>
        <w:rFonts w:ascii="Arial" w:hAnsi="Arial" w:cs="Arial"/>
        <w:color w:val="1074CB"/>
        <w:sz w:val="16"/>
        <w:szCs w:val="16"/>
      </w:rPr>
      <w:tab/>
    </w:r>
    <w:r w:rsidR="00AD5A18">
      <w:rPr>
        <w:rFonts w:ascii="Arial" w:hAnsi="Arial" w:cs="Arial"/>
        <w:color w:val="1074CB"/>
        <w:sz w:val="16"/>
        <w:szCs w:val="16"/>
      </w:rPr>
      <w:tab/>
    </w:r>
    <w:r>
      <w:rPr>
        <w:rFonts w:ascii="Arial" w:hAnsi="Arial" w:cs="Arial"/>
        <w:color w:val="1074CB"/>
        <w:sz w:val="16"/>
        <w:szCs w:val="16"/>
      </w:rPr>
      <w:t>020 7344 9226</w:t>
    </w:r>
    <w:r w:rsidR="00AD5A18">
      <w:rPr>
        <w:rFonts w:ascii="Arial" w:hAnsi="Arial" w:cs="Arial"/>
        <w:color w:val="1074CB"/>
        <w:sz w:val="16"/>
        <w:szCs w:val="16"/>
      </w:rPr>
      <w:tab/>
    </w:r>
    <w:hyperlink r:id="rId4" w:history="1">
      <w:r>
        <w:rPr>
          <w:rStyle w:val="Hyperlink"/>
          <w:rFonts w:ascii="Arial" w:hAnsi="Arial" w:cs="Arial"/>
          <w:sz w:val="16"/>
          <w:szCs w:val="16"/>
        </w:rPr>
        <w:t>klewis@smmt.co.uk</w:t>
      </w:r>
    </w:hyperlink>
  </w:p>
  <w:p w:rsidR="00670632" w:rsidRDefault="00670632" w:rsidP="00B94DB1">
    <w:pPr>
      <w:rPr>
        <w:rFonts w:ascii="Arial" w:hAnsi="Arial" w:cs="Arial"/>
        <w:color w:val="1074C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E98" w:rsidRDefault="009B1E98" w:rsidP="00C80E70">
      <w:r>
        <w:separator/>
      </w:r>
    </w:p>
  </w:footnote>
  <w:footnote w:type="continuationSeparator" w:id="0">
    <w:p w:rsidR="009B1E98" w:rsidRDefault="009B1E98"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32" w:rsidRDefault="00670632"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80E70"/>
    <w:rsid w:val="0001774D"/>
    <w:rsid w:val="00040399"/>
    <w:rsid w:val="00054E31"/>
    <w:rsid w:val="00066F55"/>
    <w:rsid w:val="00096A24"/>
    <w:rsid w:val="000B47D6"/>
    <w:rsid w:val="000C3FDE"/>
    <w:rsid w:val="000E5317"/>
    <w:rsid w:val="00116666"/>
    <w:rsid w:val="00121C86"/>
    <w:rsid w:val="00125D19"/>
    <w:rsid w:val="00133B87"/>
    <w:rsid w:val="0013617E"/>
    <w:rsid w:val="00142AE3"/>
    <w:rsid w:val="0014558C"/>
    <w:rsid w:val="001737CD"/>
    <w:rsid w:val="00192CE4"/>
    <w:rsid w:val="001A67B5"/>
    <w:rsid w:val="001C389E"/>
    <w:rsid w:val="001D6CB9"/>
    <w:rsid w:val="001E2638"/>
    <w:rsid w:val="001E33CE"/>
    <w:rsid w:val="001E428D"/>
    <w:rsid w:val="00200F65"/>
    <w:rsid w:val="00201A40"/>
    <w:rsid w:val="0020649D"/>
    <w:rsid w:val="00252DCB"/>
    <w:rsid w:val="00261AF5"/>
    <w:rsid w:val="00266A9A"/>
    <w:rsid w:val="002A5934"/>
    <w:rsid w:val="002B4F7D"/>
    <w:rsid w:val="002C400E"/>
    <w:rsid w:val="002D17AA"/>
    <w:rsid w:val="002D6C6E"/>
    <w:rsid w:val="002F3F25"/>
    <w:rsid w:val="002F73AF"/>
    <w:rsid w:val="00325254"/>
    <w:rsid w:val="003372F6"/>
    <w:rsid w:val="0037100E"/>
    <w:rsid w:val="00375DF8"/>
    <w:rsid w:val="003A0F07"/>
    <w:rsid w:val="003A3777"/>
    <w:rsid w:val="003B1C39"/>
    <w:rsid w:val="003C76B4"/>
    <w:rsid w:val="003D5459"/>
    <w:rsid w:val="003E4D46"/>
    <w:rsid w:val="003E69D3"/>
    <w:rsid w:val="00410539"/>
    <w:rsid w:val="00440369"/>
    <w:rsid w:val="00443FDD"/>
    <w:rsid w:val="00447CDA"/>
    <w:rsid w:val="00456EBB"/>
    <w:rsid w:val="00464583"/>
    <w:rsid w:val="0046552A"/>
    <w:rsid w:val="00467D20"/>
    <w:rsid w:val="00471965"/>
    <w:rsid w:val="00472D14"/>
    <w:rsid w:val="00482D22"/>
    <w:rsid w:val="00486897"/>
    <w:rsid w:val="00494E5E"/>
    <w:rsid w:val="004974B1"/>
    <w:rsid w:val="004B723F"/>
    <w:rsid w:val="004B727E"/>
    <w:rsid w:val="004C6507"/>
    <w:rsid w:val="004D2D65"/>
    <w:rsid w:val="004D592D"/>
    <w:rsid w:val="0050320D"/>
    <w:rsid w:val="00505C8C"/>
    <w:rsid w:val="00521570"/>
    <w:rsid w:val="005218AC"/>
    <w:rsid w:val="005230CA"/>
    <w:rsid w:val="00531139"/>
    <w:rsid w:val="005407A6"/>
    <w:rsid w:val="00542422"/>
    <w:rsid w:val="00545182"/>
    <w:rsid w:val="005534B2"/>
    <w:rsid w:val="0055683E"/>
    <w:rsid w:val="005621BD"/>
    <w:rsid w:val="00567F13"/>
    <w:rsid w:val="00577A32"/>
    <w:rsid w:val="005926DF"/>
    <w:rsid w:val="005B33EF"/>
    <w:rsid w:val="005B536B"/>
    <w:rsid w:val="005C668F"/>
    <w:rsid w:val="005E2C9D"/>
    <w:rsid w:val="005F44DC"/>
    <w:rsid w:val="0060762E"/>
    <w:rsid w:val="00614891"/>
    <w:rsid w:val="00626F3D"/>
    <w:rsid w:val="006315A6"/>
    <w:rsid w:val="0063394A"/>
    <w:rsid w:val="00652DC2"/>
    <w:rsid w:val="00653F42"/>
    <w:rsid w:val="006623D6"/>
    <w:rsid w:val="00670632"/>
    <w:rsid w:val="00686576"/>
    <w:rsid w:val="00696C6A"/>
    <w:rsid w:val="006B3606"/>
    <w:rsid w:val="006B4C72"/>
    <w:rsid w:val="006B7F8A"/>
    <w:rsid w:val="006D538E"/>
    <w:rsid w:val="006E5BF9"/>
    <w:rsid w:val="006F7AF9"/>
    <w:rsid w:val="00703767"/>
    <w:rsid w:val="00714EF7"/>
    <w:rsid w:val="00735C0B"/>
    <w:rsid w:val="0073709A"/>
    <w:rsid w:val="007430A2"/>
    <w:rsid w:val="007433FE"/>
    <w:rsid w:val="00750A6C"/>
    <w:rsid w:val="00761183"/>
    <w:rsid w:val="00767145"/>
    <w:rsid w:val="007851A1"/>
    <w:rsid w:val="00787B6E"/>
    <w:rsid w:val="00791C3D"/>
    <w:rsid w:val="007B7669"/>
    <w:rsid w:val="007D36B3"/>
    <w:rsid w:val="00800A86"/>
    <w:rsid w:val="008030A3"/>
    <w:rsid w:val="00804C47"/>
    <w:rsid w:val="00806662"/>
    <w:rsid w:val="00880351"/>
    <w:rsid w:val="00891F21"/>
    <w:rsid w:val="008B50CB"/>
    <w:rsid w:val="008E4462"/>
    <w:rsid w:val="008F55A4"/>
    <w:rsid w:val="00924274"/>
    <w:rsid w:val="00931C26"/>
    <w:rsid w:val="00932034"/>
    <w:rsid w:val="009511F2"/>
    <w:rsid w:val="00951B31"/>
    <w:rsid w:val="009548FB"/>
    <w:rsid w:val="00964455"/>
    <w:rsid w:val="009713FE"/>
    <w:rsid w:val="0097483C"/>
    <w:rsid w:val="009B1E98"/>
    <w:rsid w:val="009F5D30"/>
    <w:rsid w:val="00A2060E"/>
    <w:rsid w:val="00A24874"/>
    <w:rsid w:val="00A453EF"/>
    <w:rsid w:val="00A51715"/>
    <w:rsid w:val="00A67F90"/>
    <w:rsid w:val="00A72CAD"/>
    <w:rsid w:val="00A773DB"/>
    <w:rsid w:val="00A93DE9"/>
    <w:rsid w:val="00A94474"/>
    <w:rsid w:val="00A96D25"/>
    <w:rsid w:val="00AA2084"/>
    <w:rsid w:val="00AA7BF4"/>
    <w:rsid w:val="00AB33BB"/>
    <w:rsid w:val="00AD5A18"/>
    <w:rsid w:val="00AD65CE"/>
    <w:rsid w:val="00B12E13"/>
    <w:rsid w:val="00B13DA6"/>
    <w:rsid w:val="00B2588D"/>
    <w:rsid w:val="00B36DF8"/>
    <w:rsid w:val="00B4035F"/>
    <w:rsid w:val="00B40CCD"/>
    <w:rsid w:val="00B56547"/>
    <w:rsid w:val="00B94DB1"/>
    <w:rsid w:val="00B95B22"/>
    <w:rsid w:val="00BC3163"/>
    <w:rsid w:val="00BC5727"/>
    <w:rsid w:val="00BC7B6B"/>
    <w:rsid w:val="00BF086E"/>
    <w:rsid w:val="00BF0928"/>
    <w:rsid w:val="00BF4C94"/>
    <w:rsid w:val="00C02170"/>
    <w:rsid w:val="00C065D0"/>
    <w:rsid w:val="00C07099"/>
    <w:rsid w:val="00C100C5"/>
    <w:rsid w:val="00C108FE"/>
    <w:rsid w:val="00C120C5"/>
    <w:rsid w:val="00C30AE8"/>
    <w:rsid w:val="00C4074C"/>
    <w:rsid w:val="00C53C0C"/>
    <w:rsid w:val="00C625B1"/>
    <w:rsid w:val="00C657AB"/>
    <w:rsid w:val="00C73F08"/>
    <w:rsid w:val="00C80E70"/>
    <w:rsid w:val="00C83606"/>
    <w:rsid w:val="00CD0659"/>
    <w:rsid w:val="00CE070B"/>
    <w:rsid w:val="00CE3518"/>
    <w:rsid w:val="00D12474"/>
    <w:rsid w:val="00D335A5"/>
    <w:rsid w:val="00D446D8"/>
    <w:rsid w:val="00D448CA"/>
    <w:rsid w:val="00D561FB"/>
    <w:rsid w:val="00D6067E"/>
    <w:rsid w:val="00D6336B"/>
    <w:rsid w:val="00D70424"/>
    <w:rsid w:val="00D82F6C"/>
    <w:rsid w:val="00D86627"/>
    <w:rsid w:val="00D911A4"/>
    <w:rsid w:val="00D92B21"/>
    <w:rsid w:val="00D96424"/>
    <w:rsid w:val="00DB3140"/>
    <w:rsid w:val="00DB3768"/>
    <w:rsid w:val="00DC2D95"/>
    <w:rsid w:val="00DE0B9A"/>
    <w:rsid w:val="00DE5D6C"/>
    <w:rsid w:val="00DF19D9"/>
    <w:rsid w:val="00E01B57"/>
    <w:rsid w:val="00E14BEF"/>
    <w:rsid w:val="00E343D2"/>
    <w:rsid w:val="00E634A1"/>
    <w:rsid w:val="00E714BD"/>
    <w:rsid w:val="00E84E41"/>
    <w:rsid w:val="00EA3DEB"/>
    <w:rsid w:val="00EB1B2D"/>
    <w:rsid w:val="00EB2FB8"/>
    <w:rsid w:val="00EB5EA2"/>
    <w:rsid w:val="00EC65AF"/>
    <w:rsid w:val="00EF35D8"/>
    <w:rsid w:val="00F16A23"/>
    <w:rsid w:val="00F205F0"/>
    <w:rsid w:val="00F339C4"/>
    <w:rsid w:val="00F40145"/>
    <w:rsid w:val="00F43472"/>
    <w:rsid w:val="00F50E90"/>
    <w:rsid w:val="00F5185E"/>
    <w:rsid w:val="00F615F4"/>
    <w:rsid w:val="00F84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674459320">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9719506038631124"/>
          <c:y val="5.3619302949061684E-2"/>
          <c:w val="0.7061528701569878"/>
          <c:h val="0.85915257576717119"/>
        </c:manualLayout>
      </c:layout>
      <c:barChart>
        <c:barDir val="col"/>
        <c:grouping val="clustered"/>
        <c:ser>
          <c:idx val="0"/>
          <c:order val="0"/>
          <c:tx>
            <c:strRef>
              <c:f>'PR chart 2 A'!$I$52</c:f>
              <c:strCache>
                <c:ptCount val="1"/>
                <c:pt idx="0">
                  <c:v>CVs</c:v>
                </c:pt>
              </c:strCache>
            </c:strRef>
          </c:tx>
          <c:spPr>
            <a:solidFill>
              <a:schemeClr val="tx2">
                <a:lumMod val="40000"/>
                <a:lumOff val="60000"/>
              </a:schemeClr>
            </a:solidFill>
            <a:ln>
              <a:solidFill>
                <a:prstClr val="black"/>
              </a:solidFill>
            </a:ln>
          </c:spPr>
          <c:cat>
            <c:strRef>
              <c:f>'PR chart 2 A'!$J$51:$L$51</c:f>
              <c:strCache>
                <c:ptCount val="3"/>
                <c:pt idx="0">
                  <c:v>'12</c:v>
                </c:pt>
                <c:pt idx="1">
                  <c:v>'13</c:v>
                </c:pt>
                <c:pt idx="2">
                  <c:v>'14</c:v>
                </c:pt>
              </c:strCache>
            </c:strRef>
          </c:cat>
          <c:val>
            <c:numRef>
              <c:f>'PR chart 2 A'!$J$52:$L$52</c:f>
              <c:numCache>
                <c:formatCode>General</c:formatCode>
                <c:ptCount val="3"/>
                <c:pt idx="0">
                  <c:v>47729</c:v>
                </c:pt>
                <c:pt idx="1">
                  <c:v>40037</c:v>
                </c:pt>
                <c:pt idx="2">
                  <c:v>30917</c:v>
                </c:pt>
              </c:numCache>
            </c:numRef>
          </c:val>
        </c:ser>
        <c:dLbls/>
        <c:gapWidth val="48"/>
        <c:axId val="86882176"/>
        <c:axId val="86883712"/>
      </c:barChart>
      <c:catAx>
        <c:axId val="86882176"/>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6883712"/>
        <c:crosses val="autoZero"/>
        <c:auto val="1"/>
        <c:lblAlgn val="ctr"/>
        <c:lblOffset val="100"/>
      </c:catAx>
      <c:valAx>
        <c:axId val="86883712"/>
        <c:scaling>
          <c:orientation val="minMax"/>
          <c:max val="50000"/>
          <c:min val="25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86882176"/>
        <c:crosses val="autoZero"/>
        <c:crossBetween val="between"/>
        <c:majorUnit val="5000"/>
        <c:dispUnits>
          <c:builtInUnit val="thousands"/>
          <c:dispUnitsLbl>
            <c:layout>
              <c:manualLayout>
                <c:xMode val="edge"/>
                <c:yMode val="edge"/>
                <c:x val="7.6332914007051006E-3"/>
                <c:y val="0.34991542723826236"/>
              </c:manualLayout>
            </c:layout>
            <c:txPr>
              <a:bodyPr rot="-5400000" vert="horz"/>
              <a:lstStyle/>
              <a:p>
                <a:pPr algn="ctr">
                  <a:defRPr sz="1000" b="1"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20751215376428483"/>
          <c:y val="0.13010425780110821"/>
          <c:w val="0.70927943285439976"/>
          <c:h val="0.71952136191309424"/>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'PR&amp;12MONTHROLL-CHARTS'!$C$9:$CH$9</c:f>
              <c:numCache>
                <c:formatCode>General</c:formatCode>
                <c:ptCount val="84"/>
                <c:pt idx="0">
                  <c:v>216.93200000000004</c:v>
                </c:pt>
                <c:pt idx="1">
                  <c:v>220.09</c:v>
                </c:pt>
                <c:pt idx="2">
                  <c:v>218.60499999999999</c:v>
                </c:pt>
                <c:pt idx="3">
                  <c:v>224.066</c:v>
                </c:pt>
                <c:pt idx="4">
                  <c:v>224.81300000000002</c:v>
                </c:pt>
                <c:pt idx="5">
                  <c:v>227.24299999999999</c:v>
                </c:pt>
                <c:pt idx="6">
                  <c:v>234.255</c:v>
                </c:pt>
                <c:pt idx="7">
                  <c:v>230.57900000000001</c:v>
                </c:pt>
                <c:pt idx="8">
                  <c:v>231.30100000000004</c:v>
                </c:pt>
                <c:pt idx="9">
                  <c:v>222.191</c:v>
                </c:pt>
                <c:pt idx="10">
                  <c:v>211.12800000000001</c:v>
                </c:pt>
                <c:pt idx="11">
                  <c:v>202.89600000000004</c:v>
                </c:pt>
                <c:pt idx="12">
                  <c:v>190.40700000000001</c:v>
                </c:pt>
                <c:pt idx="13">
                  <c:v>175.62800000000001</c:v>
                </c:pt>
                <c:pt idx="14">
                  <c:v>164.89700000000011</c:v>
                </c:pt>
                <c:pt idx="15">
                  <c:v>150.56800000000001</c:v>
                </c:pt>
                <c:pt idx="16">
                  <c:v>137.55800000000011</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103.93400000000005</c:v>
                </c:pt>
                <c:pt idx="28">
                  <c:v>109.98699999999999</c:v>
                </c:pt>
                <c:pt idx="29">
                  <c:v>112.111</c:v>
                </c:pt>
                <c:pt idx="30">
                  <c:v>113.232</c:v>
                </c:pt>
                <c:pt idx="31">
                  <c:v>114.29600000000002</c:v>
                </c:pt>
                <c:pt idx="32">
                  <c:v>115.91900000000005</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115.91700000000006</c:v>
                </c:pt>
                <c:pt idx="56">
                  <c:v>113.47799999999999</c:v>
                </c:pt>
                <c:pt idx="57">
                  <c:v>114.04</c:v>
                </c:pt>
                <c:pt idx="58">
                  <c:v>113.634</c:v>
                </c:pt>
                <c:pt idx="59">
                  <c:v>112.039</c:v>
                </c:pt>
                <c:pt idx="60">
                  <c:v>110.01700000000002</c:v>
                </c:pt>
                <c:pt idx="61">
                  <c:v>108.367</c:v>
                </c:pt>
                <c:pt idx="62">
                  <c:v>106.52200000000001</c:v>
                </c:pt>
                <c:pt idx="63">
                  <c:v>106.232</c:v>
                </c:pt>
                <c:pt idx="64">
                  <c:v>104.34699999999999</c:v>
                </c:pt>
                <c:pt idx="65">
                  <c:v>104.46000000000002</c:v>
                </c:pt>
                <c:pt idx="66">
                  <c:v>103.89100000000002</c:v>
                </c:pt>
                <c:pt idx="67">
                  <c:v>99.977000000000004</c:v>
                </c:pt>
                <c:pt idx="68">
                  <c:v>97.332999999999998</c:v>
                </c:pt>
                <c:pt idx="69">
                  <c:v>93.308999999999983</c:v>
                </c:pt>
                <c:pt idx="70">
                  <c:v>89.385999999999981</c:v>
                </c:pt>
                <c:pt idx="71">
                  <c:v>87.670999999999978</c:v>
                </c:pt>
                <c:pt idx="72">
                  <c:v>86.53</c:v>
                </c:pt>
                <c:pt idx="73">
                  <c:v>84.76</c:v>
                </c:pt>
                <c:pt idx="74">
                  <c:v>83.337000000000003</c:v>
                </c:pt>
                <c:pt idx="75">
                  <c:v>80.983999999999995</c:v>
                </c:pt>
                <c:pt idx="76">
                  <c:v>78.551000000000002</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'PR&amp;12MONTHROLL-CHARTS'!$C$10:$CH$10</c:f>
              <c:numCache>
                <c:formatCode>General</c:formatCode>
                <c:ptCount val="84"/>
                <c:pt idx="0">
                  <c:v>132.43900000000002</c:v>
                </c:pt>
                <c:pt idx="1">
                  <c:v>134.09800000000001</c:v>
                </c:pt>
                <c:pt idx="2">
                  <c:v>133.68700000000001</c:v>
                </c:pt>
                <c:pt idx="3">
                  <c:v>137.15700000000001</c:v>
                </c:pt>
                <c:pt idx="4">
                  <c:v>138.565</c:v>
                </c:pt>
                <c:pt idx="5">
                  <c:v>140.45400000000001</c:v>
                </c:pt>
                <c:pt idx="6">
                  <c:v>143.67099999999999</c:v>
                </c:pt>
                <c:pt idx="7">
                  <c:v>141.946</c:v>
                </c:pt>
                <c:pt idx="8">
                  <c:v>142.72900000000001</c:v>
                </c:pt>
                <c:pt idx="9">
                  <c:v>136.85100000000011</c:v>
                </c:pt>
                <c:pt idx="10">
                  <c:v>130.52600000000001</c:v>
                </c:pt>
                <c:pt idx="11">
                  <c:v>125.611</c:v>
                </c:pt>
                <c:pt idx="12">
                  <c:v>119.71899999999999</c:v>
                </c:pt>
                <c:pt idx="13">
                  <c:v>112.473</c:v>
                </c:pt>
                <c:pt idx="14">
                  <c:v>106.93700000000005</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70.182000000000002</c:v>
                </c:pt>
                <c:pt idx="26">
                  <c:v>72.653999999999982</c:v>
                </c:pt>
                <c:pt idx="27">
                  <c:v>73.804999999999993</c:v>
                </c:pt>
                <c:pt idx="28">
                  <c:v>77.438000000000002</c:v>
                </c:pt>
                <c:pt idx="29">
                  <c:v>78.872999999999948</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69.375999999999948</c:v>
                </c:pt>
                <c:pt idx="48">
                  <c:v>69.414000000000058</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61.581000000000003</c:v>
                </c:pt>
                <c:pt idx="61">
                  <c:v>59.826000000000001</c:v>
                </c:pt>
                <c:pt idx="62">
                  <c:v>57.596000000000011</c:v>
                </c:pt>
                <c:pt idx="63">
                  <c:v>56.538000000000011</c:v>
                </c:pt>
                <c:pt idx="64">
                  <c:v>54.606000000000002</c:v>
                </c:pt>
                <c:pt idx="65">
                  <c:v>54.188000000000002</c:v>
                </c:pt>
                <c:pt idx="66">
                  <c:v>55.654000000000003</c:v>
                </c:pt>
                <c:pt idx="67">
                  <c:v>54.05</c:v>
                </c:pt>
                <c:pt idx="68">
                  <c:v>52.124000000000002</c:v>
                </c:pt>
                <c:pt idx="69">
                  <c:v>49.591000000000001</c:v>
                </c:pt>
                <c:pt idx="70">
                  <c:v>47.338000000000001</c:v>
                </c:pt>
                <c:pt idx="71">
                  <c:v>47.91</c:v>
                </c:pt>
                <c:pt idx="72">
                  <c:v>47.52</c:v>
                </c:pt>
                <c:pt idx="73">
                  <c:v>46.951999999999998</c:v>
                </c:pt>
                <c:pt idx="74">
                  <c:v>46.72500000000003</c:v>
                </c:pt>
                <c:pt idx="75">
                  <c:v>45.376000000000005</c:v>
                </c:pt>
                <c:pt idx="76">
                  <c:v>43.668000000000013</c:v>
                </c:pt>
              </c:numCache>
            </c:numRef>
          </c:val>
        </c:ser>
        <c:dLbls/>
        <c:marker val="1"/>
        <c:axId val="88511616"/>
        <c:axId val="88513152"/>
      </c:lineChart>
      <c:catAx>
        <c:axId val="8851161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88513152"/>
        <c:crosses val="autoZero"/>
        <c:auto val="1"/>
        <c:lblAlgn val="ctr"/>
        <c:lblOffset val="100"/>
        <c:tickMarkSkip val="12"/>
      </c:catAx>
      <c:valAx>
        <c:axId val="88513152"/>
        <c:scaling>
          <c:orientation val="minMax"/>
          <c:max val="250"/>
          <c:min val="0"/>
        </c:scaling>
        <c:axPos val="l"/>
        <c:majorGridlines/>
        <c:title>
          <c:tx>
            <c:rich>
              <a:bodyPr/>
              <a:lstStyle/>
              <a:p>
                <a:pPr>
                  <a:defRPr sz="1000" b="1" i="0" u="none" strike="noStrike" baseline="0">
                    <a:solidFill>
                      <a:srgbClr val="000000"/>
                    </a:solidFill>
                    <a:latin typeface="Arial"/>
                    <a:ea typeface="Arial"/>
                    <a:cs typeface="Arial"/>
                  </a:defRPr>
                </a:pPr>
                <a:r>
                  <a:rPr lang="en-GB" b="1"/>
                  <a:t>Thousands</a:t>
                </a:r>
              </a:p>
            </c:rich>
          </c:tx>
          <c:layout>
            <c:manualLayout>
              <c:xMode val="edge"/>
              <c:yMode val="edge"/>
              <c:x val="1.6956643306184694E-5"/>
              <c:y val="0.35779340082489691"/>
            </c:manualLayout>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8511616"/>
        <c:crosses val="autoZero"/>
        <c:crossBetween val="between"/>
        <c:majorUnit val="50"/>
      </c:valAx>
    </c:plotArea>
    <c:legend>
      <c:legendPos val="r"/>
      <c:layout>
        <c:manualLayout>
          <c:xMode val="edge"/>
          <c:yMode val="edge"/>
          <c:x val="4.8109965635738827E-2"/>
          <c:y val="2.8571428571428605E-2"/>
          <c:w val="0.93814757691371065"/>
          <c:h val="0.10000000000000003"/>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2</cp:revision>
  <cp:lastPrinted>2013-12-16T13:34:00Z</cp:lastPrinted>
  <dcterms:created xsi:type="dcterms:W3CDTF">2014-06-19T08:17:00Z</dcterms:created>
  <dcterms:modified xsi:type="dcterms:W3CDTF">2014-06-19T08:17:00Z</dcterms:modified>
</cp:coreProperties>
</file>