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0" w:rsidRPr="00A72CAD" w:rsidRDefault="00C80E70" w:rsidP="00C80E70">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UK CAR MANUFACTURING</w:t>
      </w:r>
      <w:r w:rsidR="00A72CAD" w:rsidRPr="00A72CAD">
        <w:rPr>
          <w:rFonts w:ascii="Arial" w:eastAsiaTheme="minorEastAsia" w:hAnsi="Arial" w:cs="Arial"/>
          <w:bCs/>
          <w:color w:val="1074CB"/>
          <w:sz w:val="44"/>
          <w:szCs w:val="44"/>
        </w:rPr>
        <w:t xml:space="preserve"> </w:t>
      </w:r>
      <w:r w:rsidR="00A72CAD" w:rsidRPr="00A72CAD">
        <w:rPr>
          <w:rFonts w:ascii="Arial" w:eastAsiaTheme="minorEastAsia" w:hAnsi="Arial" w:cs="Arial"/>
          <w:b w:val="0"/>
          <w:bCs/>
          <w:color w:val="1074CB"/>
          <w:sz w:val="28"/>
          <w:szCs w:val="28"/>
        </w:rPr>
        <w:t>(data for November 2013)</w:t>
      </w:r>
    </w:p>
    <w:p w:rsidR="0013617E" w:rsidRPr="00A72CAD" w:rsidRDefault="0013617E" w:rsidP="0013617E">
      <w:pPr>
        <w:pStyle w:val="Heading1"/>
        <w:ind w:right="142"/>
        <w:rPr>
          <w:rFonts w:ascii="Arial" w:eastAsiaTheme="minorEastAsia" w:hAnsi="Arial" w:cs="Arial"/>
          <w:b w:val="0"/>
          <w:bCs/>
          <w:color w:val="FF0000"/>
        </w:rPr>
      </w:pPr>
      <w:r w:rsidRPr="00A72CAD">
        <w:rPr>
          <w:rFonts w:ascii="Arial" w:eastAsiaTheme="minorEastAsia" w:hAnsi="Arial" w:cs="Arial"/>
          <w:b w:val="0"/>
          <w:bCs/>
          <w:color w:val="FF0000"/>
          <w:sz w:val="44"/>
          <w:szCs w:val="44"/>
        </w:rPr>
        <w:t>Embargoed to 00:01 on 19</w:t>
      </w:r>
      <w:r w:rsidRPr="00A72CAD">
        <w:rPr>
          <w:rFonts w:ascii="Arial" w:eastAsiaTheme="minorEastAsia" w:hAnsi="Arial" w:cs="Arial"/>
          <w:b w:val="0"/>
          <w:bCs/>
          <w:color w:val="FF0000"/>
          <w:szCs w:val="24"/>
        </w:rPr>
        <w:t xml:space="preserve"> </w:t>
      </w:r>
      <w:r w:rsidRPr="00A72CAD">
        <w:rPr>
          <w:rFonts w:ascii="Arial" w:eastAsiaTheme="minorEastAsia" w:hAnsi="Arial" w:cs="Arial"/>
          <w:b w:val="0"/>
          <w:bCs/>
          <w:color w:val="FF0000"/>
          <w:sz w:val="44"/>
          <w:szCs w:val="44"/>
        </w:rPr>
        <w:t>December</w:t>
      </w:r>
      <w:r w:rsidRPr="00A72CAD">
        <w:rPr>
          <w:rFonts w:ascii="Arial" w:eastAsiaTheme="minorEastAsia" w:hAnsi="Arial" w:cs="Arial"/>
          <w:b w:val="0"/>
          <w:bCs/>
          <w:color w:val="FF0000"/>
          <w:szCs w:val="24"/>
        </w:rPr>
        <w:t xml:space="preserve"> </w:t>
      </w:r>
      <w:r w:rsidRPr="00A72CAD">
        <w:rPr>
          <w:rFonts w:ascii="Arial" w:eastAsiaTheme="minorEastAsia" w:hAnsi="Arial" w:cs="Arial"/>
          <w:b w:val="0"/>
          <w:bCs/>
          <w:color w:val="FF0000"/>
          <w:sz w:val="44"/>
          <w:szCs w:val="44"/>
        </w:rPr>
        <w:t>2013</w:t>
      </w:r>
      <w:r w:rsidRPr="00A72CAD">
        <w:rPr>
          <w:rFonts w:ascii="Arial" w:eastAsiaTheme="minorEastAsia" w:hAnsi="Arial" w:cs="Arial"/>
          <w:b w:val="0"/>
          <w:bCs/>
          <w:color w:val="FF0000"/>
          <w:szCs w:val="24"/>
        </w:rPr>
        <w:t xml:space="preserve"> </w:t>
      </w:r>
    </w:p>
    <w:p w:rsidR="00C80E70" w:rsidRPr="00A72CAD" w:rsidRDefault="00C80E70" w:rsidP="00C80E70">
      <w:pPr>
        <w:tabs>
          <w:tab w:val="left" w:pos="889"/>
        </w:tabs>
        <w:rPr>
          <w:rFonts w:ascii="Arial" w:eastAsiaTheme="minorEastAsia" w:hAnsi="Arial" w:cs="Arial"/>
          <w:bCs/>
          <w:color w:val="1074CB"/>
          <w:sz w:val="10"/>
          <w:szCs w:val="10"/>
        </w:rPr>
      </w:pPr>
      <w:r w:rsidRPr="00A72CAD">
        <w:rPr>
          <w:rFonts w:ascii="Arial" w:eastAsiaTheme="minorEastAsia" w:hAnsi="Arial" w:cs="Arial"/>
          <w:bCs/>
          <w:color w:val="1074CB"/>
          <w:sz w:val="36"/>
          <w:szCs w:val="36"/>
        </w:rPr>
        <w:t xml:space="preserve"> </w:t>
      </w:r>
    </w:p>
    <w:p w:rsidR="0013617E" w:rsidRPr="00A72CAD" w:rsidRDefault="004D685F" w:rsidP="0013617E">
      <w:pPr>
        <w:rPr>
          <w:rFonts w:ascii="Arial" w:hAnsi="Arial" w:cs="Arial"/>
          <w:sz w:val="20"/>
        </w:rPr>
      </w:pPr>
      <w:r w:rsidRPr="004D685F">
        <w:rPr>
          <w:rFonts w:ascii="Arial" w:eastAsiaTheme="minorEastAsia" w:hAnsi="Arial" w:cs="Arial"/>
          <w:b/>
          <w:bCs/>
          <w:noProof/>
          <w:color w:val="1074CB"/>
          <w:sz w:val="20"/>
        </w:rPr>
        <w:pict>
          <v:line id="Line 4" o:spid="_x0000_s1026" style="position:absolute;z-index:251664384;visibility:visible" from=".55pt,.05pt" to="462.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mFw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" strokecolor="#1074cb"/>
        </w:pict>
      </w:r>
    </w:p>
    <w:p w:rsidR="00C80E70" w:rsidRPr="00A72CAD" w:rsidRDefault="006E5BF9" w:rsidP="00C80E70">
      <w:pPr>
        <w:pStyle w:val="Heading1"/>
        <w:ind w:left="0" w:right="425" w:firstLine="0"/>
        <w:rPr>
          <w:rFonts w:ascii="Arial" w:eastAsiaTheme="minorEastAsia" w:hAnsi="Arial" w:cs="Arial"/>
          <w:bCs/>
          <w:color w:val="1074CB"/>
          <w:sz w:val="36"/>
          <w:szCs w:val="36"/>
        </w:rPr>
      </w:pPr>
      <w:r w:rsidRPr="00A72CAD">
        <w:rPr>
          <w:rFonts w:ascii="Arial" w:eastAsiaTheme="minorEastAsia" w:hAnsi="Arial" w:cs="Arial"/>
          <w:bCs/>
          <w:color w:val="1074CB"/>
          <w:sz w:val="36"/>
          <w:szCs w:val="36"/>
        </w:rPr>
        <w:t>UK car manufacturing</w:t>
      </w:r>
      <w:r w:rsidR="0097483C" w:rsidRPr="00A72CAD">
        <w:rPr>
          <w:rFonts w:ascii="Arial" w:eastAsiaTheme="minorEastAsia" w:hAnsi="Arial" w:cs="Arial"/>
          <w:bCs/>
          <w:color w:val="1074CB"/>
          <w:sz w:val="36"/>
          <w:szCs w:val="36"/>
        </w:rPr>
        <w:t xml:space="preserve"> </w:t>
      </w:r>
      <w:r w:rsidR="00A72CAD">
        <w:rPr>
          <w:rFonts w:ascii="Arial" w:eastAsiaTheme="minorEastAsia" w:hAnsi="Arial" w:cs="Arial"/>
          <w:bCs/>
          <w:color w:val="1074CB"/>
          <w:sz w:val="36"/>
          <w:szCs w:val="36"/>
        </w:rPr>
        <w:t>nears 1.5 million landmark</w:t>
      </w:r>
    </w:p>
    <w:p w:rsidR="00C80E70" w:rsidRPr="00A72CAD" w:rsidRDefault="00C80E70" w:rsidP="00C80E70">
      <w:pPr>
        <w:rPr>
          <w:rFonts w:ascii="Arial" w:hAnsi="Arial" w:cs="Arial"/>
          <w:sz w:val="10"/>
          <w:szCs w:val="10"/>
        </w:rPr>
      </w:pPr>
    </w:p>
    <w:p w:rsidR="00494E5E" w:rsidRDefault="00C108FE" w:rsidP="00696C6A">
      <w:pPr>
        <w:pStyle w:val="ListParagraph"/>
        <w:numPr>
          <w:ilvl w:val="0"/>
          <w:numId w:val="2"/>
        </w:numPr>
        <w:spacing w:line="360" w:lineRule="auto"/>
        <w:rPr>
          <w:rFonts w:ascii="Arial" w:hAnsi="Arial" w:cs="Arial"/>
          <w:sz w:val="20"/>
        </w:rPr>
      </w:pPr>
      <w:r w:rsidRPr="00A72CAD">
        <w:rPr>
          <w:rFonts w:ascii="Arial" w:hAnsi="Arial" w:cs="Arial"/>
          <w:sz w:val="20"/>
        </w:rPr>
        <w:t xml:space="preserve">Car production </w:t>
      </w:r>
      <w:r w:rsidR="0013617E" w:rsidRPr="00A72CAD">
        <w:rPr>
          <w:rFonts w:ascii="Arial" w:hAnsi="Arial" w:cs="Arial"/>
          <w:sz w:val="20"/>
        </w:rPr>
        <w:t>rose</w:t>
      </w:r>
      <w:r w:rsidRPr="00A72CAD">
        <w:rPr>
          <w:rFonts w:ascii="Arial" w:hAnsi="Arial" w:cs="Arial"/>
          <w:sz w:val="20"/>
        </w:rPr>
        <w:t xml:space="preserve"> 4.5% in first </w:t>
      </w:r>
      <w:r w:rsidR="00750A6C">
        <w:rPr>
          <w:rFonts w:ascii="Arial" w:hAnsi="Arial" w:cs="Arial"/>
          <w:sz w:val="20"/>
        </w:rPr>
        <w:t>11</w:t>
      </w:r>
      <w:r w:rsidRPr="00A72CAD">
        <w:rPr>
          <w:rFonts w:ascii="Arial" w:hAnsi="Arial" w:cs="Arial"/>
          <w:sz w:val="20"/>
        </w:rPr>
        <w:t xml:space="preserve"> months of year to 1,424,023 units</w:t>
      </w:r>
      <w:r w:rsidR="00A72CAD">
        <w:rPr>
          <w:rFonts w:ascii="Arial" w:hAnsi="Arial" w:cs="Arial"/>
          <w:sz w:val="20"/>
        </w:rPr>
        <w:t>.</w:t>
      </w:r>
    </w:p>
    <w:p w:rsidR="00A72CAD" w:rsidRPr="00A72CAD" w:rsidRDefault="00A72CAD" w:rsidP="00696C6A">
      <w:pPr>
        <w:pStyle w:val="ListParagraph"/>
        <w:numPr>
          <w:ilvl w:val="0"/>
          <w:numId w:val="2"/>
        </w:numPr>
        <w:spacing w:line="360" w:lineRule="auto"/>
        <w:rPr>
          <w:rFonts w:ascii="Arial" w:hAnsi="Arial" w:cs="Arial"/>
          <w:sz w:val="20"/>
        </w:rPr>
      </w:pPr>
      <w:r>
        <w:rPr>
          <w:rFonts w:ascii="Arial" w:hAnsi="Arial" w:cs="Arial"/>
          <w:sz w:val="20"/>
        </w:rPr>
        <w:t>2013 output set to pass 1.5 million units for first time in six years.</w:t>
      </w:r>
    </w:p>
    <w:p w:rsidR="00C80E70" w:rsidRPr="00A72CAD" w:rsidRDefault="00A72CAD" w:rsidP="00696C6A">
      <w:pPr>
        <w:pStyle w:val="ListParagraph"/>
        <w:numPr>
          <w:ilvl w:val="0"/>
          <w:numId w:val="2"/>
        </w:numPr>
        <w:spacing w:line="360" w:lineRule="auto"/>
        <w:rPr>
          <w:rFonts w:ascii="Arial" w:hAnsi="Arial" w:cs="Arial"/>
          <w:sz w:val="20"/>
        </w:rPr>
      </w:pPr>
      <w:r w:rsidRPr="00A72CAD">
        <w:rPr>
          <w:rFonts w:ascii="Arial" w:hAnsi="Arial" w:cs="Arial"/>
          <w:sz w:val="20"/>
        </w:rPr>
        <w:t>Preparation for new model production at several UK sites saw November output dip</w:t>
      </w:r>
      <w:r w:rsidR="00C108FE" w:rsidRPr="00A72CAD">
        <w:rPr>
          <w:rFonts w:ascii="Arial" w:hAnsi="Arial" w:cs="Arial"/>
          <w:sz w:val="20"/>
        </w:rPr>
        <w:t xml:space="preserve"> 3.6%</w:t>
      </w:r>
      <w:r>
        <w:rPr>
          <w:rFonts w:ascii="Arial" w:hAnsi="Arial" w:cs="Arial"/>
          <w:sz w:val="20"/>
        </w:rPr>
        <w:t>.</w:t>
      </w:r>
    </w:p>
    <w:p w:rsidR="00D6336B" w:rsidRPr="00A72CAD" w:rsidRDefault="007851A1" w:rsidP="00A72CAD">
      <w:pPr>
        <w:tabs>
          <w:tab w:val="left" w:pos="1828"/>
        </w:tabs>
        <w:spacing w:line="276" w:lineRule="auto"/>
        <w:rPr>
          <w:rFonts w:ascii="Arial" w:hAnsi="Arial" w:cs="Arial"/>
          <w:sz w:val="16"/>
          <w:szCs w:val="16"/>
        </w:rPr>
      </w:pPr>
      <w:r w:rsidRPr="00A72CAD">
        <w:rPr>
          <w:rFonts w:ascii="Arial" w:hAnsi="Arial" w:cs="Arial"/>
          <w:sz w:val="16"/>
          <w:szCs w:val="16"/>
        </w:rPr>
        <w:tab/>
      </w:r>
    </w:p>
    <w:p w:rsidR="007430A2" w:rsidRPr="007430A2" w:rsidRDefault="007430A2" w:rsidP="007430A2">
      <w:pPr>
        <w:spacing w:line="360" w:lineRule="auto"/>
        <w:rPr>
          <w:rFonts w:ascii="Arial" w:hAnsi="Arial" w:cs="Arial"/>
          <w:sz w:val="20"/>
        </w:rPr>
      </w:pPr>
      <w:r w:rsidRPr="007430A2">
        <w:rPr>
          <w:rFonts w:ascii="Arial" w:hAnsi="Arial" w:cs="Arial"/>
          <w:iCs/>
          <w:sz w:val="20"/>
        </w:rPr>
        <w:t>"With output up 4.5% in 2013</w:t>
      </w:r>
      <w:r w:rsidR="00750A6C">
        <w:rPr>
          <w:rFonts w:ascii="Arial" w:hAnsi="Arial" w:cs="Arial"/>
          <w:iCs/>
          <w:sz w:val="20"/>
        </w:rPr>
        <w:t xml:space="preserve"> </w:t>
      </w:r>
      <w:bookmarkStart w:id="0" w:name="_GoBack"/>
      <w:bookmarkEnd w:id="0"/>
      <w:r w:rsidRPr="007430A2">
        <w:rPr>
          <w:rFonts w:ascii="Arial" w:hAnsi="Arial" w:cs="Arial"/>
          <w:iCs/>
          <w:sz w:val="20"/>
        </w:rPr>
        <w:t>to-date, UK car manufacturing is on track to pass 1.5 million units this year, the best performance since 2007,” said Mike Hawes, SMMT Chief Executive. "A number of mass-market manufacturers have this year used November to prepare their production lines for new models, so volumes dropped 3.6% in the month. However, the forthcoming new models will play an integral part in what is predicted to be an even stronger 2014 for UK car manufacturing."</w:t>
      </w:r>
    </w:p>
    <w:p w:rsidR="00D6336B" w:rsidRPr="00BC5727" w:rsidRDefault="00D6336B" w:rsidP="00C80E70">
      <w:pPr>
        <w:spacing w:line="276" w:lineRule="auto"/>
        <w:rPr>
          <w:rFonts w:ascii="Arial" w:hAnsi="Arial" w:cs="Arial"/>
          <w:sz w:val="16"/>
          <w:szCs w:val="16"/>
        </w:rPr>
      </w:pPr>
    </w:p>
    <w:tbl>
      <w:tblPr>
        <w:tblW w:w="9227" w:type="dxa"/>
        <w:tblInd w:w="95" w:type="dxa"/>
        <w:tblBorders>
          <w:top w:val="single" w:sz="8" w:space="0" w:color="548DD4"/>
          <w:left w:val="single" w:sz="8" w:space="0" w:color="548DD4"/>
          <w:bottom w:val="single" w:sz="8" w:space="0" w:color="548DD4"/>
          <w:right w:val="single" w:sz="8" w:space="0" w:color="548DD4"/>
          <w:insideH w:val="single" w:sz="6" w:space="0" w:color="548DD4"/>
          <w:insideV w:val="single" w:sz="8" w:space="0" w:color="548DD4"/>
        </w:tblBorders>
        <w:tblLook w:val="04A0"/>
      </w:tblPr>
      <w:tblGrid>
        <w:gridCol w:w="1998"/>
        <w:gridCol w:w="1201"/>
        <w:gridCol w:w="939"/>
        <w:gridCol w:w="1262"/>
        <w:gridCol w:w="1276"/>
        <w:gridCol w:w="1275"/>
        <w:gridCol w:w="1276"/>
      </w:tblGrid>
      <w:tr w:rsidR="00CE070B" w:rsidRPr="008F55A4" w:rsidTr="00BC5727">
        <w:trPr>
          <w:trHeight w:val="270"/>
        </w:trPr>
        <w:tc>
          <w:tcPr>
            <w:tcW w:w="1998" w:type="dxa"/>
            <w:shd w:val="clear" w:color="auto" w:fill="auto"/>
            <w:noWrap/>
            <w:vAlign w:val="center"/>
            <w:hideMark/>
          </w:tcPr>
          <w:p w:rsidR="00CE070B" w:rsidRPr="00252DCB" w:rsidRDefault="00CE070B" w:rsidP="00BC5727">
            <w:pPr>
              <w:jc w:val="right"/>
              <w:rPr>
                <w:rFonts w:ascii="Arial" w:eastAsia="Times New Roman" w:hAnsi="Arial" w:cs="Arial"/>
                <w:b/>
                <w:color w:val="002060"/>
                <w:sz w:val="20"/>
              </w:rPr>
            </w:pPr>
            <w:r w:rsidRPr="00252DCB">
              <w:rPr>
                <w:rFonts w:ascii="Arial" w:eastAsia="Times New Roman" w:hAnsi="Arial" w:cs="Arial"/>
                <w:b/>
                <w:color w:val="002060"/>
                <w:sz w:val="20"/>
              </w:rPr>
              <w:t>Car manufacturing</w:t>
            </w:r>
          </w:p>
        </w:tc>
        <w:tc>
          <w:tcPr>
            <w:tcW w:w="1201" w:type="dxa"/>
            <w:shd w:val="clear" w:color="auto" w:fill="auto"/>
            <w:noWrap/>
            <w:vAlign w:val="center"/>
            <w:hideMark/>
          </w:tcPr>
          <w:p w:rsidR="00CE070B" w:rsidRPr="00252DCB" w:rsidRDefault="00CE070B" w:rsidP="00BC5727">
            <w:pPr>
              <w:jc w:val="right"/>
              <w:rPr>
                <w:rFonts w:ascii="Arial" w:hAnsi="Arial" w:cs="Arial"/>
                <w:b/>
                <w:color w:val="002060"/>
                <w:sz w:val="20"/>
              </w:rPr>
            </w:pPr>
            <w:r>
              <w:rPr>
                <w:rFonts w:ascii="Arial" w:hAnsi="Arial" w:cs="Arial"/>
                <w:b/>
                <w:color w:val="002060"/>
                <w:sz w:val="20"/>
              </w:rPr>
              <w:t>Nov</w:t>
            </w:r>
            <w:r w:rsidRPr="00252DCB">
              <w:rPr>
                <w:rFonts w:ascii="Arial" w:hAnsi="Arial" w:cs="Arial"/>
                <w:b/>
                <w:color w:val="002060"/>
                <w:sz w:val="20"/>
              </w:rPr>
              <w:t>-12</w:t>
            </w:r>
          </w:p>
        </w:tc>
        <w:tc>
          <w:tcPr>
            <w:tcW w:w="939" w:type="dxa"/>
            <w:shd w:val="clear" w:color="auto" w:fill="auto"/>
            <w:noWrap/>
            <w:vAlign w:val="center"/>
            <w:hideMark/>
          </w:tcPr>
          <w:p w:rsidR="00CE070B" w:rsidRPr="00252DCB" w:rsidRDefault="00CE070B" w:rsidP="00BC5727">
            <w:pPr>
              <w:jc w:val="right"/>
              <w:rPr>
                <w:rFonts w:ascii="Arial" w:hAnsi="Arial" w:cs="Arial"/>
                <w:b/>
                <w:color w:val="002060"/>
                <w:sz w:val="20"/>
              </w:rPr>
            </w:pPr>
            <w:r>
              <w:rPr>
                <w:rFonts w:ascii="Arial" w:hAnsi="Arial" w:cs="Arial"/>
                <w:b/>
                <w:color w:val="002060"/>
                <w:sz w:val="20"/>
              </w:rPr>
              <w:t>Nov</w:t>
            </w:r>
            <w:r w:rsidRPr="00252DCB">
              <w:rPr>
                <w:rFonts w:ascii="Arial" w:hAnsi="Arial" w:cs="Arial"/>
                <w:b/>
                <w:color w:val="002060"/>
                <w:sz w:val="20"/>
              </w:rPr>
              <w:t>-13</w:t>
            </w:r>
          </w:p>
        </w:tc>
        <w:tc>
          <w:tcPr>
            <w:tcW w:w="1262" w:type="dxa"/>
            <w:shd w:val="clear" w:color="auto" w:fill="auto"/>
            <w:noWrap/>
            <w:vAlign w:val="center"/>
            <w:hideMark/>
          </w:tcPr>
          <w:p w:rsidR="00CE070B" w:rsidRPr="00252DCB" w:rsidRDefault="00CE070B" w:rsidP="00BC5727">
            <w:pPr>
              <w:jc w:val="right"/>
              <w:rPr>
                <w:rFonts w:ascii="Arial" w:hAnsi="Arial" w:cs="Arial"/>
                <w:b/>
                <w:color w:val="002060"/>
                <w:sz w:val="20"/>
              </w:rPr>
            </w:pPr>
            <w:r w:rsidRPr="00252DCB">
              <w:rPr>
                <w:rFonts w:ascii="Arial" w:hAnsi="Arial" w:cs="Arial"/>
                <w:b/>
                <w:color w:val="002060"/>
                <w:sz w:val="20"/>
              </w:rPr>
              <w:t xml:space="preserve">% Change </w:t>
            </w:r>
          </w:p>
        </w:tc>
        <w:tc>
          <w:tcPr>
            <w:tcW w:w="1276" w:type="dxa"/>
            <w:shd w:val="clear" w:color="auto" w:fill="auto"/>
            <w:noWrap/>
            <w:vAlign w:val="center"/>
            <w:hideMark/>
          </w:tcPr>
          <w:p w:rsidR="00CE070B" w:rsidRPr="00252DCB" w:rsidRDefault="00CE070B" w:rsidP="00BC5727">
            <w:pPr>
              <w:jc w:val="right"/>
              <w:rPr>
                <w:rFonts w:ascii="Arial" w:hAnsi="Arial" w:cs="Arial"/>
                <w:b/>
                <w:color w:val="002060"/>
                <w:sz w:val="20"/>
              </w:rPr>
            </w:pPr>
            <w:r w:rsidRPr="00252DCB">
              <w:rPr>
                <w:rFonts w:ascii="Arial" w:hAnsi="Arial" w:cs="Arial"/>
                <w:b/>
                <w:color w:val="002060"/>
                <w:sz w:val="20"/>
              </w:rPr>
              <w:t>YTD-12</w:t>
            </w:r>
          </w:p>
        </w:tc>
        <w:tc>
          <w:tcPr>
            <w:tcW w:w="1275" w:type="dxa"/>
            <w:shd w:val="clear" w:color="auto" w:fill="auto"/>
            <w:noWrap/>
            <w:vAlign w:val="center"/>
            <w:hideMark/>
          </w:tcPr>
          <w:p w:rsidR="00CE070B" w:rsidRPr="00252DCB" w:rsidRDefault="00CE070B" w:rsidP="00BC5727">
            <w:pPr>
              <w:jc w:val="right"/>
              <w:rPr>
                <w:rFonts w:ascii="Arial" w:hAnsi="Arial" w:cs="Arial"/>
                <w:b/>
                <w:color w:val="002060"/>
                <w:sz w:val="20"/>
              </w:rPr>
            </w:pPr>
            <w:r w:rsidRPr="00252DCB">
              <w:rPr>
                <w:rFonts w:ascii="Arial" w:hAnsi="Arial" w:cs="Arial"/>
                <w:b/>
                <w:color w:val="002060"/>
                <w:sz w:val="20"/>
              </w:rPr>
              <w:t>YTD-13</w:t>
            </w:r>
          </w:p>
        </w:tc>
        <w:tc>
          <w:tcPr>
            <w:tcW w:w="1276" w:type="dxa"/>
            <w:shd w:val="clear" w:color="auto" w:fill="auto"/>
            <w:noWrap/>
            <w:vAlign w:val="center"/>
            <w:hideMark/>
          </w:tcPr>
          <w:p w:rsidR="00CE070B" w:rsidRPr="00252DCB" w:rsidRDefault="00CE070B" w:rsidP="00BC5727">
            <w:pPr>
              <w:jc w:val="right"/>
              <w:rPr>
                <w:rFonts w:ascii="Arial" w:hAnsi="Arial" w:cs="Arial"/>
                <w:b/>
                <w:color w:val="002060"/>
                <w:sz w:val="20"/>
              </w:rPr>
            </w:pPr>
            <w:r w:rsidRPr="00252DCB">
              <w:rPr>
                <w:rFonts w:ascii="Arial" w:hAnsi="Arial" w:cs="Arial"/>
                <w:b/>
                <w:color w:val="002060"/>
                <w:sz w:val="20"/>
              </w:rPr>
              <w:t>% Change</w:t>
            </w:r>
          </w:p>
        </w:tc>
      </w:tr>
      <w:tr w:rsidR="00CE070B" w:rsidRPr="008F55A4" w:rsidTr="00BC5727">
        <w:trPr>
          <w:trHeight w:val="270"/>
        </w:trPr>
        <w:tc>
          <w:tcPr>
            <w:tcW w:w="1998" w:type="dxa"/>
            <w:shd w:val="clear" w:color="auto" w:fill="auto"/>
            <w:noWrap/>
            <w:vAlign w:val="center"/>
            <w:hideMark/>
          </w:tcPr>
          <w:p w:rsidR="00CE070B" w:rsidRPr="00252DCB" w:rsidRDefault="00CE070B" w:rsidP="00BC5727">
            <w:pPr>
              <w:jc w:val="right"/>
              <w:rPr>
                <w:rFonts w:ascii="Arial" w:eastAsia="Times New Roman" w:hAnsi="Arial" w:cs="Arial"/>
                <w:b/>
                <w:color w:val="002060"/>
                <w:sz w:val="20"/>
              </w:rPr>
            </w:pPr>
            <w:r w:rsidRPr="00252DCB">
              <w:rPr>
                <w:rFonts w:ascii="Arial" w:eastAsia="Times New Roman" w:hAnsi="Arial" w:cs="Arial"/>
                <w:b/>
                <w:color w:val="002060"/>
                <w:sz w:val="20"/>
              </w:rPr>
              <w:t>T</w:t>
            </w:r>
            <w:r w:rsidRPr="004C6507">
              <w:rPr>
                <w:rFonts w:ascii="Arial Bold" w:eastAsia="Times New Roman" w:hAnsi="Arial Bold" w:cs="Arial"/>
                <w:b/>
                <w:color w:val="002060"/>
                <w:sz w:val="20"/>
              </w:rPr>
              <w:t>ota</w:t>
            </w:r>
            <w:r w:rsidRPr="00252DCB">
              <w:rPr>
                <w:rFonts w:ascii="Arial" w:eastAsia="Times New Roman" w:hAnsi="Arial" w:cs="Arial"/>
                <w:b/>
                <w:color w:val="002060"/>
                <w:sz w:val="20"/>
              </w:rPr>
              <w:t>l</w:t>
            </w:r>
          </w:p>
        </w:tc>
        <w:tc>
          <w:tcPr>
            <w:tcW w:w="1201" w:type="dxa"/>
            <w:shd w:val="clear" w:color="auto" w:fill="auto"/>
            <w:noWrap/>
            <w:vAlign w:val="center"/>
            <w:hideMark/>
          </w:tcPr>
          <w:p w:rsidR="00CE070B" w:rsidRPr="00CE070B" w:rsidRDefault="00CE070B" w:rsidP="00BC5727">
            <w:pPr>
              <w:jc w:val="right"/>
              <w:rPr>
                <w:rFonts w:ascii="Arial" w:hAnsi="Arial" w:cs="Arial"/>
                <w:b/>
                <w:color w:val="002060"/>
                <w:sz w:val="20"/>
              </w:rPr>
            </w:pPr>
            <w:r w:rsidRPr="00CE070B">
              <w:rPr>
                <w:rFonts w:ascii="Arial" w:hAnsi="Arial" w:cs="Arial"/>
                <w:b/>
                <w:color w:val="002060"/>
                <w:sz w:val="20"/>
              </w:rPr>
              <w:t>142,825</w:t>
            </w:r>
          </w:p>
        </w:tc>
        <w:tc>
          <w:tcPr>
            <w:tcW w:w="939" w:type="dxa"/>
            <w:shd w:val="clear" w:color="auto" w:fill="auto"/>
            <w:noWrap/>
            <w:vAlign w:val="center"/>
            <w:hideMark/>
          </w:tcPr>
          <w:p w:rsidR="00CE070B" w:rsidRPr="00CE070B" w:rsidRDefault="00CE070B" w:rsidP="00BC5727">
            <w:pPr>
              <w:jc w:val="right"/>
              <w:rPr>
                <w:rFonts w:ascii="Arial" w:hAnsi="Arial" w:cs="Arial"/>
                <w:b/>
                <w:color w:val="002060"/>
                <w:sz w:val="20"/>
              </w:rPr>
            </w:pPr>
            <w:r w:rsidRPr="00CE070B">
              <w:rPr>
                <w:rFonts w:ascii="Arial" w:hAnsi="Arial" w:cs="Arial"/>
                <w:b/>
                <w:color w:val="002060"/>
                <w:sz w:val="20"/>
              </w:rPr>
              <w:t>137,624</w:t>
            </w:r>
          </w:p>
        </w:tc>
        <w:tc>
          <w:tcPr>
            <w:tcW w:w="1262" w:type="dxa"/>
            <w:shd w:val="clear" w:color="auto" w:fill="auto"/>
            <w:noWrap/>
            <w:vAlign w:val="center"/>
            <w:hideMark/>
          </w:tcPr>
          <w:p w:rsidR="00CE070B" w:rsidRPr="00CE070B" w:rsidRDefault="00CE070B" w:rsidP="00BC5727">
            <w:pPr>
              <w:jc w:val="right"/>
              <w:rPr>
                <w:rFonts w:ascii="Arial" w:hAnsi="Arial" w:cs="Arial"/>
                <w:b/>
                <w:color w:val="002060"/>
                <w:sz w:val="18"/>
                <w:szCs w:val="18"/>
              </w:rPr>
            </w:pPr>
            <w:r w:rsidRPr="00CE070B">
              <w:rPr>
                <w:rFonts w:ascii="Arial" w:hAnsi="Arial" w:cs="Arial"/>
                <w:b/>
                <w:color w:val="002060"/>
                <w:sz w:val="18"/>
                <w:szCs w:val="18"/>
              </w:rPr>
              <w:t>-3.6%</w:t>
            </w:r>
          </w:p>
        </w:tc>
        <w:tc>
          <w:tcPr>
            <w:tcW w:w="1276" w:type="dxa"/>
            <w:shd w:val="clear" w:color="auto" w:fill="auto"/>
            <w:noWrap/>
            <w:vAlign w:val="center"/>
            <w:hideMark/>
          </w:tcPr>
          <w:p w:rsidR="00CE070B" w:rsidRPr="00CE070B" w:rsidRDefault="00CE070B" w:rsidP="00BC5727">
            <w:pPr>
              <w:jc w:val="right"/>
              <w:rPr>
                <w:rFonts w:ascii="Arial" w:hAnsi="Arial" w:cs="Arial"/>
                <w:b/>
                <w:color w:val="002060"/>
                <w:sz w:val="20"/>
              </w:rPr>
            </w:pPr>
            <w:r w:rsidRPr="00CE070B">
              <w:rPr>
                <w:rFonts w:ascii="Arial" w:hAnsi="Arial" w:cs="Arial"/>
                <w:b/>
                <w:color w:val="002060"/>
                <w:sz w:val="20"/>
              </w:rPr>
              <w:t>1,363,166</w:t>
            </w:r>
          </w:p>
        </w:tc>
        <w:tc>
          <w:tcPr>
            <w:tcW w:w="1275" w:type="dxa"/>
            <w:shd w:val="clear" w:color="auto" w:fill="auto"/>
            <w:noWrap/>
            <w:vAlign w:val="center"/>
            <w:hideMark/>
          </w:tcPr>
          <w:p w:rsidR="00CE070B" w:rsidRPr="00CE070B" w:rsidRDefault="00CE070B" w:rsidP="00BC5727">
            <w:pPr>
              <w:jc w:val="right"/>
              <w:rPr>
                <w:rFonts w:ascii="Arial" w:hAnsi="Arial" w:cs="Arial"/>
                <w:b/>
                <w:color w:val="002060"/>
                <w:sz w:val="20"/>
              </w:rPr>
            </w:pPr>
            <w:r w:rsidRPr="00CE070B">
              <w:rPr>
                <w:rFonts w:ascii="Arial" w:hAnsi="Arial" w:cs="Arial"/>
                <w:b/>
                <w:color w:val="002060"/>
                <w:sz w:val="20"/>
              </w:rPr>
              <w:t>1,424,023</w:t>
            </w:r>
          </w:p>
        </w:tc>
        <w:tc>
          <w:tcPr>
            <w:tcW w:w="1276" w:type="dxa"/>
            <w:shd w:val="clear" w:color="auto" w:fill="auto"/>
            <w:noWrap/>
            <w:vAlign w:val="center"/>
            <w:hideMark/>
          </w:tcPr>
          <w:p w:rsidR="00CE070B" w:rsidRPr="00CE070B" w:rsidRDefault="00CE070B" w:rsidP="00BC5727">
            <w:pPr>
              <w:jc w:val="right"/>
              <w:rPr>
                <w:rFonts w:ascii="Arial" w:hAnsi="Arial" w:cs="Arial"/>
                <w:b/>
                <w:color w:val="002060"/>
                <w:sz w:val="18"/>
                <w:szCs w:val="18"/>
              </w:rPr>
            </w:pPr>
            <w:r w:rsidRPr="00CE070B">
              <w:rPr>
                <w:rFonts w:ascii="Arial" w:hAnsi="Arial" w:cs="Arial"/>
                <w:b/>
                <w:color w:val="002060"/>
                <w:sz w:val="18"/>
                <w:szCs w:val="18"/>
              </w:rPr>
              <w:t>4.5%</w:t>
            </w:r>
          </w:p>
        </w:tc>
      </w:tr>
      <w:tr w:rsidR="00CE070B" w:rsidRPr="008F55A4" w:rsidTr="00BC5727">
        <w:trPr>
          <w:trHeight w:val="270"/>
        </w:trPr>
        <w:tc>
          <w:tcPr>
            <w:tcW w:w="1998" w:type="dxa"/>
            <w:shd w:val="clear" w:color="auto" w:fill="auto"/>
            <w:noWrap/>
            <w:vAlign w:val="center"/>
            <w:hideMark/>
          </w:tcPr>
          <w:p w:rsidR="00CE070B" w:rsidRPr="00252DCB" w:rsidRDefault="00CE070B" w:rsidP="00BC5727">
            <w:pPr>
              <w:jc w:val="right"/>
              <w:rPr>
                <w:rFonts w:ascii="Arial" w:eastAsia="Times New Roman" w:hAnsi="Arial" w:cs="Arial"/>
                <w:color w:val="002060"/>
                <w:sz w:val="20"/>
              </w:rPr>
            </w:pPr>
            <w:r w:rsidRPr="00252DCB">
              <w:rPr>
                <w:rFonts w:ascii="Arial" w:eastAsia="Times New Roman" w:hAnsi="Arial" w:cs="Arial"/>
                <w:color w:val="002060"/>
                <w:sz w:val="20"/>
              </w:rPr>
              <w:t>Home</w:t>
            </w:r>
          </w:p>
        </w:tc>
        <w:tc>
          <w:tcPr>
            <w:tcW w:w="1201" w:type="dxa"/>
            <w:shd w:val="clear" w:color="auto" w:fill="auto"/>
            <w:noWrap/>
            <w:vAlign w:val="center"/>
            <w:hideMark/>
          </w:tcPr>
          <w:p w:rsidR="00CE070B" w:rsidRPr="00CE070B" w:rsidRDefault="00CE070B" w:rsidP="00BC5727">
            <w:pPr>
              <w:jc w:val="right"/>
              <w:rPr>
                <w:rFonts w:ascii="Arial" w:hAnsi="Arial" w:cs="Arial"/>
                <w:color w:val="002060"/>
                <w:sz w:val="20"/>
              </w:rPr>
            </w:pPr>
            <w:r w:rsidRPr="00CE070B">
              <w:rPr>
                <w:rFonts w:ascii="Arial" w:hAnsi="Arial" w:cs="Arial"/>
                <w:color w:val="002060"/>
                <w:sz w:val="20"/>
              </w:rPr>
              <w:t>21,522</w:t>
            </w:r>
          </w:p>
        </w:tc>
        <w:tc>
          <w:tcPr>
            <w:tcW w:w="939" w:type="dxa"/>
            <w:shd w:val="clear" w:color="auto" w:fill="auto"/>
            <w:noWrap/>
            <w:vAlign w:val="center"/>
            <w:hideMark/>
          </w:tcPr>
          <w:p w:rsidR="00CE070B" w:rsidRPr="00CE070B" w:rsidRDefault="00CE070B" w:rsidP="00BC5727">
            <w:pPr>
              <w:jc w:val="right"/>
              <w:rPr>
                <w:rFonts w:ascii="Arial" w:hAnsi="Arial" w:cs="Arial"/>
                <w:color w:val="002060"/>
                <w:sz w:val="20"/>
              </w:rPr>
            </w:pPr>
            <w:r w:rsidRPr="00CE070B">
              <w:rPr>
                <w:rFonts w:ascii="Arial" w:hAnsi="Arial" w:cs="Arial"/>
                <w:color w:val="002060"/>
                <w:sz w:val="20"/>
              </w:rPr>
              <w:t>21,714</w:t>
            </w:r>
          </w:p>
        </w:tc>
        <w:tc>
          <w:tcPr>
            <w:tcW w:w="1262" w:type="dxa"/>
            <w:shd w:val="clear" w:color="auto" w:fill="auto"/>
            <w:noWrap/>
            <w:vAlign w:val="center"/>
            <w:hideMark/>
          </w:tcPr>
          <w:p w:rsidR="00CE070B" w:rsidRPr="00CE070B" w:rsidRDefault="00CE070B" w:rsidP="00BC5727">
            <w:pPr>
              <w:jc w:val="right"/>
              <w:rPr>
                <w:rFonts w:ascii="Arial" w:hAnsi="Arial" w:cs="Arial"/>
                <w:color w:val="002060"/>
                <w:sz w:val="18"/>
                <w:szCs w:val="18"/>
              </w:rPr>
            </w:pPr>
            <w:r w:rsidRPr="00CE070B">
              <w:rPr>
                <w:rFonts w:ascii="Arial" w:hAnsi="Arial" w:cs="Arial"/>
                <w:color w:val="002060"/>
                <w:sz w:val="18"/>
                <w:szCs w:val="18"/>
              </w:rPr>
              <w:t>0.9%</w:t>
            </w:r>
          </w:p>
        </w:tc>
        <w:tc>
          <w:tcPr>
            <w:tcW w:w="1276" w:type="dxa"/>
            <w:shd w:val="clear" w:color="auto" w:fill="auto"/>
            <w:noWrap/>
            <w:vAlign w:val="center"/>
            <w:hideMark/>
          </w:tcPr>
          <w:p w:rsidR="00CE070B" w:rsidRPr="00CE070B" w:rsidRDefault="00CE070B" w:rsidP="00BC5727">
            <w:pPr>
              <w:jc w:val="right"/>
              <w:rPr>
                <w:rFonts w:ascii="Arial" w:hAnsi="Arial" w:cs="Arial"/>
                <w:color w:val="002060"/>
                <w:sz w:val="20"/>
              </w:rPr>
            </w:pPr>
            <w:r w:rsidRPr="00CE070B">
              <w:rPr>
                <w:rFonts w:ascii="Arial" w:hAnsi="Arial" w:cs="Arial"/>
                <w:color w:val="002060"/>
                <w:sz w:val="20"/>
              </w:rPr>
              <w:t>236,099</w:t>
            </w:r>
          </w:p>
        </w:tc>
        <w:tc>
          <w:tcPr>
            <w:tcW w:w="1275" w:type="dxa"/>
            <w:shd w:val="clear" w:color="auto" w:fill="auto"/>
            <w:noWrap/>
            <w:vAlign w:val="center"/>
            <w:hideMark/>
          </w:tcPr>
          <w:p w:rsidR="00CE070B" w:rsidRPr="00CE070B" w:rsidRDefault="00CE070B" w:rsidP="00BC5727">
            <w:pPr>
              <w:jc w:val="right"/>
              <w:rPr>
                <w:rFonts w:ascii="Arial" w:hAnsi="Arial" w:cs="Arial"/>
                <w:color w:val="002060"/>
                <w:sz w:val="20"/>
              </w:rPr>
            </w:pPr>
            <w:r w:rsidRPr="00CE070B">
              <w:rPr>
                <w:rFonts w:ascii="Arial" w:hAnsi="Arial" w:cs="Arial"/>
                <w:color w:val="002060"/>
                <w:sz w:val="20"/>
              </w:rPr>
              <w:t>293,292</w:t>
            </w:r>
          </w:p>
        </w:tc>
        <w:tc>
          <w:tcPr>
            <w:tcW w:w="1276" w:type="dxa"/>
            <w:shd w:val="clear" w:color="auto" w:fill="auto"/>
            <w:noWrap/>
            <w:vAlign w:val="center"/>
            <w:hideMark/>
          </w:tcPr>
          <w:p w:rsidR="00CE070B" w:rsidRPr="00CE070B" w:rsidRDefault="00CE070B" w:rsidP="00BC5727">
            <w:pPr>
              <w:jc w:val="right"/>
              <w:rPr>
                <w:rFonts w:ascii="Arial" w:hAnsi="Arial" w:cs="Arial"/>
                <w:color w:val="002060"/>
                <w:sz w:val="18"/>
                <w:szCs w:val="18"/>
              </w:rPr>
            </w:pPr>
            <w:r w:rsidRPr="00CE070B">
              <w:rPr>
                <w:rFonts w:ascii="Arial" w:hAnsi="Arial" w:cs="Arial"/>
                <w:color w:val="002060"/>
                <w:sz w:val="18"/>
                <w:szCs w:val="18"/>
              </w:rPr>
              <w:t>24.2%</w:t>
            </w:r>
          </w:p>
        </w:tc>
      </w:tr>
      <w:tr w:rsidR="00CE070B" w:rsidRPr="008F55A4" w:rsidTr="00BC5727">
        <w:trPr>
          <w:trHeight w:val="270"/>
        </w:trPr>
        <w:tc>
          <w:tcPr>
            <w:tcW w:w="1998" w:type="dxa"/>
            <w:shd w:val="clear" w:color="auto" w:fill="auto"/>
            <w:noWrap/>
            <w:vAlign w:val="center"/>
            <w:hideMark/>
          </w:tcPr>
          <w:p w:rsidR="00CE070B" w:rsidRPr="00252DCB" w:rsidRDefault="00CE070B" w:rsidP="00BC5727">
            <w:pPr>
              <w:jc w:val="right"/>
              <w:rPr>
                <w:rFonts w:ascii="Arial" w:eastAsia="Times New Roman" w:hAnsi="Arial" w:cs="Arial"/>
                <w:color w:val="002060"/>
                <w:sz w:val="20"/>
              </w:rPr>
            </w:pPr>
            <w:r w:rsidRPr="00252DCB">
              <w:rPr>
                <w:rFonts w:ascii="Arial" w:eastAsia="Times New Roman" w:hAnsi="Arial" w:cs="Arial"/>
                <w:color w:val="002060"/>
                <w:sz w:val="20"/>
              </w:rPr>
              <w:t>Export</w:t>
            </w:r>
          </w:p>
        </w:tc>
        <w:tc>
          <w:tcPr>
            <w:tcW w:w="1201" w:type="dxa"/>
            <w:shd w:val="clear" w:color="auto" w:fill="auto"/>
            <w:noWrap/>
            <w:vAlign w:val="center"/>
            <w:hideMark/>
          </w:tcPr>
          <w:p w:rsidR="00CE070B" w:rsidRPr="00CE070B" w:rsidRDefault="00CE070B" w:rsidP="00BC5727">
            <w:pPr>
              <w:jc w:val="right"/>
              <w:rPr>
                <w:rFonts w:ascii="Arial" w:hAnsi="Arial" w:cs="Arial"/>
                <w:color w:val="002060"/>
                <w:sz w:val="20"/>
              </w:rPr>
            </w:pPr>
            <w:r w:rsidRPr="00CE070B">
              <w:rPr>
                <w:rFonts w:ascii="Arial" w:hAnsi="Arial" w:cs="Arial"/>
                <w:color w:val="002060"/>
                <w:sz w:val="20"/>
              </w:rPr>
              <w:t>121,303</w:t>
            </w:r>
          </w:p>
        </w:tc>
        <w:tc>
          <w:tcPr>
            <w:tcW w:w="939" w:type="dxa"/>
            <w:shd w:val="clear" w:color="auto" w:fill="auto"/>
            <w:noWrap/>
            <w:vAlign w:val="center"/>
            <w:hideMark/>
          </w:tcPr>
          <w:p w:rsidR="00CE070B" w:rsidRPr="00CE070B" w:rsidRDefault="00CE070B" w:rsidP="00BC5727">
            <w:pPr>
              <w:jc w:val="right"/>
              <w:rPr>
                <w:rFonts w:ascii="Arial" w:hAnsi="Arial" w:cs="Arial"/>
                <w:color w:val="002060"/>
                <w:sz w:val="20"/>
              </w:rPr>
            </w:pPr>
            <w:r w:rsidRPr="00CE070B">
              <w:rPr>
                <w:rFonts w:ascii="Arial" w:hAnsi="Arial" w:cs="Arial"/>
                <w:color w:val="002060"/>
                <w:sz w:val="20"/>
              </w:rPr>
              <w:t>115,910</w:t>
            </w:r>
          </w:p>
        </w:tc>
        <w:tc>
          <w:tcPr>
            <w:tcW w:w="1262" w:type="dxa"/>
            <w:shd w:val="clear" w:color="auto" w:fill="auto"/>
            <w:noWrap/>
            <w:vAlign w:val="center"/>
            <w:hideMark/>
          </w:tcPr>
          <w:p w:rsidR="00CE070B" w:rsidRPr="00CE070B" w:rsidRDefault="00CE070B" w:rsidP="00BC5727">
            <w:pPr>
              <w:jc w:val="right"/>
              <w:rPr>
                <w:rFonts w:ascii="Arial" w:hAnsi="Arial" w:cs="Arial"/>
                <w:color w:val="002060"/>
                <w:sz w:val="18"/>
                <w:szCs w:val="18"/>
              </w:rPr>
            </w:pPr>
            <w:r w:rsidRPr="00CE070B">
              <w:rPr>
                <w:rFonts w:ascii="Arial" w:hAnsi="Arial" w:cs="Arial"/>
                <w:color w:val="002060"/>
                <w:sz w:val="18"/>
                <w:szCs w:val="18"/>
              </w:rPr>
              <w:t>-4.4%</w:t>
            </w:r>
          </w:p>
        </w:tc>
        <w:tc>
          <w:tcPr>
            <w:tcW w:w="1276" w:type="dxa"/>
            <w:shd w:val="clear" w:color="auto" w:fill="auto"/>
            <w:noWrap/>
            <w:vAlign w:val="center"/>
            <w:hideMark/>
          </w:tcPr>
          <w:p w:rsidR="00CE070B" w:rsidRPr="00CE070B" w:rsidRDefault="00CE070B" w:rsidP="00BC5727">
            <w:pPr>
              <w:jc w:val="right"/>
              <w:rPr>
                <w:rFonts w:ascii="Arial" w:hAnsi="Arial" w:cs="Arial"/>
                <w:color w:val="002060"/>
                <w:sz w:val="20"/>
              </w:rPr>
            </w:pPr>
            <w:r w:rsidRPr="00CE070B">
              <w:rPr>
                <w:rFonts w:ascii="Arial" w:hAnsi="Arial" w:cs="Arial"/>
                <w:color w:val="002060"/>
                <w:sz w:val="20"/>
              </w:rPr>
              <w:t>1,127,067</w:t>
            </w:r>
          </w:p>
        </w:tc>
        <w:tc>
          <w:tcPr>
            <w:tcW w:w="1275" w:type="dxa"/>
            <w:shd w:val="clear" w:color="auto" w:fill="auto"/>
            <w:noWrap/>
            <w:vAlign w:val="center"/>
            <w:hideMark/>
          </w:tcPr>
          <w:p w:rsidR="00CE070B" w:rsidRPr="00CE070B" w:rsidRDefault="00CE070B" w:rsidP="00BC5727">
            <w:pPr>
              <w:jc w:val="right"/>
              <w:rPr>
                <w:rFonts w:ascii="Arial" w:hAnsi="Arial" w:cs="Arial"/>
                <w:color w:val="002060"/>
                <w:sz w:val="20"/>
              </w:rPr>
            </w:pPr>
            <w:r w:rsidRPr="00CE070B">
              <w:rPr>
                <w:rFonts w:ascii="Arial" w:hAnsi="Arial" w:cs="Arial"/>
                <w:color w:val="002060"/>
                <w:sz w:val="20"/>
              </w:rPr>
              <w:t>1,130,731</w:t>
            </w:r>
          </w:p>
        </w:tc>
        <w:tc>
          <w:tcPr>
            <w:tcW w:w="1276" w:type="dxa"/>
            <w:shd w:val="clear" w:color="auto" w:fill="auto"/>
            <w:noWrap/>
            <w:vAlign w:val="center"/>
            <w:hideMark/>
          </w:tcPr>
          <w:p w:rsidR="00CE070B" w:rsidRPr="00CE070B" w:rsidRDefault="00CE070B" w:rsidP="00BC5727">
            <w:pPr>
              <w:jc w:val="right"/>
              <w:rPr>
                <w:rFonts w:ascii="Arial" w:hAnsi="Arial" w:cs="Arial"/>
                <w:color w:val="002060"/>
                <w:sz w:val="18"/>
                <w:szCs w:val="18"/>
              </w:rPr>
            </w:pPr>
            <w:r w:rsidRPr="00CE070B">
              <w:rPr>
                <w:rFonts w:ascii="Arial" w:hAnsi="Arial" w:cs="Arial"/>
                <w:color w:val="002060"/>
                <w:sz w:val="18"/>
                <w:szCs w:val="18"/>
              </w:rPr>
              <w:t>0.3%</w:t>
            </w:r>
          </w:p>
        </w:tc>
      </w:tr>
      <w:tr w:rsidR="00CE070B" w:rsidRPr="008F55A4" w:rsidTr="00BC5727">
        <w:trPr>
          <w:trHeight w:val="270"/>
        </w:trPr>
        <w:tc>
          <w:tcPr>
            <w:tcW w:w="1998" w:type="dxa"/>
            <w:shd w:val="clear" w:color="auto" w:fill="auto"/>
            <w:noWrap/>
            <w:vAlign w:val="center"/>
            <w:hideMark/>
          </w:tcPr>
          <w:p w:rsidR="00CE070B" w:rsidRPr="00252DCB" w:rsidRDefault="00CE070B" w:rsidP="00BC5727">
            <w:pPr>
              <w:jc w:val="right"/>
              <w:rPr>
                <w:rFonts w:ascii="Arial" w:eastAsia="Times New Roman" w:hAnsi="Arial" w:cs="Arial"/>
                <w:color w:val="002060"/>
                <w:sz w:val="20"/>
              </w:rPr>
            </w:pPr>
            <w:r w:rsidRPr="00252DCB">
              <w:rPr>
                <w:rFonts w:ascii="Arial" w:eastAsia="Times New Roman" w:hAnsi="Arial" w:cs="Arial"/>
                <w:color w:val="002060"/>
                <w:sz w:val="20"/>
              </w:rPr>
              <w:t>% export</w:t>
            </w:r>
          </w:p>
        </w:tc>
        <w:tc>
          <w:tcPr>
            <w:tcW w:w="1201" w:type="dxa"/>
            <w:shd w:val="clear" w:color="auto" w:fill="auto"/>
            <w:noWrap/>
            <w:vAlign w:val="center"/>
            <w:hideMark/>
          </w:tcPr>
          <w:p w:rsidR="00CE070B" w:rsidRPr="00CE070B" w:rsidRDefault="00CE070B" w:rsidP="00BC5727">
            <w:pPr>
              <w:jc w:val="right"/>
              <w:rPr>
                <w:rFonts w:ascii="Arial" w:hAnsi="Arial" w:cs="Arial"/>
                <w:color w:val="002060"/>
                <w:sz w:val="20"/>
              </w:rPr>
            </w:pPr>
            <w:r w:rsidRPr="00CE070B">
              <w:rPr>
                <w:rFonts w:ascii="Arial" w:hAnsi="Arial" w:cs="Arial"/>
                <w:color w:val="002060"/>
                <w:sz w:val="20"/>
              </w:rPr>
              <w:t>84.9%</w:t>
            </w:r>
          </w:p>
        </w:tc>
        <w:tc>
          <w:tcPr>
            <w:tcW w:w="939" w:type="dxa"/>
            <w:shd w:val="clear" w:color="auto" w:fill="auto"/>
            <w:noWrap/>
            <w:vAlign w:val="center"/>
            <w:hideMark/>
          </w:tcPr>
          <w:p w:rsidR="00CE070B" w:rsidRPr="00CE070B" w:rsidRDefault="00CE070B" w:rsidP="00BC5727">
            <w:pPr>
              <w:jc w:val="right"/>
              <w:rPr>
                <w:rFonts w:ascii="Arial" w:hAnsi="Arial" w:cs="Arial"/>
                <w:color w:val="002060"/>
                <w:sz w:val="20"/>
              </w:rPr>
            </w:pPr>
            <w:r w:rsidRPr="00CE070B">
              <w:rPr>
                <w:rFonts w:ascii="Arial" w:hAnsi="Arial" w:cs="Arial"/>
                <w:color w:val="002060"/>
                <w:sz w:val="20"/>
              </w:rPr>
              <w:t>84.2%</w:t>
            </w:r>
          </w:p>
        </w:tc>
        <w:tc>
          <w:tcPr>
            <w:tcW w:w="1262" w:type="dxa"/>
            <w:shd w:val="clear" w:color="auto" w:fill="auto"/>
            <w:noWrap/>
            <w:vAlign w:val="center"/>
            <w:hideMark/>
          </w:tcPr>
          <w:p w:rsidR="00CE070B" w:rsidRPr="00CE070B" w:rsidRDefault="00CE070B" w:rsidP="00BC5727">
            <w:pPr>
              <w:jc w:val="right"/>
              <w:rPr>
                <w:rFonts w:ascii="Arial" w:hAnsi="Arial" w:cs="Arial"/>
                <w:color w:val="002060"/>
                <w:sz w:val="20"/>
              </w:rPr>
            </w:pPr>
            <w:r w:rsidRPr="00CE070B">
              <w:rPr>
                <w:rFonts w:ascii="Arial" w:hAnsi="Arial" w:cs="Arial"/>
                <w:color w:val="002060"/>
                <w:sz w:val="20"/>
              </w:rPr>
              <w:t> </w:t>
            </w:r>
          </w:p>
        </w:tc>
        <w:tc>
          <w:tcPr>
            <w:tcW w:w="1276" w:type="dxa"/>
            <w:shd w:val="clear" w:color="auto" w:fill="auto"/>
            <w:noWrap/>
            <w:vAlign w:val="center"/>
            <w:hideMark/>
          </w:tcPr>
          <w:p w:rsidR="00CE070B" w:rsidRPr="00CE070B" w:rsidRDefault="00CE070B" w:rsidP="00BC5727">
            <w:pPr>
              <w:jc w:val="right"/>
              <w:rPr>
                <w:rFonts w:ascii="Arial" w:hAnsi="Arial" w:cs="Arial"/>
                <w:color w:val="002060"/>
                <w:sz w:val="20"/>
              </w:rPr>
            </w:pPr>
            <w:r w:rsidRPr="00CE070B">
              <w:rPr>
                <w:rFonts w:ascii="Arial" w:hAnsi="Arial" w:cs="Arial"/>
                <w:color w:val="002060"/>
                <w:sz w:val="20"/>
              </w:rPr>
              <w:t>82.7%</w:t>
            </w:r>
          </w:p>
        </w:tc>
        <w:tc>
          <w:tcPr>
            <w:tcW w:w="1275" w:type="dxa"/>
            <w:shd w:val="clear" w:color="auto" w:fill="auto"/>
            <w:noWrap/>
            <w:vAlign w:val="center"/>
            <w:hideMark/>
          </w:tcPr>
          <w:p w:rsidR="00CE070B" w:rsidRPr="00CE070B" w:rsidRDefault="00CE070B" w:rsidP="00BC5727">
            <w:pPr>
              <w:jc w:val="right"/>
              <w:rPr>
                <w:rFonts w:ascii="Arial" w:hAnsi="Arial" w:cs="Arial"/>
                <w:color w:val="002060"/>
                <w:sz w:val="20"/>
              </w:rPr>
            </w:pPr>
            <w:r w:rsidRPr="00CE070B">
              <w:rPr>
                <w:rFonts w:ascii="Arial" w:hAnsi="Arial" w:cs="Arial"/>
                <w:color w:val="002060"/>
                <w:sz w:val="20"/>
              </w:rPr>
              <w:t>79.4%</w:t>
            </w:r>
          </w:p>
        </w:tc>
        <w:tc>
          <w:tcPr>
            <w:tcW w:w="1276" w:type="dxa"/>
            <w:shd w:val="clear" w:color="auto" w:fill="auto"/>
            <w:noWrap/>
            <w:vAlign w:val="center"/>
            <w:hideMark/>
          </w:tcPr>
          <w:p w:rsidR="00CE070B" w:rsidRPr="00CE070B" w:rsidRDefault="00CE070B" w:rsidP="00BC5727">
            <w:pPr>
              <w:jc w:val="right"/>
              <w:rPr>
                <w:rFonts w:ascii="Arial" w:hAnsi="Arial" w:cs="Arial"/>
                <w:color w:val="002060"/>
                <w:sz w:val="20"/>
              </w:rPr>
            </w:pPr>
            <w:r w:rsidRPr="00CE070B">
              <w:rPr>
                <w:rFonts w:ascii="Arial" w:hAnsi="Arial" w:cs="Arial"/>
                <w:color w:val="002060"/>
                <w:sz w:val="20"/>
              </w:rPr>
              <w:t> </w:t>
            </w:r>
          </w:p>
        </w:tc>
      </w:tr>
    </w:tbl>
    <w:p w:rsidR="00C80E70" w:rsidRDefault="004D685F" w:rsidP="00C80E70">
      <w:pPr>
        <w:keepNext/>
        <w:spacing w:line="276" w:lineRule="auto"/>
        <w:jc w:val="both"/>
        <w:rPr>
          <w:rFonts w:ascii="Arial" w:hAnsi="Arial" w:cs="Arial"/>
          <w:b/>
          <w:color w:val="0D2255"/>
          <w:sz w:val="20"/>
        </w:rPr>
      </w:pPr>
      <w:r w:rsidRPr="004D685F">
        <w:rPr>
          <w:rFonts w:ascii="Arial" w:hAnsi="Arial" w:cs="Arial"/>
          <w:b/>
          <w:noProof/>
          <w:color w:val="0D2255"/>
          <w:sz w:val="16"/>
          <w:szCs w:val="16"/>
          <w:lang w:val="en-US" w:eastAsia="zh-TW"/>
        </w:rPr>
        <w:pict>
          <v:shapetype id="_x0000_t202" coordsize="21600,21600" o:spt="202" path="m,l,21600r21600,l21600,xe">
            <v:stroke joinstyle="miter"/>
            <v:path gradientshapeok="t" o:connecttype="rect"/>
          </v:shapetype>
          <v:shape id="_x0000_s1034" type="#_x0000_t202" style="position:absolute;left:0;text-align:left;margin-left:-3pt;margin-top:29.45pt;width:213.6pt;height:214.75pt;z-index:251676672;mso-position-horizontal-relative:text;mso-position-vertical-relative:text;mso-width-relative:margin;mso-height-relative:margin" stroked="f">
            <v:textbox>
              <w:txbxContent>
                <w:p w:rsidR="00DE0B9A" w:rsidRPr="00D561FB" w:rsidRDefault="00B2588D" w:rsidP="00D561FB">
                  <w:r w:rsidRPr="00B2588D">
                    <w:rPr>
                      <w:noProof/>
                    </w:rPr>
                    <w:drawing>
                      <wp:inline distT="0" distB="0" distL="0" distR="0">
                        <wp:extent cx="2734574" cy="2820838"/>
                        <wp:effectExtent l="0" t="0" r="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r w:rsidR="00D92B21" w:rsidRPr="00BC5727">
        <w:rPr>
          <w:rFonts w:ascii="Arial" w:hAnsi="Arial" w:cs="Arial"/>
          <w:b/>
          <w:color w:val="0D2255"/>
          <w:sz w:val="16"/>
          <w:szCs w:val="16"/>
        </w:rPr>
        <w:br/>
      </w:r>
      <w:r w:rsidR="00C80E70" w:rsidRPr="00D62A9D">
        <w:rPr>
          <w:rFonts w:ascii="Arial" w:hAnsi="Arial" w:cs="Arial"/>
          <w:b/>
          <w:color w:val="0D2255"/>
          <w:sz w:val="20"/>
        </w:rPr>
        <w:t>Car output rolling year total</w:t>
      </w:r>
      <w:r w:rsidR="00C80E70">
        <w:rPr>
          <w:rFonts w:ascii="Arial" w:hAnsi="Arial" w:cs="Arial"/>
          <w:b/>
          <w:color w:val="0D2255"/>
          <w:sz w:val="20"/>
        </w:rPr>
        <w:tab/>
      </w:r>
      <w:r w:rsidR="00C80E70">
        <w:rPr>
          <w:rFonts w:ascii="Arial" w:hAnsi="Arial" w:cs="Arial"/>
          <w:b/>
          <w:color w:val="0D2255"/>
          <w:sz w:val="20"/>
        </w:rPr>
        <w:tab/>
        <w:t xml:space="preserve">      </w:t>
      </w:r>
      <w:r w:rsidR="00EC65AF">
        <w:rPr>
          <w:rFonts w:ascii="Arial" w:hAnsi="Arial" w:cs="Arial"/>
          <w:b/>
          <w:color w:val="0D2255"/>
          <w:sz w:val="20"/>
        </w:rPr>
        <w:tab/>
      </w:r>
      <w:r w:rsidR="00C80E70">
        <w:rPr>
          <w:rFonts w:ascii="Arial" w:hAnsi="Arial" w:cs="Arial"/>
          <w:b/>
          <w:color w:val="0D2255"/>
          <w:sz w:val="20"/>
        </w:rPr>
        <w:t xml:space="preserve">Car </w:t>
      </w:r>
      <w:r w:rsidR="00EC65AF">
        <w:rPr>
          <w:rFonts w:ascii="Arial" w:hAnsi="Arial" w:cs="Arial"/>
          <w:b/>
          <w:color w:val="0D2255"/>
          <w:sz w:val="20"/>
        </w:rPr>
        <w:t>output year-to-date, 2011-2013</w:t>
      </w:r>
    </w:p>
    <w:p w:rsidR="00BC5727" w:rsidRDefault="00BC5727" w:rsidP="00C80E70">
      <w:pPr>
        <w:keepNext/>
        <w:spacing w:line="276" w:lineRule="auto"/>
        <w:jc w:val="both"/>
        <w:rPr>
          <w:rFonts w:ascii="Arial" w:hAnsi="Arial" w:cs="Arial"/>
          <w:b/>
          <w:color w:val="0D2255"/>
          <w:sz w:val="20"/>
        </w:rPr>
      </w:pPr>
    </w:p>
    <w:p w:rsidR="00D561FB" w:rsidRDefault="004D685F" w:rsidP="00D92B21">
      <w:pPr>
        <w:tabs>
          <w:tab w:val="right" w:pos="9332"/>
        </w:tabs>
        <w:spacing w:line="360" w:lineRule="auto"/>
        <w:rPr>
          <w:rFonts w:ascii="Arial" w:hAnsi="Arial" w:cs="Arial"/>
          <w:sz w:val="16"/>
          <w:szCs w:val="16"/>
        </w:rPr>
      </w:pPr>
      <w:r>
        <w:rPr>
          <w:rFonts w:ascii="Arial" w:hAnsi="Arial" w:cs="Arial"/>
          <w:noProof/>
          <w:sz w:val="16"/>
          <w:szCs w:val="16"/>
        </w:rPr>
        <w:pict>
          <v:shape id="_x0000_s1035" type="#_x0000_t202" style="position:absolute;margin-left:218pt;margin-top:3pt;width:236.75pt;height:214.75pt;z-index:251677696;mso-width-relative:margin;mso-height-relative:margin" stroked="f">
            <v:textbox>
              <w:txbxContent>
                <w:p w:rsidR="00DE0B9A" w:rsidRPr="00D561FB" w:rsidRDefault="00614891" w:rsidP="00D561FB">
                  <w:r w:rsidRPr="00614891">
                    <w:rPr>
                      <w:noProof/>
                    </w:rPr>
                    <w:drawing>
                      <wp:inline distT="0" distB="0" distL="0" distR="0">
                        <wp:extent cx="2820838" cy="2613804"/>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D561FB" w:rsidRDefault="00D561FB" w:rsidP="00D92B21">
      <w:pPr>
        <w:tabs>
          <w:tab w:val="right" w:pos="9332"/>
        </w:tabs>
        <w:spacing w:line="360" w:lineRule="auto"/>
        <w:rPr>
          <w:rFonts w:ascii="Arial" w:hAnsi="Arial" w:cs="Arial"/>
          <w:sz w:val="16"/>
          <w:szCs w:val="16"/>
        </w:rPr>
      </w:pPr>
    </w:p>
    <w:p w:rsidR="00D561FB" w:rsidRDefault="00D561FB" w:rsidP="00D92B21">
      <w:pPr>
        <w:tabs>
          <w:tab w:val="right" w:pos="9332"/>
        </w:tabs>
        <w:spacing w:line="360" w:lineRule="auto"/>
        <w:rPr>
          <w:rFonts w:ascii="Arial" w:hAnsi="Arial" w:cs="Arial"/>
          <w:sz w:val="16"/>
          <w:szCs w:val="16"/>
        </w:rPr>
      </w:pPr>
    </w:p>
    <w:p w:rsidR="00D561FB" w:rsidRDefault="00D561FB" w:rsidP="00D92B21">
      <w:pPr>
        <w:tabs>
          <w:tab w:val="right" w:pos="9332"/>
        </w:tabs>
        <w:spacing w:line="360" w:lineRule="auto"/>
        <w:rPr>
          <w:rFonts w:ascii="Arial" w:hAnsi="Arial" w:cs="Arial"/>
          <w:sz w:val="16"/>
          <w:szCs w:val="16"/>
        </w:rPr>
      </w:pPr>
    </w:p>
    <w:p w:rsidR="00D561FB" w:rsidRDefault="00D561FB" w:rsidP="00D92B21">
      <w:pPr>
        <w:tabs>
          <w:tab w:val="right" w:pos="9332"/>
        </w:tabs>
        <w:spacing w:line="360" w:lineRule="auto"/>
        <w:rPr>
          <w:rFonts w:ascii="Arial" w:hAnsi="Arial" w:cs="Arial"/>
          <w:sz w:val="16"/>
          <w:szCs w:val="16"/>
        </w:rPr>
      </w:pPr>
    </w:p>
    <w:p w:rsidR="00C80E70" w:rsidRDefault="00D92B21" w:rsidP="00D92B21">
      <w:pPr>
        <w:tabs>
          <w:tab w:val="right" w:pos="9332"/>
        </w:tabs>
        <w:spacing w:line="360" w:lineRule="auto"/>
        <w:rPr>
          <w:rFonts w:ascii="Arial" w:hAnsi="Arial" w:cs="Arial"/>
          <w:sz w:val="16"/>
          <w:szCs w:val="16"/>
        </w:rPr>
      </w:pPr>
      <w:r>
        <w:rPr>
          <w:rFonts w:ascii="Arial" w:hAnsi="Arial" w:cs="Arial"/>
          <w:sz w:val="16"/>
          <w:szCs w:val="16"/>
        </w:rPr>
        <w:tab/>
      </w:r>
    </w:p>
    <w:p w:rsidR="00D561FB" w:rsidRDefault="00D561FB" w:rsidP="00D92B21">
      <w:pPr>
        <w:tabs>
          <w:tab w:val="right" w:pos="9332"/>
        </w:tabs>
        <w:spacing w:line="360" w:lineRule="auto"/>
        <w:rPr>
          <w:rFonts w:ascii="Arial" w:hAnsi="Arial" w:cs="Arial"/>
          <w:sz w:val="16"/>
          <w:szCs w:val="16"/>
        </w:rPr>
      </w:pPr>
    </w:p>
    <w:p w:rsidR="00D561FB" w:rsidRDefault="00D561FB" w:rsidP="00D92B21">
      <w:pPr>
        <w:tabs>
          <w:tab w:val="right" w:pos="9332"/>
        </w:tabs>
        <w:spacing w:line="360" w:lineRule="auto"/>
        <w:rPr>
          <w:rFonts w:ascii="Arial" w:hAnsi="Arial" w:cs="Arial"/>
          <w:sz w:val="16"/>
          <w:szCs w:val="16"/>
        </w:rPr>
      </w:pPr>
    </w:p>
    <w:p w:rsidR="00D561FB" w:rsidRDefault="00D561FB" w:rsidP="00D92B21">
      <w:pPr>
        <w:tabs>
          <w:tab w:val="right" w:pos="9332"/>
        </w:tabs>
        <w:spacing w:line="360" w:lineRule="auto"/>
        <w:rPr>
          <w:rFonts w:ascii="Arial" w:hAnsi="Arial" w:cs="Arial"/>
          <w:sz w:val="16"/>
          <w:szCs w:val="16"/>
        </w:rPr>
      </w:pPr>
    </w:p>
    <w:p w:rsidR="00D561FB" w:rsidRDefault="00D561FB" w:rsidP="00D92B21">
      <w:pPr>
        <w:tabs>
          <w:tab w:val="right" w:pos="9332"/>
        </w:tabs>
        <w:spacing w:line="360" w:lineRule="auto"/>
        <w:rPr>
          <w:rFonts w:ascii="Arial" w:hAnsi="Arial" w:cs="Arial"/>
          <w:sz w:val="16"/>
          <w:szCs w:val="16"/>
        </w:rPr>
      </w:pPr>
    </w:p>
    <w:p w:rsidR="00D561FB" w:rsidRDefault="00D561FB" w:rsidP="00D92B21">
      <w:pPr>
        <w:tabs>
          <w:tab w:val="right" w:pos="9332"/>
        </w:tabs>
        <w:spacing w:line="360" w:lineRule="auto"/>
        <w:rPr>
          <w:rFonts w:ascii="Arial" w:hAnsi="Arial" w:cs="Arial"/>
          <w:sz w:val="16"/>
          <w:szCs w:val="16"/>
        </w:rPr>
      </w:pPr>
    </w:p>
    <w:p w:rsidR="00D561FB" w:rsidRDefault="00D561FB" w:rsidP="00D92B21">
      <w:pPr>
        <w:tabs>
          <w:tab w:val="right" w:pos="9332"/>
        </w:tabs>
        <w:spacing w:line="360" w:lineRule="auto"/>
        <w:rPr>
          <w:rFonts w:ascii="Arial" w:hAnsi="Arial" w:cs="Arial"/>
          <w:sz w:val="16"/>
          <w:szCs w:val="16"/>
        </w:rPr>
      </w:pPr>
    </w:p>
    <w:p w:rsidR="00D561FB" w:rsidRDefault="00D561FB" w:rsidP="00D92B21">
      <w:pPr>
        <w:tabs>
          <w:tab w:val="right" w:pos="9332"/>
        </w:tabs>
        <w:spacing w:line="360" w:lineRule="auto"/>
        <w:rPr>
          <w:rFonts w:ascii="Arial" w:hAnsi="Arial" w:cs="Arial"/>
          <w:sz w:val="16"/>
          <w:szCs w:val="16"/>
        </w:rPr>
      </w:pPr>
    </w:p>
    <w:p w:rsidR="00D561FB" w:rsidRDefault="00D561FB" w:rsidP="00D92B21">
      <w:pPr>
        <w:tabs>
          <w:tab w:val="right" w:pos="9332"/>
        </w:tabs>
        <w:spacing w:line="360" w:lineRule="auto"/>
        <w:rPr>
          <w:rFonts w:ascii="Arial" w:hAnsi="Arial" w:cs="Arial"/>
          <w:sz w:val="16"/>
          <w:szCs w:val="16"/>
        </w:rPr>
      </w:pPr>
    </w:p>
    <w:p w:rsidR="00C80E70" w:rsidRPr="00C80E70" w:rsidRDefault="00C80E70" w:rsidP="007430A2">
      <w:pPr>
        <w:pStyle w:val="Heading1"/>
        <w:ind w:left="0" w:right="142" w:firstLine="0"/>
        <w:rPr>
          <w:rFonts w:ascii="Arial" w:eastAsiaTheme="minorEastAsia" w:hAnsi="Arial" w:cs="Arial"/>
          <w:bCs/>
          <w:color w:val="1074CB"/>
          <w:sz w:val="38"/>
          <w:szCs w:val="38"/>
        </w:rPr>
      </w:pPr>
      <w:r w:rsidRPr="00C80E70">
        <w:rPr>
          <w:rFonts w:ascii="Arial" w:eastAsiaTheme="minorEastAsia" w:hAnsi="Arial" w:cs="Arial"/>
          <w:bCs/>
          <w:color w:val="1074CB"/>
          <w:sz w:val="38"/>
          <w:szCs w:val="38"/>
        </w:rPr>
        <w:lastRenderedPageBreak/>
        <w:t>UK COMMERCIAL VEHICLE MANUFACTURING</w:t>
      </w:r>
      <w:r w:rsidR="00696C6A">
        <w:rPr>
          <w:rFonts w:ascii="Arial" w:eastAsiaTheme="minorEastAsia" w:hAnsi="Arial" w:cs="Arial"/>
          <w:bCs/>
          <w:color w:val="1074CB"/>
          <w:sz w:val="38"/>
          <w:szCs w:val="38"/>
        </w:rPr>
        <w:t xml:space="preserve"> </w:t>
      </w:r>
    </w:p>
    <w:p w:rsidR="00C80E70" w:rsidRDefault="005926DF" w:rsidP="005926DF">
      <w:pPr>
        <w:pStyle w:val="Heading1"/>
        <w:ind w:right="142"/>
        <w:rPr>
          <w:rFonts w:ascii="Arial" w:eastAsiaTheme="minorEastAsia" w:hAnsi="Arial" w:cs="Arial"/>
          <w:b w:val="0"/>
          <w:bCs/>
          <w:color w:val="1074CB"/>
          <w:sz w:val="28"/>
          <w:szCs w:val="28"/>
        </w:rPr>
      </w:pPr>
      <w:r w:rsidRPr="0055683E">
        <w:rPr>
          <w:rFonts w:ascii="Arial" w:eastAsiaTheme="minorEastAsia" w:hAnsi="Arial" w:cs="Arial"/>
          <w:b w:val="0"/>
          <w:bCs/>
          <w:color w:val="1074CB"/>
          <w:szCs w:val="24"/>
        </w:rPr>
        <w:t xml:space="preserve"> </w:t>
      </w:r>
      <w:r w:rsidRPr="00696C6A">
        <w:rPr>
          <w:rFonts w:ascii="Arial" w:eastAsiaTheme="minorEastAsia" w:hAnsi="Arial" w:cs="Arial"/>
          <w:b w:val="0"/>
          <w:bCs/>
          <w:color w:val="1074CB"/>
          <w:sz w:val="28"/>
          <w:szCs w:val="28"/>
        </w:rPr>
        <w:t>(data for November 2013)</w:t>
      </w:r>
    </w:p>
    <w:p w:rsidR="00696C6A" w:rsidRPr="00696C6A" w:rsidRDefault="00696C6A" w:rsidP="00696C6A">
      <w:r w:rsidRPr="00A72CAD">
        <w:rPr>
          <w:rFonts w:ascii="Arial" w:eastAsiaTheme="minorEastAsia" w:hAnsi="Arial" w:cs="Arial"/>
          <w:bCs/>
          <w:color w:val="FF0000"/>
          <w:sz w:val="44"/>
          <w:szCs w:val="44"/>
        </w:rPr>
        <w:t>Embargoed to 00:01 on 19</w:t>
      </w:r>
      <w:r w:rsidRPr="00A72CAD">
        <w:rPr>
          <w:rFonts w:ascii="Arial" w:eastAsiaTheme="minorEastAsia" w:hAnsi="Arial" w:cs="Arial"/>
          <w:bCs/>
          <w:color w:val="FF0000"/>
          <w:szCs w:val="24"/>
        </w:rPr>
        <w:t xml:space="preserve"> </w:t>
      </w:r>
      <w:r w:rsidRPr="00A72CAD">
        <w:rPr>
          <w:rFonts w:ascii="Arial" w:eastAsiaTheme="minorEastAsia" w:hAnsi="Arial" w:cs="Arial"/>
          <w:bCs/>
          <w:color w:val="FF0000"/>
          <w:sz w:val="44"/>
          <w:szCs w:val="44"/>
        </w:rPr>
        <w:t>December</w:t>
      </w:r>
      <w:r>
        <w:rPr>
          <w:rFonts w:ascii="Arial" w:eastAsiaTheme="minorEastAsia" w:hAnsi="Arial" w:cs="Arial"/>
          <w:bCs/>
          <w:color w:val="FF0000"/>
          <w:sz w:val="44"/>
          <w:szCs w:val="44"/>
        </w:rPr>
        <w:t xml:space="preserve"> 2013</w:t>
      </w:r>
    </w:p>
    <w:p w:rsidR="00C80E70" w:rsidRPr="007B7D91" w:rsidRDefault="004D685F" w:rsidP="00C80E70">
      <w:r w:rsidRPr="004D685F">
        <w:rPr>
          <w:rFonts w:ascii="Arial" w:eastAsiaTheme="minorEastAsia" w:hAnsi="Arial" w:cs="Arial"/>
          <w:b/>
          <w:bCs/>
          <w:noProof/>
          <w:color w:val="1074CB"/>
          <w:sz w:val="20"/>
        </w:rPr>
        <w:pict>
          <v:line id="Line 2" o:spid="_x0000_s1028" style="position:absolute;z-index:251666432;visibility:visibl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" strokecolor="#1074cb"/>
        </w:pict>
      </w:r>
    </w:p>
    <w:p w:rsidR="00C80E70" w:rsidRDefault="005407A6" w:rsidP="00C80E70">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CV</w:t>
      </w:r>
      <w:r w:rsidR="00761183">
        <w:rPr>
          <w:rFonts w:ascii="Arial" w:eastAsiaTheme="minorEastAsia" w:hAnsi="Arial" w:cs="Arial"/>
          <w:bCs/>
          <w:color w:val="1074CB"/>
          <w:sz w:val="36"/>
          <w:szCs w:val="36"/>
        </w:rPr>
        <w:t xml:space="preserve"> </w:t>
      </w:r>
      <w:r w:rsidR="001E428D">
        <w:rPr>
          <w:rFonts w:ascii="Arial" w:eastAsiaTheme="minorEastAsia" w:hAnsi="Arial" w:cs="Arial"/>
          <w:bCs/>
          <w:color w:val="1074CB"/>
          <w:sz w:val="36"/>
          <w:szCs w:val="36"/>
        </w:rPr>
        <w:t xml:space="preserve">output </w:t>
      </w:r>
      <w:r w:rsidR="00735C0B">
        <w:rPr>
          <w:rFonts w:ascii="Arial" w:eastAsiaTheme="minorEastAsia" w:hAnsi="Arial" w:cs="Arial"/>
          <w:bCs/>
          <w:color w:val="1074CB"/>
          <w:sz w:val="36"/>
          <w:szCs w:val="36"/>
        </w:rPr>
        <w:t>falls again in November</w:t>
      </w:r>
    </w:p>
    <w:p w:rsidR="00C80E70" w:rsidRPr="00C80E70" w:rsidRDefault="00C80E70" w:rsidP="00C80E70">
      <w:pPr>
        <w:rPr>
          <w:sz w:val="10"/>
          <w:szCs w:val="10"/>
        </w:rPr>
      </w:pPr>
    </w:p>
    <w:p w:rsidR="001E428D" w:rsidRDefault="005407A6" w:rsidP="00696C6A">
      <w:pPr>
        <w:numPr>
          <w:ilvl w:val="0"/>
          <w:numId w:val="3"/>
        </w:numPr>
        <w:spacing w:line="360" w:lineRule="auto"/>
        <w:rPr>
          <w:rFonts w:ascii="Arial" w:hAnsi="Arial" w:cs="Arial"/>
          <w:sz w:val="20"/>
        </w:rPr>
      </w:pPr>
      <w:r>
        <w:rPr>
          <w:rFonts w:ascii="Arial" w:hAnsi="Arial" w:cs="Arial"/>
          <w:sz w:val="20"/>
        </w:rPr>
        <w:t xml:space="preserve">Commercial vehicle (CV) output </w:t>
      </w:r>
      <w:r w:rsidR="001E428D">
        <w:rPr>
          <w:rFonts w:ascii="Arial" w:hAnsi="Arial" w:cs="Arial"/>
          <w:sz w:val="20"/>
        </w:rPr>
        <w:t>fell 35.7% in November to 7,061 units.</w:t>
      </w:r>
    </w:p>
    <w:p w:rsidR="00494E5E" w:rsidRDefault="001E428D" w:rsidP="00696C6A">
      <w:pPr>
        <w:numPr>
          <w:ilvl w:val="0"/>
          <w:numId w:val="3"/>
        </w:numPr>
        <w:spacing w:line="360" w:lineRule="auto"/>
        <w:rPr>
          <w:rFonts w:ascii="Arial" w:hAnsi="Arial" w:cs="Arial"/>
          <w:sz w:val="20"/>
        </w:rPr>
      </w:pPr>
      <w:r>
        <w:rPr>
          <w:rFonts w:ascii="Arial" w:hAnsi="Arial" w:cs="Arial"/>
          <w:sz w:val="20"/>
        </w:rPr>
        <w:t xml:space="preserve">CV production over the first </w:t>
      </w:r>
      <w:r w:rsidR="00472D14">
        <w:rPr>
          <w:rFonts w:ascii="Arial" w:hAnsi="Arial" w:cs="Arial"/>
          <w:sz w:val="20"/>
        </w:rPr>
        <w:t>11</w:t>
      </w:r>
      <w:r>
        <w:rPr>
          <w:rFonts w:ascii="Arial" w:hAnsi="Arial" w:cs="Arial"/>
          <w:sz w:val="20"/>
        </w:rPr>
        <w:t xml:space="preserve"> months of the year down 21.5% to 82,535 units</w:t>
      </w:r>
      <w:r w:rsidR="00A773DB">
        <w:rPr>
          <w:rFonts w:ascii="Arial" w:hAnsi="Arial" w:cs="Arial"/>
          <w:sz w:val="20"/>
        </w:rPr>
        <w:t>.</w:t>
      </w:r>
    </w:p>
    <w:p w:rsidR="00472D14" w:rsidRDefault="00E84E41" w:rsidP="00696C6A">
      <w:pPr>
        <w:numPr>
          <w:ilvl w:val="0"/>
          <w:numId w:val="3"/>
        </w:numPr>
        <w:spacing w:line="360" w:lineRule="auto"/>
        <w:rPr>
          <w:rFonts w:ascii="Arial" w:hAnsi="Arial" w:cs="Arial"/>
          <w:sz w:val="20"/>
        </w:rPr>
      </w:pPr>
      <w:r>
        <w:rPr>
          <w:rFonts w:ascii="Arial" w:hAnsi="Arial" w:cs="Arial"/>
          <w:sz w:val="20"/>
        </w:rPr>
        <w:t xml:space="preserve">Total CV manufacturing </w:t>
      </w:r>
      <w:r w:rsidR="001E428D">
        <w:rPr>
          <w:rFonts w:ascii="Arial" w:hAnsi="Arial" w:cs="Arial"/>
          <w:sz w:val="20"/>
        </w:rPr>
        <w:t>volumes</w:t>
      </w:r>
      <w:r w:rsidR="00472D14">
        <w:rPr>
          <w:rFonts w:ascii="Arial" w:hAnsi="Arial" w:cs="Arial"/>
          <w:sz w:val="20"/>
        </w:rPr>
        <w:t xml:space="preserve"> </w:t>
      </w:r>
      <w:r>
        <w:rPr>
          <w:rFonts w:ascii="Arial" w:hAnsi="Arial" w:cs="Arial"/>
          <w:sz w:val="20"/>
        </w:rPr>
        <w:t xml:space="preserve">expected to remain subdued </w:t>
      </w:r>
      <w:r w:rsidR="00472D14">
        <w:rPr>
          <w:rFonts w:ascii="Arial" w:hAnsi="Arial" w:cs="Arial"/>
          <w:sz w:val="20"/>
        </w:rPr>
        <w:t>until mid-2014.</w:t>
      </w:r>
      <w:r w:rsidR="00735C0B">
        <w:rPr>
          <w:rFonts w:ascii="Arial" w:hAnsi="Arial" w:cs="Arial"/>
          <w:sz w:val="20"/>
        </w:rPr>
        <w:t xml:space="preserve"> </w:t>
      </w:r>
    </w:p>
    <w:p w:rsidR="00A67F90" w:rsidRDefault="00A67F90" w:rsidP="00C80E70">
      <w:pPr>
        <w:spacing w:line="276" w:lineRule="auto"/>
        <w:rPr>
          <w:rFonts w:ascii="Arial" w:hAnsi="Arial" w:cs="Arial"/>
          <w:sz w:val="20"/>
        </w:rPr>
      </w:pPr>
    </w:p>
    <w:p w:rsidR="007430A2" w:rsidRPr="007430A2" w:rsidRDefault="007430A2" w:rsidP="007430A2">
      <w:pPr>
        <w:spacing w:line="360" w:lineRule="auto"/>
        <w:rPr>
          <w:rFonts w:ascii="Arial" w:hAnsi="Arial" w:cs="Arial"/>
          <w:sz w:val="20"/>
        </w:rPr>
      </w:pPr>
      <w:r w:rsidRPr="007430A2">
        <w:rPr>
          <w:rFonts w:ascii="Arial" w:hAnsi="Arial" w:cs="Arial"/>
          <w:iCs/>
          <w:sz w:val="20"/>
        </w:rPr>
        <w:t>"Ongoing weak European demand and changes to UK manufacturing operations impacted commercial vehicle production in November," said Mike Hawes, SMMT Chief Executive. "While we expect the downward trend to continue for a few months yet, CV manufacturing in the UK has a solid base from which to build with more than 200 vans, trucks and buses rolling off domestic production lines every day.”</w:t>
      </w:r>
    </w:p>
    <w:p w:rsidR="00D6336B" w:rsidRDefault="00D6336B" w:rsidP="00C80E70">
      <w:pPr>
        <w:spacing w:line="276" w:lineRule="auto"/>
        <w:rPr>
          <w:rFonts w:ascii="Arial" w:hAnsi="Arial" w:cs="Arial"/>
          <w:sz w:val="20"/>
        </w:rPr>
      </w:pPr>
    </w:p>
    <w:tbl>
      <w:tblPr>
        <w:tblStyle w:val="TableGrid"/>
        <w:tblW w:w="946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tblPr>
      <w:tblGrid>
        <w:gridCol w:w="2093"/>
        <w:gridCol w:w="1276"/>
        <w:gridCol w:w="1134"/>
        <w:gridCol w:w="1275"/>
        <w:gridCol w:w="1276"/>
        <w:gridCol w:w="1134"/>
        <w:gridCol w:w="1276"/>
      </w:tblGrid>
      <w:tr w:rsidR="00CE070B" w:rsidRPr="00761183" w:rsidTr="003A0F07">
        <w:trPr>
          <w:trHeight w:val="270"/>
        </w:trPr>
        <w:tc>
          <w:tcPr>
            <w:tcW w:w="2093" w:type="dxa"/>
            <w:noWrap/>
            <w:vAlign w:val="center"/>
            <w:hideMark/>
          </w:tcPr>
          <w:p w:rsidR="00CE070B" w:rsidRPr="00252DCB" w:rsidRDefault="00CE070B" w:rsidP="00505C8C">
            <w:pPr>
              <w:spacing w:line="276" w:lineRule="auto"/>
              <w:rPr>
                <w:rFonts w:ascii="Arial" w:hAnsi="Arial" w:cs="Arial"/>
                <w:b/>
                <w:color w:val="002060"/>
                <w:sz w:val="20"/>
              </w:rPr>
            </w:pPr>
            <w:r w:rsidRPr="00252DCB">
              <w:rPr>
                <w:rFonts w:ascii="Arial" w:hAnsi="Arial" w:cs="Arial"/>
                <w:b/>
                <w:color w:val="002060"/>
                <w:sz w:val="20"/>
              </w:rPr>
              <w:t>CV manufacturing</w:t>
            </w:r>
          </w:p>
        </w:tc>
        <w:tc>
          <w:tcPr>
            <w:tcW w:w="1276" w:type="dxa"/>
            <w:noWrap/>
            <w:vAlign w:val="center"/>
            <w:hideMark/>
          </w:tcPr>
          <w:p w:rsidR="00CE070B" w:rsidRPr="00252DCB" w:rsidRDefault="00CE070B" w:rsidP="003A0F07">
            <w:pPr>
              <w:jc w:val="right"/>
              <w:rPr>
                <w:rFonts w:ascii="Arial" w:hAnsi="Arial" w:cs="Arial"/>
                <w:b/>
                <w:color w:val="002060"/>
                <w:sz w:val="20"/>
              </w:rPr>
            </w:pPr>
            <w:r>
              <w:rPr>
                <w:rFonts w:ascii="Arial" w:hAnsi="Arial" w:cs="Arial"/>
                <w:b/>
                <w:color w:val="002060"/>
                <w:sz w:val="20"/>
              </w:rPr>
              <w:t>Nov</w:t>
            </w:r>
            <w:r w:rsidRPr="00252DCB">
              <w:rPr>
                <w:rFonts w:ascii="Arial" w:hAnsi="Arial" w:cs="Arial"/>
                <w:b/>
                <w:color w:val="002060"/>
                <w:sz w:val="20"/>
              </w:rPr>
              <w:t>-12</w:t>
            </w:r>
          </w:p>
        </w:tc>
        <w:tc>
          <w:tcPr>
            <w:tcW w:w="1134" w:type="dxa"/>
            <w:noWrap/>
            <w:vAlign w:val="center"/>
            <w:hideMark/>
          </w:tcPr>
          <w:p w:rsidR="00CE070B" w:rsidRPr="00252DCB" w:rsidRDefault="00CE070B" w:rsidP="003A0F07">
            <w:pPr>
              <w:jc w:val="right"/>
              <w:rPr>
                <w:rFonts w:ascii="Arial" w:hAnsi="Arial" w:cs="Arial"/>
                <w:b/>
                <w:color w:val="002060"/>
                <w:sz w:val="20"/>
              </w:rPr>
            </w:pPr>
            <w:r>
              <w:rPr>
                <w:rFonts w:ascii="Arial" w:hAnsi="Arial" w:cs="Arial"/>
                <w:b/>
                <w:color w:val="002060"/>
                <w:sz w:val="20"/>
              </w:rPr>
              <w:t>Nov</w:t>
            </w:r>
            <w:r w:rsidRPr="00252DCB">
              <w:rPr>
                <w:rFonts w:ascii="Arial" w:hAnsi="Arial" w:cs="Arial"/>
                <w:b/>
                <w:color w:val="002060"/>
                <w:sz w:val="20"/>
              </w:rPr>
              <w:t>-13</w:t>
            </w:r>
          </w:p>
        </w:tc>
        <w:tc>
          <w:tcPr>
            <w:tcW w:w="1275" w:type="dxa"/>
            <w:noWrap/>
            <w:vAlign w:val="center"/>
            <w:hideMark/>
          </w:tcPr>
          <w:p w:rsidR="00CE070B" w:rsidRPr="00252DCB" w:rsidRDefault="00CE070B" w:rsidP="003A0F07">
            <w:pPr>
              <w:jc w:val="right"/>
              <w:rPr>
                <w:rFonts w:ascii="Arial" w:hAnsi="Arial" w:cs="Arial"/>
                <w:b/>
                <w:color w:val="002060"/>
                <w:sz w:val="20"/>
              </w:rPr>
            </w:pPr>
            <w:r w:rsidRPr="00252DCB">
              <w:rPr>
                <w:rFonts w:ascii="Arial" w:hAnsi="Arial" w:cs="Arial"/>
                <w:b/>
                <w:color w:val="002060"/>
                <w:sz w:val="20"/>
              </w:rPr>
              <w:t xml:space="preserve">% Change </w:t>
            </w:r>
          </w:p>
        </w:tc>
        <w:tc>
          <w:tcPr>
            <w:tcW w:w="1276" w:type="dxa"/>
            <w:noWrap/>
            <w:vAlign w:val="center"/>
            <w:hideMark/>
          </w:tcPr>
          <w:p w:rsidR="00CE070B" w:rsidRPr="00252DCB" w:rsidRDefault="00CE070B" w:rsidP="003A0F07">
            <w:pPr>
              <w:jc w:val="right"/>
              <w:rPr>
                <w:rFonts w:ascii="Arial" w:hAnsi="Arial" w:cs="Arial"/>
                <w:b/>
                <w:color w:val="002060"/>
                <w:sz w:val="20"/>
              </w:rPr>
            </w:pPr>
            <w:r w:rsidRPr="00252DCB">
              <w:rPr>
                <w:rFonts w:ascii="Arial" w:hAnsi="Arial" w:cs="Arial"/>
                <w:b/>
                <w:color w:val="002060"/>
                <w:sz w:val="20"/>
              </w:rPr>
              <w:t>YTD-12</w:t>
            </w:r>
          </w:p>
        </w:tc>
        <w:tc>
          <w:tcPr>
            <w:tcW w:w="1134" w:type="dxa"/>
            <w:noWrap/>
            <w:vAlign w:val="center"/>
            <w:hideMark/>
          </w:tcPr>
          <w:p w:rsidR="00CE070B" w:rsidRPr="00252DCB" w:rsidRDefault="00CE070B" w:rsidP="003A0F07">
            <w:pPr>
              <w:jc w:val="right"/>
              <w:rPr>
                <w:rFonts w:ascii="Arial" w:hAnsi="Arial" w:cs="Arial"/>
                <w:b/>
                <w:color w:val="002060"/>
                <w:sz w:val="20"/>
              </w:rPr>
            </w:pPr>
            <w:r w:rsidRPr="00252DCB">
              <w:rPr>
                <w:rFonts w:ascii="Arial" w:hAnsi="Arial" w:cs="Arial"/>
                <w:b/>
                <w:color w:val="002060"/>
                <w:sz w:val="20"/>
              </w:rPr>
              <w:t>YTD-13</w:t>
            </w:r>
          </w:p>
        </w:tc>
        <w:tc>
          <w:tcPr>
            <w:tcW w:w="1276" w:type="dxa"/>
            <w:noWrap/>
            <w:vAlign w:val="center"/>
            <w:hideMark/>
          </w:tcPr>
          <w:p w:rsidR="00CE070B" w:rsidRPr="00252DCB" w:rsidRDefault="00CE070B" w:rsidP="003A0F07">
            <w:pPr>
              <w:jc w:val="right"/>
              <w:rPr>
                <w:rFonts w:ascii="Arial" w:hAnsi="Arial" w:cs="Arial"/>
                <w:b/>
                <w:color w:val="002060"/>
                <w:sz w:val="20"/>
              </w:rPr>
            </w:pPr>
            <w:r w:rsidRPr="00252DCB">
              <w:rPr>
                <w:rFonts w:ascii="Arial" w:hAnsi="Arial" w:cs="Arial"/>
                <w:b/>
                <w:color w:val="002060"/>
                <w:sz w:val="20"/>
              </w:rPr>
              <w:t>% Change</w:t>
            </w:r>
          </w:p>
        </w:tc>
      </w:tr>
      <w:tr w:rsidR="00CE070B" w:rsidRPr="00761183" w:rsidTr="003A0F07">
        <w:trPr>
          <w:trHeight w:val="270"/>
        </w:trPr>
        <w:tc>
          <w:tcPr>
            <w:tcW w:w="2093" w:type="dxa"/>
            <w:noWrap/>
            <w:vAlign w:val="center"/>
            <w:hideMark/>
          </w:tcPr>
          <w:p w:rsidR="00CE070B" w:rsidRPr="00252DCB" w:rsidRDefault="00CE070B" w:rsidP="003A0F07">
            <w:pPr>
              <w:spacing w:line="276" w:lineRule="auto"/>
              <w:jc w:val="right"/>
              <w:rPr>
                <w:rFonts w:ascii="Arial" w:hAnsi="Arial" w:cs="Arial"/>
                <w:b/>
                <w:color w:val="002060"/>
                <w:sz w:val="20"/>
              </w:rPr>
            </w:pPr>
            <w:r w:rsidRPr="00252DCB">
              <w:rPr>
                <w:rFonts w:ascii="Arial" w:hAnsi="Arial" w:cs="Arial"/>
                <w:b/>
                <w:color w:val="002060"/>
                <w:sz w:val="20"/>
              </w:rPr>
              <w:t>Total</w:t>
            </w:r>
          </w:p>
        </w:tc>
        <w:tc>
          <w:tcPr>
            <w:tcW w:w="1276" w:type="dxa"/>
            <w:noWrap/>
            <w:vAlign w:val="center"/>
            <w:hideMark/>
          </w:tcPr>
          <w:p w:rsidR="00CE070B" w:rsidRPr="00CE070B" w:rsidRDefault="00CE070B" w:rsidP="003A0F07">
            <w:pPr>
              <w:jc w:val="right"/>
              <w:rPr>
                <w:rFonts w:ascii="Arial" w:hAnsi="Arial" w:cs="Arial"/>
                <w:b/>
                <w:color w:val="002060"/>
                <w:sz w:val="20"/>
              </w:rPr>
            </w:pPr>
            <w:r w:rsidRPr="00CE070B">
              <w:rPr>
                <w:rFonts w:ascii="Arial" w:hAnsi="Arial" w:cs="Arial"/>
                <w:b/>
                <w:color w:val="002060"/>
                <w:sz w:val="20"/>
              </w:rPr>
              <w:t>10,974</w:t>
            </w:r>
          </w:p>
        </w:tc>
        <w:tc>
          <w:tcPr>
            <w:tcW w:w="1134" w:type="dxa"/>
            <w:noWrap/>
            <w:vAlign w:val="center"/>
            <w:hideMark/>
          </w:tcPr>
          <w:p w:rsidR="00CE070B" w:rsidRPr="00CE070B" w:rsidRDefault="00CE070B" w:rsidP="003A0F07">
            <w:pPr>
              <w:jc w:val="right"/>
              <w:rPr>
                <w:rFonts w:ascii="Arial" w:hAnsi="Arial" w:cs="Arial"/>
                <w:b/>
                <w:color w:val="002060"/>
                <w:sz w:val="20"/>
              </w:rPr>
            </w:pPr>
            <w:r w:rsidRPr="00CE070B">
              <w:rPr>
                <w:rFonts w:ascii="Arial" w:hAnsi="Arial" w:cs="Arial"/>
                <w:b/>
                <w:color w:val="002060"/>
                <w:sz w:val="20"/>
              </w:rPr>
              <w:t>7,051</w:t>
            </w:r>
          </w:p>
        </w:tc>
        <w:tc>
          <w:tcPr>
            <w:tcW w:w="1275" w:type="dxa"/>
            <w:noWrap/>
            <w:vAlign w:val="center"/>
            <w:hideMark/>
          </w:tcPr>
          <w:p w:rsidR="00CE070B" w:rsidRPr="00CE070B" w:rsidRDefault="00CE070B" w:rsidP="003A0F07">
            <w:pPr>
              <w:jc w:val="right"/>
              <w:rPr>
                <w:rFonts w:ascii="Arial" w:hAnsi="Arial" w:cs="Arial"/>
                <w:b/>
                <w:color w:val="002060"/>
                <w:sz w:val="18"/>
                <w:szCs w:val="18"/>
              </w:rPr>
            </w:pPr>
            <w:r w:rsidRPr="00CE070B">
              <w:rPr>
                <w:rFonts w:ascii="Arial" w:hAnsi="Arial" w:cs="Arial"/>
                <w:b/>
                <w:color w:val="002060"/>
                <w:sz w:val="18"/>
                <w:szCs w:val="18"/>
              </w:rPr>
              <w:t>-35.7%</w:t>
            </w:r>
          </w:p>
        </w:tc>
        <w:tc>
          <w:tcPr>
            <w:tcW w:w="1276" w:type="dxa"/>
            <w:noWrap/>
            <w:vAlign w:val="center"/>
            <w:hideMark/>
          </w:tcPr>
          <w:p w:rsidR="00CE070B" w:rsidRPr="00CE070B" w:rsidRDefault="00CE070B" w:rsidP="003A0F07">
            <w:pPr>
              <w:jc w:val="right"/>
              <w:rPr>
                <w:rFonts w:ascii="Arial" w:hAnsi="Arial" w:cs="Arial"/>
                <w:b/>
                <w:color w:val="002060"/>
                <w:sz w:val="20"/>
              </w:rPr>
            </w:pPr>
            <w:r w:rsidRPr="00CE070B">
              <w:rPr>
                <w:rFonts w:ascii="Arial" w:hAnsi="Arial" w:cs="Arial"/>
                <w:b/>
                <w:color w:val="002060"/>
                <w:sz w:val="20"/>
              </w:rPr>
              <w:t>105,188</w:t>
            </w:r>
          </w:p>
        </w:tc>
        <w:tc>
          <w:tcPr>
            <w:tcW w:w="1134" w:type="dxa"/>
            <w:noWrap/>
            <w:vAlign w:val="center"/>
            <w:hideMark/>
          </w:tcPr>
          <w:p w:rsidR="00CE070B" w:rsidRPr="00CE070B" w:rsidRDefault="00CE070B" w:rsidP="003A0F07">
            <w:pPr>
              <w:jc w:val="right"/>
              <w:rPr>
                <w:rFonts w:ascii="Arial" w:hAnsi="Arial" w:cs="Arial"/>
                <w:b/>
                <w:color w:val="002060"/>
                <w:sz w:val="20"/>
              </w:rPr>
            </w:pPr>
            <w:r w:rsidRPr="00CE070B">
              <w:rPr>
                <w:rFonts w:ascii="Arial" w:hAnsi="Arial" w:cs="Arial"/>
                <w:b/>
                <w:color w:val="002060"/>
                <w:sz w:val="20"/>
              </w:rPr>
              <w:t>82,535</w:t>
            </w:r>
          </w:p>
        </w:tc>
        <w:tc>
          <w:tcPr>
            <w:tcW w:w="1276" w:type="dxa"/>
            <w:noWrap/>
            <w:vAlign w:val="center"/>
            <w:hideMark/>
          </w:tcPr>
          <w:p w:rsidR="00CE070B" w:rsidRPr="00CE070B" w:rsidRDefault="00CE070B" w:rsidP="003A0F07">
            <w:pPr>
              <w:jc w:val="right"/>
              <w:rPr>
                <w:rFonts w:ascii="Arial" w:hAnsi="Arial" w:cs="Arial"/>
                <w:b/>
                <w:color w:val="002060"/>
                <w:sz w:val="18"/>
                <w:szCs w:val="18"/>
              </w:rPr>
            </w:pPr>
            <w:r w:rsidRPr="00CE070B">
              <w:rPr>
                <w:rFonts w:ascii="Arial" w:hAnsi="Arial" w:cs="Arial"/>
                <w:b/>
                <w:color w:val="002060"/>
                <w:sz w:val="18"/>
                <w:szCs w:val="18"/>
              </w:rPr>
              <w:t>-21.5%</w:t>
            </w:r>
          </w:p>
        </w:tc>
      </w:tr>
      <w:tr w:rsidR="00CE070B" w:rsidRPr="00761183" w:rsidTr="003A0F07">
        <w:trPr>
          <w:trHeight w:val="270"/>
        </w:trPr>
        <w:tc>
          <w:tcPr>
            <w:tcW w:w="2093" w:type="dxa"/>
            <w:noWrap/>
            <w:vAlign w:val="center"/>
            <w:hideMark/>
          </w:tcPr>
          <w:p w:rsidR="00CE070B" w:rsidRPr="00252DCB" w:rsidRDefault="00CE070B" w:rsidP="003A0F07">
            <w:pPr>
              <w:spacing w:line="276" w:lineRule="auto"/>
              <w:jc w:val="right"/>
              <w:rPr>
                <w:rFonts w:ascii="Arial" w:hAnsi="Arial" w:cs="Arial"/>
                <w:color w:val="002060"/>
                <w:sz w:val="20"/>
              </w:rPr>
            </w:pPr>
            <w:r w:rsidRPr="00252DCB">
              <w:rPr>
                <w:rFonts w:ascii="Arial" w:hAnsi="Arial" w:cs="Arial"/>
                <w:color w:val="002060"/>
                <w:sz w:val="20"/>
              </w:rPr>
              <w:t>Home</w:t>
            </w:r>
          </w:p>
        </w:tc>
        <w:tc>
          <w:tcPr>
            <w:tcW w:w="1276" w:type="dxa"/>
            <w:noWrap/>
            <w:vAlign w:val="center"/>
            <w:hideMark/>
          </w:tcPr>
          <w:p w:rsidR="00CE070B" w:rsidRPr="00CE070B" w:rsidRDefault="00CE070B" w:rsidP="003A0F07">
            <w:pPr>
              <w:jc w:val="right"/>
              <w:rPr>
                <w:rFonts w:ascii="Arial" w:hAnsi="Arial" w:cs="Arial"/>
                <w:color w:val="002060"/>
                <w:sz w:val="20"/>
              </w:rPr>
            </w:pPr>
            <w:r w:rsidRPr="00CE070B">
              <w:rPr>
                <w:rFonts w:ascii="Arial" w:hAnsi="Arial" w:cs="Arial"/>
                <w:color w:val="002060"/>
                <w:sz w:val="20"/>
              </w:rPr>
              <w:t>5,343</w:t>
            </w:r>
          </w:p>
        </w:tc>
        <w:tc>
          <w:tcPr>
            <w:tcW w:w="1134" w:type="dxa"/>
            <w:noWrap/>
            <w:vAlign w:val="center"/>
            <w:hideMark/>
          </w:tcPr>
          <w:p w:rsidR="00CE070B" w:rsidRPr="00CE070B" w:rsidRDefault="00CE070B" w:rsidP="003A0F07">
            <w:pPr>
              <w:jc w:val="right"/>
              <w:rPr>
                <w:rFonts w:ascii="Arial" w:hAnsi="Arial" w:cs="Arial"/>
                <w:color w:val="002060"/>
                <w:sz w:val="20"/>
              </w:rPr>
            </w:pPr>
            <w:r w:rsidRPr="00CE070B">
              <w:rPr>
                <w:rFonts w:ascii="Arial" w:hAnsi="Arial" w:cs="Arial"/>
                <w:color w:val="002060"/>
                <w:sz w:val="20"/>
              </w:rPr>
              <w:t>3,673</w:t>
            </w:r>
          </w:p>
        </w:tc>
        <w:tc>
          <w:tcPr>
            <w:tcW w:w="1275" w:type="dxa"/>
            <w:noWrap/>
            <w:vAlign w:val="center"/>
            <w:hideMark/>
          </w:tcPr>
          <w:p w:rsidR="00CE070B" w:rsidRPr="00CE070B" w:rsidRDefault="00CE070B" w:rsidP="003A0F07">
            <w:pPr>
              <w:jc w:val="right"/>
              <w:rPr>
                <w:rFonts w:ascii="Arial" w:hAnsi="Arial" w:cs="Arial"/>
                <w:color w:val="002060"/>
                <w:sz w:val="18"/>
                <w:szCs w:val="18"/>
              </w:rPr>
            </w:pPr>
            <w:r w:rsidRPr="00CE070B">
              <w:rPr>
                <w:rFonts w:ascii="Arial" w:hAnsi="Arial" w:cs="Arial"/>
                <w:color w:val="002060"/>
                <w:sz w:val="18"/>
                <w:szCs w:val="18"/>
              </w:rPr>
              <w:t>-31.3%</w:t>
            </w:r>
          </w:p>
        </w:tc>
        <w:tc>
          <w:tcPr>
            <w:tcW w:w="1276" w:type="dxa"/>
            <w:noWrap/>
            <w:vAlign w:val="center"/>
            <w:hideMark/>
          </w:tcPr>
          <w:p w:rsidR="00CE070B" w:rsidRPr="00CE070B" w:rsidRDefault="00CE070B" w:rsidP="003A0F07">
            <w:pPr>
              <w:jc w:val="right"/>
              <w:rPr>
                <w:rFonts w:ascii="Arial" w:hAnsi="Arial" w:cs="Arial"/>
                <w:color w:val="002060"/>
                <w:sz w:val="20"/>
              </w:rPr>
            </w:pPr>
            <w:r w:rsidRPr="00CE070B">
              <w:rPr>
                <w:rFonts w:ascii="Arial" w:hAnsi="Arial" w:cs="Arial"/>
                <w:color w:val="002060"/>
                <w:sz w:val="20"/>
              </w:rPr>
              <w:t>45,005</w:t>
            </w:r>
          </w:p>
        </w:tc>
        <w:tc>
          <w:tcPr>
            <w:tcW w:w="1134" w:type="dxa"/>
            <w:noWrap/>
            <w:vAlign w:val="center"/>
            <w:hideMark/>
          </w:tcPr>
          <w:p w:rsidR="00CE070B" w:rsidRPr="00CE070B" w:rsidRDefault="00CE070B" w:rsidP="003A0F07">
            <w:pPr>
              <w:jc w:val="right"/>
              <w:rPr>
                <w:rFonts w:ascii="Arial" w:hAnsi="Arial" w:cs="Arial"/>
                <w:color w:val="002060"/>
                <w:sz w:val="20"/>
              </w:rPr>
            </w:pPr>
            <w:r w:rsidRPr="00CE070B">
              <w:rPr>
                <w:rFonts w:ascii="Arial" w:hAnsi="Arial" w:cs="Arial"/>
                <w:color w:val="002060"/>
                <w:sz w:val="20"/>
              </w:rPr>
              <w:t>38,747</w:t>
            </w:r>
          </w:p>
        </w:tc>
        <w:tc>
          <w:tcPr>
            <w:tcW w:w="1276" w:type="dxa"/>
            <w:noWrap/>
            <w:vAlign w:val="center"/>
            <w:hideMark/>
          </w:tcPr>
          <w:p w:rsidR="00CE070B" w:rsidRPr="00CE070B" w:rsidRDefault="00CE070B" w:rsidP="003A0F07">
            <w:pPr>
              <w:jc w:val="right"/>
              <w:rPr>
                <w:rFonts w:ascii="Arial" w:hAnsi="Arial" w:cs="Arial"/>
                <w:color w:val="002060"/>
                <w:sz w:val="18"/>
                <w:szCs w:val="18"/>
              </w:rPr>
            </w:pPr>
            <w:r w:rsidRPr="00CE070B">
              <w:rPr>
                <w:rFonts w:ascii="Arial" w:hAnsi="Arial" w:cs="Arial"/>
                <w:color w:val="002060"/>
                <w:sz w:val="18"/>
                <w:szCs w:val="18"/>
              </w:rPr>
              <w:t>-13.9%</w:t>
            </w:r>
          </w:p>
        </w:tc>
      </w:tr>
      <w:tr w:rsidR="00CE070B" w:rsidRPr="00761183" w:rsidTr="003A0F07">
        <w:trPr>
          <w:trHeight w:val="270"/>
        </w:trPr>
        <w:tc>
          <w:tcPr>
            <w:tcW w:w="2093" w:type="dxa"/>
            <w:noWrap/>
            <w:vAlign w:val="center"/>
            <w:hideMark/>
          </w:tcPr>
          <w:p w:rsidR="00CE070B" w:rsidRPr="00252DCB" w:rsidRDefault="00CE070B" w:rsidP="003A0F07">
            <w:pPr>
              <w:spacing w:line="276" w:lineRule="auto"/>
              <w:jc w:val="right"/>
              <w:rPr>
                <w:rFonts w:ascii="Arial" w:hAnsi="Arial" w:cs="Arial"/>
                <w:color w:val="002060"/>
                <w:sz w:val="20"/>
              </w:rPr>
            </w:pPr>
            <w:r w:rsidRPr="00252DCB">
              <w:rPr>
                <w:rFonts w:ascii="Arial" w:hAnsi="Arial" w:cs="Arial"/>
                <w:color w:val="002060"/>
                <w:sz w:val="20"/>
              </w:rPr>
              <w:t>Export</w:t>
            </w:r>
          </w:p>
        </w:tc>
        <w:tc>
          <w:tcPr>
            <w:tcW w:w="1276" w:type="dxa"/>
            <w:noWrap/>
            <w:vAlign w:val="center"/>
            <w:hideMark/>
          </w:tcPr>
          <w:p w:rsidR="00CE070B" w:rsidRPr="00CE070B" w:rsidRDefault="00CE070B" w:rsidP="003A0F07">
            <w:pPr>
              <w:jc w:val="right"/>
              <w:rPr>
                <w:rFonts w:ascii="Arial" w:hAnsi="Arial" w:cs="Arial"/>
                <w:color w:val="002060"/>
                <w:sz w:val="20"/>
              </w:rPr>
            </w:pPr>
            <w:r w:rsidRPr="00CE070B">
              <w:rPr>
                <w:rFonts w:ascii="Arial" w:hAnsi="Arial" w:cs="Arial"/>
                <w:color w:val="002060"/>
                <w:sz w:val="20"/>
              </w:rPr>
              <w:t>5,631</w:t>
            </w:r>
          </w:p>
        </w:tc>
        <w:tc>
          <w:tcPr>
            <w:tcW w:w="1134" w:type="dxa"/>
            <w:noWrap/>
            <w:vAlign w:val="center"/>
            <w:hideMark/>
          </w:tcPr>
          <w:p w:rsidR="00CE070B" w:rsidRPr="00CE070B" w:rsidRDefault="00CE070B" w:rsidP="003A0F07">
            <w:pPr>
              <w:jc w:val="right"/>
              <w:rPr>
                <w:rFonts w:ascii="Arial" w:hAnsi="Arial" w:cs="Arial"/>
                <w:color w:val="002060"/>
                <w:sz w:val="20"/>
              </w:rPr>
            </w:pPr>
            <w:r w:rsidRPr="00CE070B">
              <w:rPr>
                <w:rFonts w:ascii="Arial" w:hAnsi="Arial" w:cs="Arial"/>
                <w:color w:val="002060"/>
                <w:sz w:val="20"/>
              </w:rPr>
              <w:t>3,378</w:t>
            </w:r>
          </w:p>
        </w:tc>
        <w:tc>
          <w:tcPr>
            <w:tcW w:w="1275" w:type="dxa"/>
            <w:noWrap/>
            <w:vAlign w:val="center"/>
            <w:hideMark/>
          </w:tcPr>
          <w:p w:rsidR="00CE070B" w:rsidRPr="00CE070B" w:rsidRDefault="00CE070B" w:rsidP="003A0F07">
            <w:pPr>
              <w:jc w:val="right"/>
              <w:rPr>
                <w:rFonts w:ascii="Arial" w:hAnsi="Arial" w:cs="Arial"/>
                <w:color w:val="002060"/>
                <w:sz w:val="18"/>
                <w:szCs w:val="18"/>
              </w:rPr>
            </w:pPr>
            <w:r w:rsidRPr="00CE070B">
              <w:rPr>
                <w:rFonts w:ascii="Arial" w:hAnsi="Arial" w:cs="Arial"/>
                <w:color w:val="002060"/>
                <w:sz w:val="18"/>
                <w:szCs w:val="18"/>
              </w:rPr>
              <w:t>-40.0%</w:t>
            </w:r>
          </w:p>
        </w:tc>
        <w:tc>
          <w:tcPr>
            <w:tcW w:w="1276" w:type="dxa"/>
            <w:noWrap/>
            <w:vAlign w:val="center"/>
            <w:hideMark/>
          </w:tcPr>
          <w:p w:rsidR="00CE070B" w:rsidRPr="00CE070B" w:rsidRDefault="00CE070B" w:rsidP="003A0F07">
            <w:pPr>
              <w:jc w:val="right"/>
              <w:rPr>
                <w:rFonts w:ascii="Arial" w:hAnsi="Arial" w:cs="Arial"/>
                <w:color w:val="002060"/>
                <w:sz w:val="20"/>
              </w:rPr>
            </w:pPr>
            <w:r w:rsidRPr="00CE070B">
              <w:rPr>
                <w:rFonts w:ascii="Arial" w:hAnsi="Arial" w:cs="Arial"/>
                <w:color w:val="002060"/>
                <w:sz w:val="20"/>
              </w:rPr>
              <w:t>60,183</w:t>
            </w:r>
          </w:p>
        </w:tc>
        <w:tc>
          <w:tcPr>
            <w:tcW w:w="1134" w:type="dxa"/>
            <w:noWrap/>
            <w:vAlign w:val="center"/>
            <w:hideMark/>
          </w:tcPr>
          <w:p w:rsidR="00CE070B" w:rsidRPr="00CE070B" w:rsidRDefault="00CE070B" w:rsidP="003A0F07">
            <w:pPr>
              <w:jc w:val="right"/>
              <w:rPr>
                <w:rFonts w:ascii="Arial" w:hAnsi="Arial" w:cs="Arial"/>
                <w:color w:val="002060"/>
                <w:sz w:val="20"/>
              </w:rPr>
            </w:pPr>
            <w:r w:rsidRPr="00CE070B">
              <w:rPr>
                <w:rFonts w:ascii="Arial" w:hAnsi="Arial" w:cs="Arial"/>
                <w:color w:val="002060"/>
                <w:sz w:val="20"/>
              </w:rPr>
              <w:t>43,788</w:t>
            </w:r>
          </w:p>
        </w:tc>
        <w:tc>
          <w:tcPr>
            <w:tcW w:w="1276" w:type="dxa"/>
            <w:noWrap/>
            <w:vAlign w:val="center"/>
            <w:hideMark/>
          </w:tcPr>
          <w:p w:rsidR="00CE070B" w:rsidRPr="00CE070B" w:rsidRDefault="00CE070B" w:rsidP="003A0F07">
            <w:pPr>
              <w:jc w:val="right"/>
              <w:rPr>
                <w:rFonts w:ascii="Arial" w:hAnsi="Arial" w:cs="Arial"/>
                <w:color w:val="002060"/>
                <w:sz w:val="18"/>
                <w:szCs w:val="18"/>
              </w:rPr>
            </w:pPr>
            <w:r w:rsidRPr="00CE070B">
              <w:rPr>
                <w:rFonts w:ascii="Arial" w:hAnsi="Arial" w:cs="Arial"/>
                <w:color w:val="002060"/>
                <w:sz w:val="18"/>
                <w:szCs w:val="18"/>
              </w:rPr>
              <w:t>-27.2%</w:t>
            </w:r>
          </w:p>
        </w:tc>
      </w:tr>
      <w:tr w:rsidR="00CE070B" w:rsidRPr="00761183" w:rsidTr="003A0F07">
        <w:trPr>
          <w:trHeight w:val="270"/>
        </w:trPr>
        <w:tc>
          <w:tcPr>
            <w:tcW w:w="2093" w:type="dxa"/>
            <w:noWrap/>
            <w:vAlign w:val="center"/>
            <w:hideMark/>
          </w:tcPr>
          <w:p w:rsidR="00CE070B" w:rsidRPr="00252DCB" w:rsidRDefault="00CE070B" w:rsidP="003A0F07">
            <w:pPr>
              <w:spacing w:line="276" w:lineRule="auto"/>
              <w:jc w:val="right"/>
              <w:rPr>
                <w:rFonts w:ascii="Arial" w:hAnsi="Arial" w:cs="Arial"/>
                <w:color w:val="002060"/>
                <w:sz w:val="20"/>
              </w:rPr>
            </w:pPr>
            <w:r w:rsidRPr="00252DCB">
              <w:rPr>
                <w:rFonts w:ascii="Arial" w:hAnsi="Arial" w:cs="Arial"/>
                <w:color w:val="002060"/>
                <w:sz w:val="20"/>
              </w:rPr>
              <w:t>% export</w:t>
            </w:r>
          </w:p>
        </w:tc>
        <w:tc>
          <w:tcPr>
            <w:tcW w:w="1276" w:type="dxa"/>
            <w:noWrap/>
            <w:vAlign w:val="center"/>
            <w:hideMark/>
          </w:tcPr>
          <w:p w:rsidR="00CE070B" w:rsidRPr="00CE070B" w:rsidRDefault="00CE070B" w:rsidP="003A0F07">
            <w:pPr>
              <w:jc w:val="right"/>
              <w:rPr>
                <w:rFonts w:ascii="Arial" w:hAnsi="Arial" w:cs="Arial"/>
                <w:color w:val="002060"/>
                <w:sz w:val="20"/>
              </w:rPr>
            </w:pPr>
            <w:r w:rsidRPr="00CE070B">
              <w:rPr>
                <w:rFonts w:ascii="Arial" w:hAnsi="Arial" w:cs="Arial"/>
                <w:color w:val="002060"/>
                <w:sz w:val="20"/>
              </w:rPr>
              <w:t>51.3%</w:t>
            </w:r>
          </w:p>
        </w:tc>
        <w:tc>
          <w:tcPr>
            <w:tcW w:w="1134" w:type="dxa"/>
            <w:noWrap/>
            <w:vAlign w:val="center"/>
            <w:hideMark/>
          </w:tcPr>
          <w:p w:rsidR="00CE070B" w:rsidRPr="00CE070B" w:rsidRDefault="00CE070B" w:rsidP="003A0F07">
            <w:pPr>
              <w:jc w:val="right"/>
              <w:rPr>
                <w:rFonts w:ascii="Arial" w:hAnsi="Arial" w:cs="Arial"/>
                <w:color w:val="002060"/>
                <w:sz w:val="20"/>
              </w:rPr>
            </w:pPr>
            <w:r w:rsidRPr="00CE070B">
              <w:rPr>
                <w:rFonts w:ascii="Arial" w:hAnsi="Arial" w:cs="Arial"/>
                <w:color w:val="002060"/>
                <w:sz w:val="20"/>
              </w:rPr>
              <w:t>47.9%</w:t>
            </w:r>
          </w:p>
        </w:tc>
        <w:tc>
          <w:tcPr>
            <w:tcW w:w="1275" w:type="dxa"/>
            <w:noWrap/>
            <w:vAlign w:val="center"/>
            <w:hideMark/>
          </w:tcPr>
          <w:p w:rsidR="00CE070B" w:rsidRPr="00CE070B" w:rsidRDefault="00CE070B" w:rsidP="003A0F07">
            <w:pPr>
              <w:jc w:val="right"/>
              <w:rPr>
                <w:rFonts w:ascii="Arial" w:hAnsi="Arial" w:cs="Arial"/>
                <w:color w:val="002060"/>
                <w:sz w:val="20"/>
              </w:rPr>
            </w:pPr>
            <w:r w:rsidRPr="00CE070B">
              <w:rPr>
                <w:rFonts w:ascii="Arial" w:hAnsi="Arial" w:cs="Arial"/>
                <w:color w:val="002060"/>
                <w:sz w:val="20"/>
              </w:rPr>
              <w:t> </w:t>
            </w:r>
          </w:p>
        </w:tc>
        <w:tc>
          <w:tcPr>
            <w:tcW w:w="1276" w:type="dxa"/>
            <w:noWrap/>
            <w:vAlign w:val="center"/>
            <w:hideMark/>
          </w:tcPr>
          <w:p w:rsidR="00CE070B" w:rsidRPr="00CE070B" w:rsidRDefault="00CE070B" w:rsidP="003A0F07">
            <w:pPr>
              <w:jc w:val="right"/>
              <w:rPr>
                <w:rFonts w:ascii="Arial" w:hAnsi="Arial" w:cs="Arial"/>
                <w:color w:val="002060"/>
                <w:sz w:val="20"/>
              </w:rPr>
            </w:pPr>
            <w:r w:rsidRPr="00CE070B">
              <w:rPr>
                <w:rFonts w:ascii="Arial" w:hAnsi="Arial" w:cs="Arial"/>
                <w:color w:val="002060"/>
                <w:sz w:val="20"/>
              </w:rPr>
              <w:t>57.2%</w:t>
            </w:r>
          </w:p>
        </w:tc>
        <w:tc>
          <w:tcPr>
            <w:tcW w:w="1134" w:type="dxa"/>
            <w:noWrap/>
            <w:vAlign w:val="center"/>
            <w:hideMark/>
          </w:tcPr>
          <w:p w:rsidR="00CE070B" w:rsidRPr="00CE070B" w:rsidRDefault="00CE070B" w:rsidP="003A0F07">
            <w:pPr>
              <w:jc w:val="right"/>
              <w:rPr>
                <w:rFonts w:ascii="Arial" w:hAnsi="Arial" w:cs="Arial"/>
                <w:color w:val="002060"/>
                <w:sz w:val="20"/>
              </w:rPr>
            </w:pPr>
            <w:r w:rsidRPr="00CE070B">
              <w:rPr>
                <w:rFonts w:ascii="Arial" w:hAnsi="Arial" w:cs="Arial"/>
                <w:color w:val="002060"/>
                <w:sz w:val="20"/>
              </w:rPr>
              <w:t>53.1%</w:t>
            </w:r>
          </w:p>
        </w:tc>
        <w:tc>
          <w:tcPr>
            <w:tcW w:w="1276" w:type="dxa"/>
            <w:noWrap/>
            <w:vAlign w:val="center"/>
            <w:hideMark/>
          </w:tcPr>
          <w:p w:rsidR="00CE070B" w:rsidRPr="00CE070B" w:rsidRDefault="00CE070B" w:rsidP="003A0F07">
            <w:pPr>
              <w:jc w:val="right"/>
              <w:rPr>
                <w:rFonts w:ascii="Arial" w:hAnsi="Arial" w:cs="Arial"/>
                <w:color w:val="002060"/>
                <w:sz w:val="20"/>
              </w:rPr>
            </w:pPr>
            <w:r w:rsidRPr="00CE070B">
              <w:rPr>
                <w:rFonts w:ascii="Arial" w:hAnsi="Arial" w:cs="Arial"/>
                <w:color w:val="002060"/>
                <w:sz w:val="20"/>
              </w:rPr>
              <w:t> </w:t>
            </w:r>
          </w:p>
        </w:tc>
      </w:tr>
    </w:tbl>
    <w:p w:rsidR="0055683E" w:rsidRDefault="0055683E" w:rsidP="00C80E70">
      <w:pPr>
        <w:rPr>
          <w:rFonts w:ascii="Arial" w:hAnsi="Arial" w:cs="Arial"/>
          <w:b/>
          <w:color w:val="0D2255"/>
          <w:sz w:val="20"/>
        </w:rPr>
      </w:pPr>
    </w:p>
    <w:p w:rsidR="00C80E70" w:rsidRDefault="00C80E70" w:rsidP="00C80E70">
      <w:pPr>
        <w:rPr>
          <w:rFonts w:ascii="Arial" w:hAnsi="Arial" w:cs="Arial"/>
          <w:b/>
          <w:color w:val="0D2255"/>
          <w:sz w:val="20"/>
        </w:rPr>
      </w:pPr>
      <w:r>
        <w:rPr>
          <w:rFonts w:ascii="Arial" w:hAnsi="Arial" w:cs="Arial"/>
          <w:b/>
          <w:color w:val="0D2255"/>
          <w:sz w:val="20"/>
        </w:rPr>
        <w:t xml:space="preserve">CV </w:t>
      </w:r>
      <w:r w:rsidRPr="00D62A9D">
        <w:rPr>
          <w:rFonts w:ascii="Arial" w:hAnsi="Arial" w:cs="Arial"/>
          <w:b/>
          <w:color w:val="0D2255"/>
          <w:sz w:val="20"/>
        </w:rPr>
        <w:t>output rolling year total</w:t>
      </w:r>
      <w:r>
        <w:rPr>
          <w:rFonts w:ascii="Arial" w:hAnsi="Arial" w:cs="Arial"/>
          <w:b/>
          <w:color w:val="0D2255"/>
          <w:sz w:val="20"/>
        </w:rPr>
        <w:tab/>
      </w:r>
      <w:r>
        <w:rPr>
          <w:rFonts w:ascii="Arial" w:hAnsi="Arial" w:cs="Arial"/>
          <w:b/>
          <w:color w:val="0D2255"/>
          <w:sz w:val="20"/>
        </w:rPr>
        <w:tab/>
        <w:t xml:space="preserve">       </w:t>
      </w:r>
      <w:r w:rsidR="00EC65AF">
        <w:rPr>
          <w:rFonts w:ascii="Arial" w:hAnsi="Arial" w:cs="Arial"/>
          <w:b/>
          <w:color w:val="0D2255"/>
          <w:sz w:val="20"/>
        </w:rPr>
        <w:tab/>
      </w:r>
      <w:r w:rsidR="00505C8C">
        <w:rPr>
          <w:rFonts w:ascii="Arial" w:hAnsi="Arial" w:cs="Arial"/>
          <w:b/>
          <w:color w:val="0D2255"/>
          <w:sz w:val="20"/>
        </w:rPr>
        <w:t xml:space="preserve">         </w:t>
      </w:r>
      <w:r>
        <w:rPr>
          <w:rFonts w:ascii="Arial" w:hAnsi="Arial" w:cs="Arial"/>
          <w:b/>
          <w:color w:val="0D2255"/>
          <w:sz w:val="20"/>
        </w:rPr>
        <w:t xml:space="preserve">CV </w:t>
      </w:r>
      <w:r w:rsidR="00EC65AF">
        <w:rPr>
          <w:rFonts w:ascii="Arial" w:hAnsi="Arial" w:cs="Arial"/>
          <w:b/>
          <w:color w:val="0D2255"/>
          <w:sz w:val="20"/>
        </w:rPr>
        <w:t>output year-to-date, 2011-2013</w:t>
      </w:r>
    </w:p>
    <w:p w:rsidR="00C80E70" w:rsidRDefault="004D685F" w:rsidP="00C80E70">
      <w:r w:rsidRPr="004D685F">
        <w:rPr>
          <w:rFonts w:ascii="Arial" w:hAnsi="Arial" w:cs="Arial"/>
          <w:noProof/>
          <w:sz w:val="20"/>
        </w:rPr>
        <w:pict>
          <v:shape id="_x0000_s1038" type="#_x0000_t202" style="position:absolute;margin-left:220.1pt;margin-top:2pt;width:213.6pt;height:214.75pt;z-index:251679744;mso-width-relative:margin;mso-height-relative:margin" stroked="f">
            <v:textbox style="mso-next-textbox:#_x0000_s1038">
              <w:txbxContent>
                <w:p w:rsidR="00DE0B9A" w:rsidRPr="00D561FB" w:rsidRDefault="00DE0B9A" w:rsidP="00D561FB">
                  <w:r w:rsidRPr="00C108FE">
                    <w:rPr>
                      <w:noProof/>
                    </w:rPr>
                    <w:drawing>
                      <wp:inline distT="0" distB="0" distL="0" distR="0">
                        <wp:extent cx="2711395" cy="2608028"/>
                        <wp:effectExtent l="0" t="0" r="0" b="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r>
        <w:rPr>
          <w:noProof/>
        </w:rPr>
        <w:pict>
          <v:shape id="_x0000_s1037" type="#_x0000_t202" style="position:absolute;margin-left:-6.5pt;margin-top:2pt;width:213.6pt;height:214.75pt;z-index:251678720;mso-width-relative:margin;mso-height-relative:margin" stroked="f">
            <v:textbox style="mso-next-textbox:#_x0000_s1037">
              <w:txbxContent>
                <w:p w:rsidR="00DE0B9A" w:rsidRPr="00D561FB" w:rsidRDefault="00DE0B9A" w:rsidP="00D561FB">
                  <w:r w:rsidRPr="00C108FE">
                    <w:rPr>
                      <w:noProof/>
                    </w:rPr>
                    <w:drawing>
                      <wp:inline distT="0" distB="0" distL="0" distR="0">
                        <wp:extent cx="2759103" cy="2814762"/>
                        <wp:effectExtent l="0" t="0" r="0"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w:r>
    </w:p>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Pr="00D561FB" w:rsidRDefault="00D561FB" w:rsidP="00D561FB"/>
    <w:p w:rsidR="003A0F07" w:rsidRDefault="003A0F07">
      <w:pPr>
        <w:spacing w:line="276" w:lineRule="auto"/>
        <w:rPr>
          <w:rFonts w:ascii="Arial" w:eastAsiaTheme="minorEastAsia" w:hAnsi="Arial" w:cs="Arial"/>
          <w:b/>
          <w:bCs/>
          <w:color w:val="1074CB"/>
          <w:sz w:val="44"/>
          <w:szCs w:val="44"/>
        </w:rPr>
      </w:pPr>
      <w:r>
        <w:rPr>
          <w:rFonts w:ascii="Arial" w:eastAsiaTheme="minorEastAsia" w:hAnsi="Arial" w:cs="Arial"/>
          <w:bCs/>
          <w:color w:val="1074CB"/>
          <w:sz w:val="44"/>
          <w:szCs w:val="44"/>
        </w:rPr>
        <w:br w:type="page"/>
      </w:r>
    </w:p>
    <w:p w:rsidR="00DE0B9A" w:rsidRDefault="00C80E70" w:rsidP="00DE0B9A">
      <w:pPr>
        <w:pStyle w:val="Heading1"/>
        <w:ind w:left="0" w:right="142" w:firstLine="0"/>
        <w:rPr>
          <w:rFonts w:ascii="Arial" w:eastAsiaTheme="minorEastAsia" w:hAnsi="Arial" w:cs="Arial"/>
          <w:b w:val="0"/>
          <w:bCs/>
          <w:color w:val="1074CB"/>
          <w:szCs w:val="24"/>
        </w:rPr>
      </w:pPr>
      <w:r>
        <w:rPr>
          <w:rFonts w:ascii="Arial" w:eastAsiaTheme="minorEastAsia" w:hAnsi="Arial" w:cs="Arial"/>
          <w:bCs/>
          <w:color w:val="1074CB"/>
          <w:sz w:val="44"/>
          <w:szCs w:val="44"/>
        </w:rPr>
        <w:lastRenderedPageBreak/>
        <w:t>UK ENGINE</w:t>
      </w:r>
      <w:r w:rsidRPr="00D62A9D">
        <w:rPr>
          <w:rFonts w:ascii="Arial" w:eastAsiaTheme="minorEastAsia" w:hAnsi="Arial" w:cs="Arial"/>
          <w:bCs/>
          <w:color w:val="1074CB"/>
          <w:sz w:val="44"/>
          <w:szCs w:val="44"/>
        </w:rPr>
        <w:t xml:space="preserve"> MANUFACTURING</w:t>
      </w:r>
    </w:p>
    <w:p w:rsidR="00C80E70" w:rsidRPr="00DE0B9A" w:rsidRDefault="005926DF" w:rsidP="00DE0B9A">
      <w:pPr>
        <w:pStyle w:val="Heading1"/>
        <w:ind w:left="0" w:right="142" w:firstLine="0"/>
        <w:rPr>
          <w:rFonts w:ascii="Arial" w:eastAsiaTheme="minorEastAsia" w:hAnsi="Arial" w:cs="Arial"/>
          <w:bCs/>
          <w:color w:val="1074CB"/>
          <w:sz w:val="44"/>
          <w:szCs w:val="44"/>
        </w:rPr>
      </w:pPr>
      <w:r w:rsidRPr="00DE0B9A">
        <w:rPr>
          <w:rFonts w:ascii="Arial" w:eastAsiaTheme="minorEastAsia" w:hAnsi="Arial" w:cs="Arial"/>
          <w:b w:val="0"/>
          <w:bCs/>
          <w:color w:val="1074CB"/>
          <w:sz w:val="28"/>
          <w:szCs w:val="28"/>
        </w:rPr>
        <w:t>(data for November 2013)</w:t>
      </w:r>
    </w:p>
    <w:p w:rsidR="00DE0B9A" w:rsidRPr="00DE0B9A" w:rsidRDefault="00DE0B9A" w:rsidP="00DE0B9A">
      <w:r w:rsidRPr="00A72CAD">
        <w:rPr>
          <w:rFonts w:ascii="Arial" w:eastAsiaTheme="minorEastAsia" w:hAnsi="Arial" w:cs="Arial"/>
          <w:bCs/>
          <w:color w:val="FF0000"/>
          <w:sz w:val="44"/>
          <w:szCs w:val="44"/>
        </w:rPr>
        <w:t>Embargoed to 00:01 on 19</w:t>
      </w:r>
      <w:r w:rsidRPr="00A72CAD">
        <w:rPr>
          <w:rFonts w:ascii="Arial" w:eastAsiaTheme="minorEastAsia" w:hAnsi="Arial" w:cs="Arial"/>
          <w:bCs/>
          <w:color w:val="FF0000"/>
          <w:szCs w:val="24"/>
        </w:rPr>
        <w:t xml:space="preserve"> </w:t>
      </w:r>
      <w:r w:rsidRPr="00A72CAD">
        <w:rPr>
          <w:rFonts w:ascii="Arial" w:eastAsiaTheme="minorEastAsia" w:hAnsi="Arial" w:cs="Arial"/>
          <w:bCs/>
          <w:color w:val="FF0000"/>
          <w:sz w:val="44"/>
          <w:szCs w:val="44"/>
        </w:rPr>
        <w:t>December</w:t>
      </w:r>
      <w:r>
        <w:rPr>
          <w:rFonts w:ascii="Arial" w:eastAsiaTheme="minorEastAsia" w:hAnsi="Arial" w:cs="Arial"/>
          <w:bCs/>
          <w:color w:val="FF0000"/>
          <w:sz w:val="44"/>
          <w:szCs w:val="44"/>
        </w:rPr>
        <w:t xml:space="preserve"> 2013</w:t>
      </w:r>
    </w:p>
    <w:p w:rsidR="00C80E70" w:rsidRPr="007B7D91" w:rsidRDefault="004D685F" w:rsidP="00C80E70">
      <w:r w:rsidRPr="004D685F">
        <w:rPr>
          <w:rFonts w:ascii="Arial" w:eastAsiaTheme="minorEastAsia" w:hAnsi="Arial" w:cs="Arial"/>
          <w:b/>
          <w:bCs/>
          <w:noProof/>
          <w:color w:val="1074CB"/>
          <w:sz w:val="20"/>
        </w:rPr>
        <w:pict>
          <v:line id="Line 3" o:spid="_x0000_s1027" style="position:absolute;z-index:251659264;visibility:visible" from=".55pt,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rwFg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" strokecolor="#1074cb"/>
        </w:pict>
      </w:r>
    </w:p>
    <w:p w:rsidR="00924274" w:rsidRPr="00924274" w:rsidRDefault="001E428D" w:rsidP="00924274">
      <w:pPr>
        <w:pStyle w:val="Heading1"/>
        <w:tabs>
          <w:tab w:val="right" w:pos="8907"/>
        </w:tabs>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E</w:t>
      </w:r>
      <w:r w:rsidR="0046552A">
        <w:rPr>
          <w:rFonts w:ascii="Arial" w:eastAsiaTheme="minorEastAsia" w:hAnsi="Arial" w:cs="Arial"/>
          <w:bCs/>
          <w:color w:val="1074CB"/>
          <w:sz w:val="36"/>
          <w:szCs w:val="36"/>
        </w:rPr>
        <w:t>xports fuel strong month for engine production</w:t>
      </w:r>
    </w:p>
    <w:p w:rsidR="00C80E70" w:rsidRDefault="00C80E70" w:rsidP="00C80E70">
      <w:pPr>
        <w:spacing w:line="276" w:lineRule="auto"/>
        <w:rPr>
          <w:rFonts w:ascii="Verdana" w:hAnsi="Verdana"/>
          <w:sz w:val="20"/>
        </w:rPr>
      </w:pPr>
    </w:p>
    <w:p w:rsidR="001E428D" w:rsidRDefault="001E428D" w:rsidP="00924274">
      <w:pPr>
        <w:pStyle w:val="ListParagraph"/>
        <w:numPr>
          <w:ilvl w:val="0"/>
          <w:numId w:val="1"/>
        </w:numPr>
        <w:spacing w:line="360" w:lineRule="auto"/>
        <w:rPr>
          <w:rFonts w:ascii="Arial" w:hAnsi="Arial" w:cs="Arial"/>
          <w:sz w:val="20"/>
        </w:rPr>
      </w:pPr>
      <w:r>
        <w:rPr>
          <w:rFonts w:ascii="Arial" w:hAnsi="Arial" w:cs="Arial"/>
          <w:sz w:val="20"/>
        </w:rPr>
        <w:t xml:space="preserve">Engine </w:t>
      </w:r>
      <w:r w:rsidR="00E84E41">
        <w:rPr>
          <w:rFonts w:ascii="Arial" w:hAnsi="Arial" w:cs="Arial"/>
          <w:sz w:val="20"/>
        </w:rPr>
        <w:t xml:space="preserve">manufacturing </w:t>
      </w:r>
      <w:r>
        <w:rPr>
          <w:rFonts w:ascii="Arial" w:hAnsi="Arial" w:cs="Arial"/>
          <w:sz w:val="20"/>
        </w:rPr>
        <w:t>rose for a third successive month in November, up 3.4% to 231,371 units.</w:t>
      </w:r>
    </w:p>
    <w:p w:rsidR="001E428D" w:rsidRDefault="001E428D" w:rsidP="00924274">
      <w:pPr>
        <w:pStyle w:val="ListParagraph"/>
        <w:numPr>
          <w:ilvl w:val="0"/>
          <w:numId w:val="1"/>
        </w:numPr>
        <w:spacing w:line="360" w:lineRule="auto"/>
        <w:rPr>
          <w:rFonts w:ascii="Arial" w:hAnsi="Arial" w:cs="Arial"/>
          <w:sz w:val="20"/>
        </w:rPr>
      </w:pPr>
      <w:r>
        <w:rPr>
          <w:rFonts w:ascii="Arial" w:hAnsi="Arial" w:cs="Arial"/>
          <w:sz w:val="20"/>
        </w:rPr>
        <w:t>Output up 2.5% over the year-to-date to 2,404,146 units.</w:t>
      </w:r>
    </w:p>
    <w:p w:rsidR="00C80E70" w:rsidRPr="001E428D" w:rsidRDefault="0046552A" w:rsidP="00924274">
      <w:pPr>
        <w:pStyle w:val="ListParagraph"/>
        <w:numPr>
          <w:ilvl w:val="0"/>
          <w:numId w:val="1"/>
        </w:numPr>
        <w:spacing w:line="360" w:lineRule="auto"/>
        <w:rPr>
          <w:rFonts w:ascii="Arial" w:hAnsi="Arial" w:cs="Arial"/>
          <w:sz w:val="20"/>
        </w:rPr>
      </w:pPr>
      <w:r>
        <w:rPr>
          <w:rFonts w:ascii="Arial" w:hAnsi="Arial" w:cs="Arial"/>
          <w:sz w:val="20"/>
        </w:rPr>
        <w:t>November rise driven by exports</w:t>
      </w:r>
      <w:r w:rsidR="000C3FDE">
        <w:rPr>
          <w:rFonts w:ascii="Arial" w:hAnsi="Arial" w:cs="Arial"/>
          <w:sz w:val="20"/>
        </w:rPr>
        <w:t xml:space="preserve">; robust </w:t>
      </w:r>
      <w:r>
        <w:rPr>
          <w:rFonts w:ascii="Arial" w:hAnsi="Arial" w:cs="Arial"/>
          <w:sz w:val="20"/>
        </w:rPr>
        <w:t xml:space="preserve">home market </w:t>
      </w:r>
      <w:r w:rsidR="000C3FDE">
        <w:rPr>
          <w:rFonts w:ascii="Arial" w:hAnsi="Arial" w:cs="Arial"/>
          <w:sz w:val="20"/>
        </w:rPr>
        <w:t>performance over year-to-date</w:t>
      </w:r>
      <w:r>
        <w:rPr>
          <w:rFonts w:ascii="Arial" w:hAnsi="Arial" w:cs="Arial"/>
          <w:sz w:val="20"/>
        </w:rPr>
        <w:t>.</w:t>
      </w:r>
    </w:p>
    <w:p w:rsidR="00924274" w:rsidRDefault="00924274" w:rsidP="000C3FDE">
      <w:pPr>
        <w:rPr>
          <w:rFonts w:ascii="Arial" w:hAnsi="Arial" w:cs="Arial"/>
          <w:sz w:val="20"/>
        </w:rPr>
      </w:pPr>
    </w:p>
    <w:tbl>
      <w:tblPr>
        <w:tblW w:w="9453" w:type="dxa"/>
        <w:jc w:val="right"/>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tblPr>
      <w:tblGrid>
        <w:gridCol w:w="2565"/>
        <w:gridCol w:w="992"/>
        <w:gridCol w:w="992"/>
        <w:gridCol w:w="1276"/>
        <w:gridCol w:w="1134"/>
        <w:gridCol w:w="1140"/>
        <w:gridCol w:w="1354"/>
      </w:tblGrid>
      <w:tr w:rsidR="00252DCB" w:rsidRPr="00761183" w:rsidTr="00CE070B">
        <w:trPr>
          <w:trHeight w:val="270"/>
          <w:jc w:val="right"/>
        </w:trPr>
        <w:tc>
          <w:tcPr>
            <w:tcW w:w="2565" w:type="dxa"/>
            <w:shd w:val="clear" w:color="auto" w:fill="auto"/>
            <w:noWrap/>
            <w:vAlign w:val="center"/>
            <w:hideMark/>
          </w:tcPr>
          <w:p w:rsidR="00252DCB" w:rsidRPr="00252DCB" w:rsidRDefault="00252DCB" w:rsidP="00924274">
            <w:pPr>
              <w:rPr>
                <w:rFonts w:ascii="Arial" w:eastAsia="Times New Roman" w:hAnsi="Arial" w:cs="Arial"/>
                <w:b/>
                <w:color w:val="002060"/>
                <w:sz w:val="20"/>
              </w:rPr>
            </w:pPr>
            <w:r w:rsidRPr="00252DCB">
              <w:rPr>
                <w:rFonts w:ascii="Arial" w:eastAsia="Times New Roman" w:hAnsi="Arial" w:cs="Arial"/>
                <w:b/>
                <w:color w:val="002060"/>
                <w:sz w:val="20"/>
              </w:rPr>
              <w:t>Engine manufacturing</w:t>
            </w:r>
          </w:p>
        </w:tc>
        <w:tc>
          <w:tcPr>
            <w:tcW w:w="992" w:type="dxa"/>
            <w:shd w:val="clear" w:color="auto" w:fill="auto"/>
            <w:noWrap/>
            <w:vAlign w:val="center"/>
            <w:hideMark/>
          </w:tcPr>
          <w:p w:rsidR="00252DCB" w:rsidRPr="00252DCB" w:rsidRDefault="00CE070B" w:rsidP="00CE070B">
            <w:pPr>
              <w:jc w:val="right"/>
              <w:rPr>
                <w:rFonts w:ascii="Arial" w:hAnsi="Arial" w:cs="Arial"/>
                <w:b/>
                <w:color w:val="002060"/>
                <w:sz w:val="20"/>
              </w:rPr>
            </w:pPr>
            <w:r>
              <w:rPr>
                <w:rFonts w:ascii="Arial" w:hAnsi="Arial" w:cs="Arial"/>
                <w:b/>
                <w:color w:val="002060"/>
                <w:sz w:val="20"/>
              </w:rPr>
              <w:t>Nov</w:t>
            </w:r>
            <w:r w:rsidR="00252DCB" w:rsidRPr="00252DCB">
              <w:rPr>
                <w:rFonts w:ascii="Arial" w:hAnsi="Arial" w:cs="Arial"/>
                <w:b/>
                <w:color w:val="002060"/>
                <w:sz w:val="20"/>
              </w:rPr>
              <w:t>-12</w:t>
            </w:r>
          </w:p>
        </w:tc>
        <w:tc>
          <w:tcPr>
            <w:tcW w:w="992" w:type="dxa"/>
            <w:shd w:val="clear" w:color="auto" w:fill="auto"/>
            <w:noWrap/>
            <w:vAlign w:val="center"/>
            <w:hideMark/>
          </w:tcPr>
          <w:p w:rsidR="00252DCB" w:rsidRPr="00252DCB" w:rsidRDefault="00CE070B" w:rsidP="00CE070B">
            <w:pPr>
              <w:jc w:val="right"/>
              <w:rPr>
                <w:rFonts w:ascii="Arial" w:hAnsi="Arial" w:cs="Arial"/>
                <w:b/>
                <w:color w:val="002060"/>
                <w:sz w:val="20"/>
              </w:rPr>
            </w:pPr>
            <w:r>
              <w:rPr>
                <w:rFonts w:ascii="Arial" w:hAnsi="Arial" w:cs="Arial"/>
                <w:b/>
                <w:color w:val="002060"/>
                <w:sz w:val="20"/>
              </w:rPr>
              <w:t>Nov</w:t>
            </w:r>
            <w:r w:rsidR="00252DCB" w:rsidRPr="00252DCB">
              <w:rPr>
                <w:rFonts w:ascii="Arial" w:hAnsi="Arial" w:cs="Arial"/>
                <w:b/>
                <w:color w:val="002060"/>
                <w:sz w:val="20"/>
              </w:rPr>
              <w:t>-13</w:t>
            </w:r>
          </w:p>
        </w:tc>
        <w:tc>
          <w:tcPr>
            <w:tcW w:w="1276" w:type="dxa"/>
            <w:shd w:val="clear" w:color="auto" w:fill="auto"/>
            <w:noWrap/>
            <w:vAlign w:val="center"/>
            <w:hideMark/>
          </w:tcPr>
          <w:p w:rsidR="00252DCB" w:rsidRPr="00252DCB" w:rsidRDefault="00252DCB" w:rsidP="00A24874">
            <w:pPr>
              <w:jc w:val="right"/>
              <w:rPr>
                <w:rFonts w:ascii="Arial" w:hAnsi="Arial" w:cs="Arial"/>
                <w:b/>
                <w:color w:val="002060"/>
                <w:sz w:val="20"/>
              </w:rPr>
            </w:pPr>
            <w:r w:rsidRPr="00252DCB">
              <w:rPr>
                <w:rFonts w:ascii="Arial" w:hAnsi="Arial" w:cs="Arial"/>
                <w:b/>
                <w:color w:val="002060"/>
                <w:sz w:val="20"/>
              </w:rPr>
              <w:t xml:space="preserve">% Change </w:t>
            </w:r>
          </w:p>
        </w:tc>
        <w:tc>
          <w:tcPr>
            <w:tcW w:w="1134" w:type="dxa"/>
            <w:shd w:val="clear" w:color="auto" w:fill="auto"/>
            <w:noWrap/>
            <w:vAlign w:val="center"/>
            <w:hideMark/>
          </w:tcPr>
          <w:p w:rsidR="00252DCB" w:rsidRPr="00252DCB" w:rsidRDefault="00252DCB" w:rsidP="00A24874">
            <w:pPr>
              <w:jc w:val="right"/>
              <w:rPr>
                <w:rFonts w:ascii="Arial" w:hAnsi="Arial" w:cs="Arial"/>
                <w:b/>
                <w:color w:val="002060"/>
                <w:sz w:val="20"/>
              </w:rPr>
            </w:pPr>
            <w:r w:rsidRPr="00252DCB">
              <w:rPr>
                <w:rFonts w:ascii="Arial" w:hAnsi="Arial" w:cs="Arial"/>
                <w:b/>
                <w:color w:val="002060"/>
                <w:sz w:val="20"/>
              </w:rPr>
              <w:t>YTD-12</w:t>
            </w:r>
          </w:p>
        </w:tc>
        <w:tc>
          <w:tcPr>
            <w:tcW w:w="1140" w:type="dxa"/>
            <w:shd w:val="clear" w:color="auto" w:fill="auto"/>
            <w:noWrap/>
            <w:vAlign w:val="center"/>
            <w:hideMark/>
          </w:tcPr>
          <w:p w:rsidR="00252DCB" w:rsidRPr="00252DCB" w:rsidRDefault="00252DCB" w:rsidP="00A24874">
            <w:pPr>
              <w:jc w:val="right"/>
              <w:rPr>
                <w:rFonts w:ascii="Arial" w:hAnsi="Arial" w:cs="Arial"/>
                <w:b/>
                <w:color w:val="002060"/>
                <w:sz w:val="20"/>
              </w:rPr>
            </w:pPr>
            <w:r w:rsidRPr="00252DCB">
              <w:rPr>
                <w:rFonts w:ascii="Arial" w:hAnsi="Arial" w:cs="Arial"/>
                <w:b/>
                <w:color w:val="002060"/>
                <w:sz w:val="20"/>
              </w:rPr>
              <w:t>YTD-13</w:t>
            </w:r>
          </w:p>
        </w:tc>
        <w:tc>
          <w:tcPr>
            <w:tcW w:w="1354" w:type="dxa"/>
            <w:shd w:val="clear" w:color="auto" w:fill="auto"/>
            <w:noWrap/>
            <w:vAlign w:val="center"/>
            <w:hideMark/>
          </w:tcPr>
          <w:p w:rsidR="00252DCB" w:rsidRPr="00252DCB" w:rsidRDefault="00252DCB" w:rsidP="00A24874">
            <w:pPr>
              <w:jc w:val="right"/>
              <w:rPr>
                <w:rFonts w:ascii="Arial" w:hAnsi="Arial" w:cs="Arial"/>
                <w:b/>
                <w:color w:val="002060"/>
                <w:sz w:val="20"/>
              </w:rPr>
            </w:pPr>
            <w:r w:rsidRPr="00252DCB">
              <w:rPr>
                <w:rFonts w:ascii="Arial" w:hAnsi="Arial" w:cs="Arial"/>
                <w:b/>
                <w:color w:val="002060"/>
                <w:sz w:val="20"/>
              </w:rPr>
              <w:t>% Change</w:t>
            </w:r>
          </w:p>
        </w:tc>
      </w:tr>
      <w:tr w:rsidR="00CE070B" w:rsidRPr="00761183" w:rsidTr="00CE070B">
        <w:trPr>
          <w:trHeight w:val="270"/>
          <w:jc w:val="right"/>
        </w:trPr>
        <w:tc>
          <w:tcPr>
            <w:tcW w:w="2565" w:type="dxa"/>
            <w:shd w:val="clear" w:color="auto" w:fill="auto"/>
            <w:noWrap/>
            <w:vAlign w:val="bottom"/>
            <w:hideMark/>
          </w:tcPr>
          <w:p w:rsidR="00CE070B" w:rsidRPr="00252DCB" w:rsidRDefault="00CE070B" w:rsidP="00761183">
            <w:pPr>
              <w:jc w:val="right"/>
              <w:rPr>
                <w:rFonts w:ascii="Arial" w:eastAsia="Times New Roman" w:hAnsi="Arial" w:cs="Arial"/>
                <w:b/>
                <w:color w:val="002060"/>
                <w:sz w:val="20"/>
              </w:rPr>
            </w:pPr>
            <w:r w:rsidRPr="00252DCB">
              <w:rPr>
                <w:rFonts w:ascii="Arial" w:eastAsia="Times New Roman" w:hAnsi="Arial" w:cs="Arial"/>
                <w:b/>
                <w:color w:val="002060"/>
                <w:sz w:val="20"/>
              </w:rPr>
              <w:t>Total</w:t>
            </w:r>
          </w:p>
        </w:tc>
        <w:tc>
          <w:tcPr>
            <w:tcW w:w="992" w:type="dxa"/>
            <w:shd w:val="clear" w:color="auto" w:fill="auto"/>
            <w:noWrap/>
            <w:vAlign w:val="bottom"/>
            <w:hideMark/>
          </w:tcPr>
          <w:p w:rsidR="00CE070B" w:rsidRPr="00CE070B" w:rsidRDefault="00CE070B" w:rsidP="00CE070B">
            <w:pPr>
              <w:jc w:val="right"/>
              <w:rPr>
                <w:rFonts w:ascii="Arial" w:hAnsi="Arial" w:cs="Arial"/>
                <w:b/>
                <w:color w:val="002060"/>
                <w:sz w:val="20"/>
              </w:rPr>
            </w:pPr>
            <w:r w:rsidRPr="00CE070B">
              <w:rPr>
                <w:rFonts w:ascii="Arial" w:hAnsi="Arial" w:cs="Arial"/>
                <w:b/>
                <w:color w:val="002060"/>
                <w:sz w:val="20"/>
              </w:rPr>
              <w:t>223,853</w:t>
            </w:r>
          </w:p>
        </w:tc>
        <w:tc>
          <w:tcPr>
            <w:tcW w:w="992" w:type="dxa"/>
            <w:shd w:val="clear" w:color="auto" w:fill="auto"/>
            <w:noWrap/>
            <w:vAlign w:val="bottom"/>
            <w:hideMark/>
          </w:tcPr>
          <w:p w:rsidR="00CE070B" w:rsidRPr="00CE070B" w:rsidRDefault="00CE070B" w:rsidP="00CE070B">
            <w:pPr>
              <w:jc w:val="right"/>
              <w:rPr>
                <w:rFonts w:ascii="Arial" w:hAnsi="Arial" w:cs="Arial"/>
                <w:b/>
                <w:color w:val="002060"/>
                <w:sz w:val="20"/>
              </w:rPr>
            </w:pPr>
            <w:r w:rsidRPr="00CE070B">
              <w:rPr>
                <w:rFonts w:ascii="Arial" w:hAnsi="Arial" w:cs="Arial"/>
                <w:b/>
                <w:color w:val="002060"/>
                <w:sz w:val="20"/>
              </w:rPr>
              <w:t>231,371</w:t>
            </w:r>
          </w:p>
        </w:tc>
        <w:tc>
          <w:tcPr>
            <w:tcW w:w="1276" w:type="dxa"/>
            <w:shd w:val="clear" w:color="auto" w:fill="auto"/>
            <w:noWrap/>
            <w:vAlign w:val="bottom"/>
            <w:hideMark/>
          </w:tcPr>
          <w:p w:rsidR="00CE070B" w:rsidRPr="00CE070B" w:rsidRDefault="00CE070B" w:rsidP="00CE070B">
            <w:pPr>
              <w:jc w:val="right"/>
              <w:rPr>
                <w:rFonts w:ascii="Arial" w:hAnsi="Arial" w:cs="Arial"/>
                <w:b/>
                <w:color w:val="002060"/>
                <w:sz w:val="18"/>
                <w:szCs w:val="18"/>
              </w:rPr>
            </w:pPr>
            <w:r w:rsidRPr="00CE070B">
              <w:rPr>
                <w:rFonts w:ascii="Arial" w:hAnsi="Arial" w:cs="Arial"/>
                <w:b/>
                <w:color w:val="002060"/>
                <w:sz w:val="18"/>
                <w:szCs w:val="18"/>
              </w:rPr>
              <w:t>3.4%</w:t>
            </w:r>
          </w:p>
        </w:tc>
        <w:tc>
          <w:tcPr>
            <w:tcW w:w="1134" w:type="dxa"/>
            <w:shd w:val="clear" w:color="auto" w:fill="auto"/>
            <w:noWrap/>
            <w:vAlign w:val="bottom"/>
            <w:hideMark/>
          </w:tcPr>
          <w:p w:rsidR="00CE070B" w:rsidRPr="00CE070B" w:rsidRDefault="00CE070B" w:rsidP="00CE070B">
            <w:pPr>
              <w:jc w:val="right"/>
              <w:rPr>
                <w:rFonts w:ascii="Arial" w:hAnsi="Arial" w:cs="Arial"/>
                <w:b/>
                <w:color w:val="002060"/>
                <w:sz w:val="20"/>
              </w:rPr>
            </w:pPr>
            <w:r w:rsidRPr="00CE070B">
              <w:rPr>
                <w:rFonts w:ascii="Arial" w:hAnsi="Arial" w:cs="Arial"/>
                <w:b/>
                <w:color w:val="002060"/>
                <w:sz w:val="20"/>
              </w:rPr>
              <w:t>2,345,167</w:t>
            </w:r>
          </w:p>
        </w:tc>
        <w:tc>
          <w:tcPr>
            <w:tcW w:w="1140" w:type="dxa"/>
            <w:shd w:val="clear" w:color="auto" w:fill="auto"/>
            <w:noWrap/>
            <w:vAlign w:val="bottom"/>
            <w:hideMark/>
          </w:tcPr>
          <w:p w:rsidR="00CE070B" w:rsidRPr="00CE070B" w:rsidRDefault="00CE070B" w:rsidP="00CE070B">
            <w:pPr>
              <w:jc w:val="right"/>
              <w:rPr>
                <w:rFonts w:ascii="Arial" w:hAnsi="Arial" w:cs="Arial"/>
                <w:b/>
                <w:color w:val="002060"/>
                <w:sz w:val="20"/>
              </w:rPr>
            </w:pPr>
            <w:r w:rsidRPr="00CE070B">
              <w:rPr>
                <w:rFonts w:ascii="Arial" w:hAnsi="Arial" w:cs="Arial"/>
                <w:b/>
                <w:color w:val="002060"/>
                <w:sz w:val="20"/>
              </w:rPr>
              <w:t>2,404,146</w:t>
            </w:r>
          </w:p>
        </w:tc>
        <w:tc>
          <w:tcPr>
            <w:tcW w:w="1354" w:type="dxa"/>
            <w:shd w:val="clear" w:color="auto" w:fill="auto"/>
            <w:noWrap/>
            <w:vAlign w:val="bottom"/>
            <w:hideMark/>
          </w:tcPr>
          <w:p w:rsidR="00CE070B" w:rsidRPr="00CE070B" w:rsidRDefault="00CE070B" w:rsidP="00CE070B">
            <w:pPr>
              <w:jc w:val="right"/>
              <w:rPr>
                <w:rFonts w:ascii="Arial" w:hAnsi="Arial" w:cs="Arial"/>
                <w:b/>
                <w:color w:val="002060"/>
                <w:sz w:val="18"/>
                <w:szCs w:val="18"/>
              </w:rPr>
            </w:pPr>
            <w:r w:rsidRPr="00CE070B">
              <w:rPr>
                <w:rFonts w:ascii="Arial" w:hAnsi="Arial" w:cs="Arial"/>
                <w:b/>
                <w:color w:val="002060"/>
                <w:sz w:val="18"/>
                <w:szCs w:val="18"/>
              </w:rPr>
              <w:t>2.5%</w:t>
            </w:r>
          </w:p>
        </w:tc>
      </w:tr>
      <w:tr w:rsidR="00CE070B" w:rsidRPr="00761183" w:rsidTr="00CE070B">
        <w:trPr>
          <w:trHeight w:val="270"/>
          <w:jc w:val="right"/>
        </w:trPr>
        <w:tc>
          <w:tcPr>
            <w:tcW w:w="2565" w:type="dxa"/>
            <w:shd w:val="clear" w:color="auto" w:fill="auto"/>
            <w:noWrap/>
            <w:vAlign w:val="bottom"/>
            <w:hideMark/>
          </w:tcPr>
          <w:p w:rsidR="00CE070B" w:rsidRPr="00252DCB" w:rsidRDefault="00CE070B" w:rsidP="00761183">
            <w:pPr>
              <w:jc w:val="right"/>
              <w:rPr>
                <w:rFonts w:ascii="Arial" w:eastAsia="Times New Roman" w:hAnsi="Arial" w:cs="Arial"/>
                <w:color w:val="002060"/>
                <w:sz w:val="20"/>
              </w:rPr>
            </w:pPr>
            <w:r w:rsidRPr="00252DCB">
              <w:rPr>
                <w:rFonts w:ascii="Arial" w:eastAsia="Times New Roman" w:hAnsi="Arial" w:cs="Arial"/>
                <w:color w:val="002060"/>
                <w:sz w:val="20"/>
              </w:rPr>
              <w:t>Home</w:t>
            </w:r>
          </w:p>
        </w:tc>
        <w:tc>
          <w:tcPr>
            <w:tcW w:w="992" w:type="dxa"/>
            <w:shd w:val="clear" w:color="auto" w:fill="auto"/>
            <w:noWrap/>
            <w:vAlign w:val="bottom"/>
            <w:hideMark/>
          </w:tcPr>
          <w:p w:rsidR="00CE070B" w:rsidRPr="00CE070B" w:rsidRDefault="00CE070B" w:rsidP="00CE070B">
            <w:pPr>
              <w:jc w:val="right"/>
              <w:rPr>
                <w:rFonts w:ascii="Arial" w:hAnsi="Arial" w:cs="Arial"/>
                <w:color w:val="002060"/>
                <w:sz w:val="20"/>
              </w:rPr>
            </w:pPr>
            <w:r w:rsidRPr="00CE070B">
              <w:rPr>
                <w:rFonts w:ascii="Arial" w:hAnsi="Arial" w:cs="Arial"/>
                <w:color w:val="002060"/>
                <w:sz w:val="20"/>
              </w:rPr>
              <w:t>91,380</w:t>
            </w:r>
          </w:p>
        </w:tc>
        <w:tc>
          <w:tcPr>
            <w:tcW w:w="992" w:type="dxa"/>
            <w:shd w:val="clear" w:color="auto" w:fill="auto"/>
            <w:noWrap/>
            <w:vAlign w:val="bottom"/>
            <w:hideMark/>
          </w:tcPr>
          <w:p w:rsidR="00CE070B" w:rsidRPr="00CE070B" w:rsidRDefault="00CE070B" w:rsidP="00CE070B">
            <w:pPr>
              <w:jc w:val="right"/>
              <w:rPr>
                <w:rFonts w:ascii="Arial" w:hAnsi="Arial" w:cs="Arial"/>
                <w:color w:val="002060"/>
                <w:sz w:val="20"/>
              </w:rPr>
            </w:pPr>
            <w:r w:rsidRPr="00CE070B">
              <w:rPr>
                <w:rFonts w:ascii="Arial" w:hAnsi="Arial" w:cs="Arial"/>
                <w:color w:val="002060"/>
                <w:sz w:val="20"/>
              </w:rPr>
              <w:t>90,215</w:t>
            </w:r>
          </w:p>
        </w:tc>
        <w:tc>
          <w:tcPr>
            <w:tcW w:w="1276" w:type="dxa"/>
            <w:shd w:val="clear" w:color="auto" w:fill="auto"/>
            <w:noWrap/>
            <w:vAlign w:val="bottom"/>
            <w:hideMark/>
          </w:tcPr>
          <w:p w:rsidR="00CE070B" w:rsidRPr="00CE070B" w:rsidRDefault="00CE070B" w:rsidP="00CE070B">
            <w:pPr>
              <w:jc w:val="right"/>
              <w:rPr>
                <w:rFonts w:ascii="Arial" w:hAnsi="Arial" w:cs="Arial"/>
                <w:color w:val="002060"/>
                <w:sz w:val="18"/>
                <w:szCs w:val="18"/>
              </w:rPr>
            </w:pPr>
            <w:r w:rsidRPr="00CE070B">
              <w:rPr>
                <w:rFonts w:ascii="Arial" w:hAnsi="Arial" w:cs="Arial"/>
                <w:color w:val="002060"/>
                <w:sz w:val="18"/>
                <w:szCs w:val="18"/>
              </w:rPr>
              <w:t>-1.3%</w:t>
            </w:r>
          </w:p>
        </w:tc>
        <w:tc>
          <w:tcPr>
            <w:tcW w:w="1134" w:type="dxa"/>
            <w:shd w:val="clear" w:color="auto" w:fill="auto"/>
            <w:noWrap/>
            <w:vAlign w:val="bottom"/>
            <w:hideMark/>
          </w:tcPr>
          <w:p w:rsidR="00CE070B" w:rsidRPr="00CE070B" w:rsidRDefault="00CE070B" w:rsidP="00CE070B">
            <w:pPr>
              <w:jc w:val="right"/>
              <w:rPr>
                <w:rFonts w:ascii="Arial" w:hAnsi="Arial" w:cs="Arial"/>
                <w:color w:val="002060"/>
                <w:sz w:val="20"/>
              </w:rPr>
            </w:pPr>
            <w:r w:rsidRPr="00CE070B">
              <w:rPr>
                <w:rFonts w:ascii="Arial" w:hAnsi="Arial" w:cs="Arial"/>
                <w:color w:val="002060"/>
                <w:sz w:val="20"/>
              </w:rPr>
              <w:t>887,892</w:t>
            </w:r>
          </w:p>
        </w:tc>
        <w:tc>
          <w:tcPr>
            <w:tcW w:w="1140" w:type="dxa"/>
            <w:shd w:val="clear" w:color="auto" w:fill="auto"/>
            <w:noWrap/>
            <w:vAlign w:val="bottom"/>
            <w:hideMark/>
          </w:tcPr>
          <w:p w:rsidR="00CE070B" w:rsidRPr="00CE070B" w:rsidRDefault="00CE070B" w:rsidP="00CE070B">
            <w:pPr>
              <w:jc w:val="right"/>
              <w:rPr>
                <w:rFonts w:ascii="Arial" w:hAnsi="Arial" w:cs="Arial"/>
                <w:color w:val="002060"/>
                <w:sz w:val="20"/>
              </w:rPr>
            </w:pPr>
            <w:r w:rsidRPr="00CE070B">
              <w:rPr>
                <w:rFonts w:ascii="Arial" w:hAnsi="Arial" w:cs="Arial"/>
                <w:color w:val="002060"/>
                <w:sz w:val="20"/>
              </w:rPr>
              <w:t>972,357</w:t>
            </w:r>
          </w:p>
        </w:tc>
        <w:tc>
          <w:tcPr>
            <w:tcW w:w="1354" w:type="dxa"/>
            <w:shd w:val="clear" w:color="auto" w:fill="auto"/>
            <w:noWrap/>
            <w:vAlign w:val="bottom"/>
            <w:hideMark/>
          </w:tcPr>
          <w:p w:rsidR="00CE070B" w:rsidRPr="00CE070B" w:rsidRDefault="00CE070B" w:rsidP="00CE070B">
            <w:pPr>
              <w:jc w:val="right"/>
              <w:rPr>
                <w:rFonts w:ascii="Arial" w:hAnsi="Arial" w:cs="Arial"/>
                <w:color w:val="002060"/>
                <w:sz w:val="18"/>
                <w:szCs w:val="18"/>
              </w:rPr>
            </w:pPr>
            <w:r w:rsidRPr="00CE070B">
              <w:rPr>
                <w:rFonts w:ascii="Arial" w:hAnsi="Arial" w:cs="Arial"/>
                <w:color w:val="002060"/>
                <w:sz w:val="18"/>
                <w:szCs w:val="18"/>
              </w:rPr>
              <w:t>9.5%</w:t>
            </w:r>
          </w:p>
        </w:tc>
      </w:tr>
      <w:tr w:rsidR="00CE070B" w:rsidRPr="00761183" w:rsidTr="00CE070B">
        <w:trPr>
          <w:trHeight w:val="270"/>
          <w:jc w:val="right"/>
        </w:trPr>
        <w:tc>
          <w:tcPr>
            <w:tcW w:w="2565" w:type="dxa"/>
            <w:shd w:val="clear" w:color="auto" w:fill="auto"/>
            <w:noWrap/>
            <w:vAlign w:val="bottom"/>
            <w:hideMark/>
          </w:tcPr>
          <w:p w:rsidR="00CE070B" w:rsidRPr="00252DCB" w:rsidRDefault="00CE070B" w:rsidP="00761183">
            <w:pPr>
              <w:jc w:val="right"/>
              <w:rPr>
                <w:rFonts w:ascii="Arial" w:eastAsia="Times New Roman" w:hAnsi="Arial" w:cs="Arial"/>
                <w:color w:val="002060"/>
                <w:sz w:val="20"/>
              </w:rPr>
            </w:pPr>
            <w:r w:rsidRPr="00252DCB">
              <w:rPr>
                <w:rFonts w:ascii="Arial" w:eastAsia="Times New Roman" w:hAnsi="Arial" w:cs="Arial"/>
                <w:color w:val="002060"/>
                <w:sz w:val="20"/>
              </w:rPr>
              <w:t>Export</w:t>
            </w:r>
          </w:p>
        </w:tc>
        <w:tc>
          <w:tcPr>
            <w:tcW w:w="992" w:type="dxa"/>
            <w:shd w:val="clear" w:color="auto" w:fill="auto"/>
            <w:noWrap/>
            <w:vAlign w:val="bottom"/>
            <w:hideMark/>
          </w:tcPr>
          <w:p w:rsidR="00CE070B" w:rsidRPr="00CE070B" w:rsidRDefault="00CE070B" w:rsidP="00CE070B">
            <w:pPr>
              <w:jc w:val="right"/>
              <w:rPr>
                <w:rFonts w:ascii="Arial" w:hAnsi="Arial" w:cs="Arial"/>
                <w:color w:val="002060"/>
                <w:sz w:val="20"/>
              </w:rPr>
            </w:pPr>
            <w:r w:rsidRPr="00CE070B">
              <w:rPr>
                <w:rFonts w:ascii="Arial" w:hAnsi="Arial" w:cs="Arial"/>
                <w:color w:val="002060"/>
                <w:sz w:val="20"/>
              </w:rPr>
              <w:t>132,473</w:t>
            </w:r>
          </w:p>
        </w:tc>
        <w:tc>
          <w:tcPr>
            <w:tcW w:w="992" w:type="dxa"/>
            <w:shd w:val="clear" w:color="auto" w:fill="auto"/>
            <w:noWrap/>
            <w:vAlign w:val="bottom"/>
            <w:hideMark/>
          </w:tcPr>
          <w:p w:rsidR="00CE070B" w:rsidRPr="00CE070B" w:rsidRDefault="00CE070B" w:rsidP="00CE070B">
            <w:pPr>
              <w:jc w:val="right"/>
              <w:rPr>
                <w:rFonts w:ascii="Arial" w:hAnsi="Arial" w:cs="Arial"/>
                <w:color w:val="002060"/>
                <w:sz w:val="20"/>
              </w:rPr>
            </w:pPr>
            <w:r w:rsidRPr="00CE070B">
              <w:rPr>
                <w:rFonts w:ascii="Arial" w:hAnsi="Arial" w:cs="Arial"/>
                <w:color w:val="002060"/>
                <w:sz w:val="20"/>
              </w:rPr>
              <w:t>141,156</w:t>
            </w:r>
          </w:p>
        </w:tc>
        <w:tc>
          <w:tcPr>
            <w:tcW w:w="1276" w:type="dxa"/>
            <w:shd w:val="clear" w:color="auto" w:fill="auto"/>
            <w:noWrap/>
            <w:vAlign w:val="bottom"/>
            <w:hideMark/>
          </w:tcPr>
          <w:p w:rsidR="00CE070B" w:rsidRPr="00CE070B" w:rsidRDefault="00CE070B" w:rsidP="00CE070B">
            <w:pPr>
              <w:jc w:val="right"/>
              <w:rPr>
                <w:rFonts w:ascii="Arial" w:hAnsi="Arial" w:cs="Arial"/>
                <w:color w:val="002060"/>
                <w:sz w:val="18"/>
                <w:szCs w:val="18"/>
              </w:rPr>
            </w:pPr>
            <w:r w:rsidRPr="00CE070B">
              <w:rPr>
                <w:rFonts w:ascii="Arial" w:hAnsi="Arial" w:cs="Arial"/>
                <w:color w:val="002060"/>
                <w:sz w:val="18"/>
                <w:szCs w:val="18"/>
              </w:rPr>
              <w:t>6.6%</w:t>
            </w:r>
          </w:p>
        </w:tc>
        <w:tc>
          <w:tcPr>
            <w:tcW w:w="1134" w:type="dxa"/>
            <w:shd w:val="clear" w:color="auto" w:fill="auto"/>
            <w:noWrap/>
            <w:vAlign w:val="bottom"/>
            <w:hideMark/>
          </w:tcPr>
          <w:p w:rsidR="00CE070B" w:rsidRPr="00CE070B" w:rsidRDefault="00CE070B" w:rsidP="00CE070B">
            <w:pPr>
              <w:jc w:val="right"/>
              <w:rPr>
                <w:rFonts w:ascii="Arial" w:hAnsi="Arial" w:cs="Arial"/>
                <w:color w:val="002060"/>
                <w:sz w:val="20"/>
              </w:rPr>
            </w:pPr>
            <w:r w:rsidRPr="00CE070B">
              <w:rPr>
                <w:rFonts w:ascii="Arial" w:hAnsi="Arial" w:cs="Arial"/>
                <w:color w:val="002060"/>
                <w:sz w:val="20"/>
              </w:rPr>
              <w:t>1,457,275</w:t>
            </w:r>
          </w:p>
        </w:tc>
        <w:tc>
          <w:tcPr>
            <w:tcW w:w="1140" w:type="dxa"/>
            <w:shd w:val="clear" w:color="auto" w:fill="auto"/>
            <w:noWrap/>
            <w:vAlign w:val="bottom"/>
            <w:hideMark/>
          </w:tcPr>
          <w:p w:rsidR="00CE070B" w:rsidRPr="00CE070B" w:rsidRDefault="00CE070B" w:rsidP="00CE070B">
            <w:pPr>
              <w:jc w:val="right"/>
              <w:rPr>
                <w:rFonts w:ascii="Arial" w:hAnsi="Arial" w:cs="Arial"/>
                <w:color w:val="002060"/>
                <w:sz w:val="20"/>
              </w:rPr>
            </w:pPr>
            <w:r w:rsidRPr="00CE070B">
              <w:rPr>
                <w:rFonts w:ascii="Arial" w:hAnsi="Arial" w:cs="Arial"/>
                <w:color w:val="002060"/>
                <w:sz w:val="20"/>
              </w:rPr>
              <w:t>1,431,789</w:t>
            </w:r>
          </w:p>
        </w:tc>
        <w:tc>
          <w:tcPr>
            <w:tcW w:w="1354" w:type="dxa"/>
            <w:shd w:val="clear" w:color="auto" w:fill="auto"/>
            <w:noWrap/>
            <w:vAlign w:val="bottom"/>
            <w:hideMark/>
          </w:tcPr>
          <w:p w:rsidR="00CE070B" w:rsidRPr="00CE070B" w:rsidRDefault="00CE070B" w:rsidP="00CE070B">
            <w:pPr>
              <w:jc w:val="right"/>
              <w:rPr>
                <w:rFonts w:ascii="Arial" w:hAnsi="Arial" w:cs="Arial"/>
                <w:color w:val="002060"/>
                <w:sz w:val="18"/>
                <w:szCs w:val="18"/>
              </w:rPr>
            </w:pPr>
            <w:r w:rsidRPr="00CE070B">
              <w:rPr>
                <w:rFonts w:ascii="Arial" w:hAnsi="Arial" w:cs="Arial"/>
                <w:color w:val="002060"/>
                <w:sz w:val="18"/>
                <w:szCs w:val="18"/>
              </w:rPr>
              <w:t>-1.7%</w:t>
            </w:r>
          </w:p>
        </w:tc>
      </w:tr>
      <w:tr w:rsidR="00CE070B" w:rsidRPr="00761183" w:rsidTr="00CE070B">
        <w:trPr>
          <w:trHeight w:val="270"/>
          <w:jc w:val="right"/>
        </w:trPr>
        <w:tc>
          <w:tcPr>
            <w:tcW w:w="2565" w:type="dxa"/>
            <w:shd w:val="clear" w:color="auto" w:fill="auto"/>
            <w:noWrap/>
            <w:vAlign w:val="bottom"/>
            <w:hideMark/>
          </w:tcPr>
          <w:p w:rsidR="00CE070B" w:rsidRPr="00252DCB" w:rsidRDefault="00CE070B" w:rsidP="00761183">
            <w:pPr>
              <w:jc w:val="right"/>
              <w:rPr>
                <w:rFonts w:ascii="Arial" w:eastAsia="Times New Roman" w:hAnsi="Arial" w:cs="Arial"/>
                <w:color w:val="002060"/>
                <w:sz w:val="20"/>
              </w:rPr>
            </w:pPr>
            <w:r w:rsidRPr="00252DCB">
              <w:rPr>
                <w:rFonts w:ascii="Arial" w:eastAsia="Times New Roman" w:hAnsi="Arial" w:cs="Arial"/>
                <w:color w:val="002060"/>
                <w:sz w:val="20"/>
              </w:rPr>
              <w:t>% export</w:t>
            </w:r>
          </w:p>
        </w:tc>
        <w:tc>
          <w:tcPr>
            <w:tcW w:w="992" w:type="dxa"/>
            <w:shd w:val="clear" w:color="auto" w:fill="auto"/>
            <w:noWrap/>
            <w:vAlign w:val="bottom"/>
            <w:hideMark/>
          </w:tcPr>
          <w:p w:rsidR="00CE070B" w:rsidRPr="00CE070B" w:rsidRDefault="00CE070B" w:rsidP="00CE070B">
            <w:pPr>
              <w:jc w:val="right"/>
              <w:rPr>
                <w:rFonts w:ascii="Arial" w:hAnsi="Arial" w:cs="Arial"/>
                <w:color w:val="002060"/>
                <w:sz w:val="20"/>
              </w:rPr>
            </w:pPr>
            <w:r w:rsidRPr="00CE070B">
              <w:rPr>
                <w:rFonts w:ascii="Arial" w:hAnsi="Arial" w:cs="Arial"/>
                <w:color w:val="002060"/>
                <w:sz w:val="20"/>
              </w:rPr>
              <w:t>59.2%</w:t>
            </w:r>
          </w:p>
        </w:tc>
        <w:tc>
          <w:tcPr>
            <w:tcW w:w="992" w:type="dxa"/>
            <w:shd w:val="clear" w:color="auto" w:fill="auto"/>
            <w:noWrap/>
            <w:vAlign w:val="bottom"/>
            <w:hideMark/>
          </w:tcPr>
          <w:p w:rsidR="00CE070B" w:rsidRPr="00CE070B" w:rsidRDefault="00CE070B" w:rsidP="00CE070B">
            <w:pPr>
              <w:jc w:val="right"/>
              <w:rPr>
                <w:rFonts w:ascii="Arial" w:hAnsi="Arial" w:cs="Arial"/>
                <w:color w:val="002060"/>
                <w:sz w:val="20"/>
              </w:rPr>
            </w:pPr>
            <w:r w:rsidRPr="00CE070B">
              <w:rPr>
                <w:rFonts w:ascii="Arial" w:hAnsi="Arial" w:cs="Arial"/>
                <w:color w:val="002060"/>
                <w:sz w:val="20"/>
              </w:rPr>
              <w:t>61.0%</w:t>
            </w:r>
          </w:p>
        </w:tc>
        <w:tc>
          <w:tcPr>
            <w:tcW w:w="1276" w:type="dxa"/>
            <w:shd w:val="clear" w:color="auto" w:fill="auto"/>
            <w:noWrap/>
            <w:vAlign w:val="bottom"/>
            <w:hideMark/>
          </w:tcPr>
          <w:p w:rsidR="00CE070B" w:rsidRPr="00CE070B" w:rsidRDefault="00CE070B" w:rsidP="00CE070B">
            <w:pPr>
              <w:jc w:val="right"/>
              <w:rPr>
                <w:rFonts w:ascii="Arial" w:hAnsi="Arial" w:cs="Arial"/>
                <w:color w:val="002060"/>
                <w:sz w:val="20"/>
              </w:rPr>
            </w:pPr>
            <w:r w:rsidRPr="00CE070B">
              <w:rPr>
                <w:rFonts w:ascii="Arial" w:hAnsi="Arial" w:cs="Arial"/>
                <w:color w:val="002060"/>
                <w:sz w:val="20"/>
              </w:rPr>
              <w:t> </w:t>
            </w:r>
          </w:p>
        </w:tc>
        <w:tc>
          <w:tcPr>
            <w:tcW w:w="1134" w:type="dxa"/>
            <w:shd w:val="clear" w:color="auto" w:fill="auto"/>
            <w:noWrap/>
            <w:vAlign w:val="bottom"/>
            <w:hideMark/>
          </w:tcPr>
          <w:p w:rsidR="00CE070B" w:rsidRPr="00CE070B" w:rsidRDefault="00CE070B" w:rsidP="00CE070B">
            <w:pPr>
              <w:jc w:val="right"/>
              <w:rPr>
                <w:rFonts w:ascii="Arial" w:hAnsi="Arial" w:cs="Arial"/>
                <w:color w:val="002060"/>
                <w:sz w:val="20"/>
              </w:rPr>
            </w:pPr>
            <w:r w:rsidRPr="00CE070B">
              <w:rPr>
                <w:rFonts w:ascii="Arial" w:hAnsi="Arial" w:cs="Arial"/>
                <w:color w:val="002060"/>
                <w:sz w:val="20"/>
              </w:rPr>
              <w:t>62.1%</w:t>
            </w:r>
          </w:p>
        </w:tc>
        <w:tc>
          <w:tcPr>
            <w:tcW w:w="1140" w:type="dxa"/>
            <w:shd w:val="clear" w:color="auto" w:fill="auto"/>
            <w:noWrap/>
            <w:vAlign w:val="bottom"/>
            <w:hideMark/>
          </w:tcPr>
          <w:p w:rsidR="00CE070B" w:rsidRPr="00CE070B" w:rsidRDefault="00CE070B" w:rsidP="00CE070B">
            <w:pPr>
              <w:jc w:val="right"/>
              <w:rPr>
                <w:rFonts w:ascii="Arial" w:hAnsi="Arial" w:cs="Arial"/>
                <w:color w:val="002060"/>
                <w:sz w:val="20"/>
              </w:rPr>
            </w:pPr>
            <w:r w:rsidRPr="00CE070B">
              <w:rPr>
                <w:rFonts w:ascii="Arial" w:hAnsi="Arial" w:cs="Arial"/>
                <w:color w:val="002060"/>
                <w:sz w:val="20"/>
              </w:rPr>
              <w:t>59.6%</w:t>
            </w:r>
          </w:p>
        </w:tc>
        <w:tc>
          <w:tcPr>
            <w:tcW w:w="1354" w:type="dxa"/>
            <w:shd w:val="clear" w:color="auto" w:fill="auto"/>
            <w:noWrap/>
            <w:vAlign w:val="bottom"/>
            <w:hideMark/>
          </w:tcPr>
          <w:p w:rsidR="00CE070B" w:rsidRPr="00CE070B" w:rsidRDefault="00CE070B" w:rsidP="00CE070B">
            <w:pPr>
              <w:jc w:val="right"/>
              <w:rPr>
                <w:rFonts w:ascii="Arial" w:hAnsi="Arial" w:cs="Arial"/>
                <w:color w:val="002060"/>
                <w:sz w:val="20"/>
              </w:rPr>
            </w:pPr>
            <w:r w:rsidRPr="00CE070B">
              <w:rPr>
                <w:rFonts w:ascii="Arial" w:hAnsi="Arial" w:cs="Arial"/>
                <w:color w:val="002060"/>
                <w:sz w:val="20"/>
              </w:rPr>
              <w:t> </w:t>
            </w:r>
          </w:p>
        </w:tc>
      </w:tr>
    </w:tbl>
    <w:p w:rsidR="00761183" w:rsidRDefault="00761183" w:rsidP="00C80E70">
      <w:pPr>
        <w:ind w:left="360"/>
        <w:rPr>
          <w:rFonts w:ascii="Arial" w:hAnsi="Arial" w:cs="Arial"/>
          <w:sz w:val="20"/>
        </w:rPr>
      </w:pPr>
    </w:p>
    <w:p w:rsidR="00924274" w:rsidRDefault="00924274" w:rsidP="00C80E70">
      <w:pPr>
        <w:ind w:left="360"/>
        <w:rPr>
          <w:rFonts w:ascii="Arial" w:hAnsi="Arial" w:cs="Arial"/>
          <w:sz w:val="20"/>
        </w:rPr>
      </w:pPr>
    </w:p>
    <w:p w:rsidR="00C80E70" w:rsidRDefault="00C80E70" w:rsidP="00C80E70">
      <w:pPr>
        <w:rPr>
          <w:rFonts w:ascii="Verdana" w:hAnsi="Verdana"/>
          <w:sz w:val="20"/>
        </w:rPr>
      </w:pPr>
      <w:r>
        <w:rPr>
          <w:rFonts w:ascii="Arial" w:hAnsi="Arial" w:cs="Arial"/>
          <w:b/>
          <w:color w:val="0D2255"/>
          <w:sz w:val="20"/>
        </w:rPr>
        <w:t>Engine</w:t>
      </w:r>
      <w:r w:rsidRPr="00D62A9D">
        <w:rPr>
          <w:rFonts w:ascii="Arial" w:hAnsi="Arial" w:cs="Arial"/>
          <w:b/>
          <w:color w:val="0D2255"/>
          <w:sz w:val="20"/>
        </w:rPr>
        <w:t xml:space="preserve"> output rolling year total</w:t>
      </w:r>
      <w:r w:rsidR="00EC65AF">
        <w:rPr>
          <w:rFonts w:ascii="Arial" w:hAnsi="Arial" w:cs="Arial"/>
          <w:b/>
          <w:color w:val="0D2255"/>
          <w:sz w:val="20"/>
        </w:rPr>
        <w:tab/>
      </w:r>
      <w:r w:rsidR="00EC65AF">
        <w:rPr>
          <w:rFonts w:ascii="Arial" w:hAnsi="Arial" w:cs="Arial"/>
          <w:b/>
          <w:color w:val="0D2255"/>
          <w:sz w:val="20"/>
        </w:rPr>
        <w:tab/>
        <w:t>Engine output year-to-date, 2011-2013</w:t>
      </w:r>
    </w:p>
    <w:p w:rsidR="000B47D6" w:rsidRDefault="00CE070B" w:rsidP="00C80E70">
      <w:r w:rsidRPr="00CE070B">
        <w:rPr>
          <w:noProof/>
        </w:rPr>
        <w:drawing>
          <wp:inline distT="0" distB="0" distL="0" distR="0">
            <wp:extent cx="2798859" cy="274320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D685F" w:rsidRPr="004D685F">
        <w:rPr>
          <w:noProof/>
          <w:lang w:val="en-US" w:eastAsia="zh-TW"/>
        </w:rPr>
        <w:pict>
          <v:shape id="_x0000_s1029" type="#_x0000_t202" style="position:absolute;margin-left:229.75pt;margin-top:7.65pt;width:238.55pt;height:217.9pt;z-index:251670528;mso-position-horizontal-relative:text;mso-position-vertical-relative:text;mso-width-relative:margin;mso-height-relative:margin" stroked="f">
            <v:textbox>
              <w:txbxContent>
                <w:p w:rsidR="00DE0B9A" w:rsidRDefault="00614891">
                  <w:r w:rsidRPr="00614891">
                    <w:rPr>
                      <w:noProof/>
                    </w:rPr>
                    <w:drawing>
                      <wp:inline distT="0" distB="0" distL="0" distR="0">
                        <wp:extent cx="2846705" cy="2829861"/>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w:r>
    </w:p>
    <w:p w:rsidR="000B47D6" w:rsidRPr="000B47D6" w:rsidRDefault="000B47D6" w:rsidP="000B47D6"/>
    <w:p w:rsidR="000B47D6" w:rsidRPr="000B47D6" w:rsidRDefault="000B47D6" w:rsidP="000B47D6"/>
    <w:p w:rsidR="000B47D6" w:rsidRPr="000B47D6" w:rsidRDefault="000B47D6" w:rsidP="000B47D6"/>
    <w:sectPr w:rsidR="000B47D6" w:rsidRPr="000B47D6" w:rsidSect="00A72CAD">
      <w:headerReference w:type="default" r:id="rId13"/>
      <w:footerReference w:type="default" r:id="rId14"/>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3CB" w:rsidRDefault="006103CB" w:rsidP="00C80E70">
      <w:r>
        <w:separator/>
      </w:r>
    </w:p>
  </w:endnote>
  <w:endnote w:type="continuationSeparator" w:id="0">
    <w:p w:rsidR="006103CB" w:rsidRDefault="006103CB"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9A" w:rsidRDefault="00DE0B9A" w:rsidP="00BC5727">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DE0B9A" w:rsidRPr="00BC5727" w:rsidRDefault="00DE0B9A" w:rsidP="00BC5727">
    <w:pPr>
      <w:pStyle w:val="Heading1"/>
      <w:ind w:left="0" w:firstLine="0"/>
      <w:rPr>
        <w:rFonts w:ascii="Arial" w:hAnsi="Arial" w:cs="Arial"/>
        <w:color w:val="1074CB"/>
        <w:sz w:val="16"/>
        <w:szCs w:val="16"/>
        <w:u w:val="single"/>
      </w:rPr>
    </w:pPr>
    <w:r>
      <w:rPr>
        <w:rFonts w:ascii="Arial" w:hAnsi="Arial" w:cs="Arial"/>
        <w:bCs/>
        <w:color w:val="1074CB"/>
        <w:sz w:val="16"/>
        <w:szCs w:val="16"/>
      </w:rPr>
      <w:t>About SMMT and UK the automotive industry:</w:t>
    </w:r>
  </w:p>
  <w:p w:rsidR="00DE0B9A" w:rsidRDefault="00DE0B9A" w:rsidP="00447CDA">
    <w:pPr>
      <w:pStyle w:val="NormalWeb"/>
      <w:spacing w:before="0" w:beforeAutospacing="0" w:after="0" w:afterAutospacing="0"/>
    </w:pPr>
    <w:r>
      <w:rPr>
        <w:rFonts w:ascii="Arial" w:hAnsi="Arial" w:cs="Arial"/>
        <w:color w:val="1074CB"/>
        <w:sz w:val="15"/>
        <w:szCs w:val="15"/>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DE0B9A" w:rsidRDefault="00DE0B9A" w:rsidP="00447CDA">
    <w:pPr>
      <w:pStyle w:val="NormalWeb"/>
      <w:spacing w:before="0" w:beforeAutospacing="0" w:after="0" w:afterAutospacing="0"/>
      <w:rPr>
        <w:rFonts w:ascii="Arial" w:hAnsi="Arial" w:cs="Arial"/>
        <w:color w:val="1074CB"/>
        <w:sz w:val="15"/>
        <w:szCs w:val="15"/>
      </w:rPr>
    </w:pPr>
  </w:p>
  <w:p w:rsidR="00DE0B9A" w:rsidRDefault="00DE0B9A" w:rsidP="00447CDA">
    <w:pPr>
      <w:pStyle w:val="NormalWeb"/>
      <w:spacing w:before="0" w:beforeAutospacing="0" w:after="0" w:afterAutospacing="0"/>
      <w:rPr>
        <w:rFonts w:ascii="Arial" w:hAnsi="Arial" w:cs="Arial"/>
        <w:color w:val="1074CB"/>
        <w:sz w:val="15"/>
        <w:szCs w:val="15"/>
      </w:rPr>
    </w:pPr>
    <w:r>
      <w:rPr>
        <w:rFonts w:ascii="Arial" w:hAnsi="Arial" w:cs="Arial"/>
        <w:color w:val="1074CB"/>
        <w:sz w:val="15"/>
        <w:szCs w:val="15"/>
      </w:rPr>
      <w:t xml:space="preserve">The automotive industry is a vital part of the UK economy accounting for </w:t>
    </w:r>
    <w:r>
      <w:rPr>
        <w:rStyle w:val="Strong"/>
        <w:rFonts w:ascii="Arial" w:hAnsi="Arial" w:cs="Arial"/>
        <w:color w:val="1074CB"/>
        <w:sz w:val="15"/>
        <w:szCs w:val="15"/>
      </w:rPr>
      <w:t>£59 billion turnover</w:t>
    </w:r>
    <w:r>
      <w:rPr>
        <w:rFonts w:ascii="Arial" w:hAnsi="Arial" w:cs="Arial"/>
        <w:color w:val="1074CB"/>
        <w:sz w:val="15"/>
        <w:szCs w:val="15"/>
      </w:rPr>
      <w:t xml:space="preserve"> and </w:t>
    </w:r>
    <w:r>
      <w:rPr>
        <w:rStyle w:val="Strong"/>
        <w:rFonts w:ascii="Arial" w:hAnsi="Arial" w:cs="Arial"/>
        <w:color w:val="1074CB"/>
        <w:sz w:val="15"/>
        <w:szCs w:val="15"/>
      </w:rPr>
      <w:t>£12 billion value added</w:t>
    </w:r>
    <w:r>
      <w:rPr>
        <w:rFonts w:ascii="Arial" w:hAnsi="Arial" w:cs="Arial"/>
        <w:color w:val="1074CB"/>
        <w:sz w:val="15"/>
        <w:szCs w:val="15"/>
      </w:rPr>
      <w:t xml:space="preserve">. With more than </w:t>
    </w:r>
    <w:r>
      <w:rPr>
        <w:rStyle w:val="Strong"/>
        <w:rFonts w:ascii="Arial" w:hAnsi="Arial" w:cs="Arial"/>
        <w:color w:val="1074CB"/>
        <w:sz w:val="15"/>
        <w:szCs w:val="15"/>
      </w:rPr>
      <w:t>700,000 jobs</w:t>
    </w:r>
    <w:r>
      <w:rPr>
        <w:rFonts w:ascii="Arial" w:hAnsi="Arial" w:cs="Arial"/>
        <w:color w:val="1074CB"/>
        <w:sz w:val="15"/>
        <w:szCs w:val="15"/>
      </w:rPr>
      <w:t xml:space="preserve"> dependent on the industry, it accounts for </w:t>
    </w:r>
    <w:r>
      <w:rPr>
        <w:rStyle w:val="Strong"/>
        <w:rFonts w:ascii="Arial" w:hAnsi="Arial" w:cs="Arial"/>
        <w:color w:val="1074CB"/>
        <w:sz w:val="15"/>
        <w:szCs w:val="15"/>
      </w:rPr>
      <w:t>10% of total UK exports</w:t>
    </w:r>
    <w:r>
      <w:rPr>
        <w:rFonts w:ascii="Arial" w:hAnsi="Arial" w:cs="Arial"/>
        <w:color w:val="1074CB"/>
        <w:sz w:val="15"/>
        <w:szCs w:val="15"/>
      </w:rPr>
      <w:t xml:space="preserve"> and invests </w:t>
    </w:r>
    <w:r>
      <w:rPr>
        <w:rStyle w:val="Strong"/>
        <w:rFonts w:ascii="Arial" w:hAnsi="Arial" w:cs="Arial"/>
        <w:color w:val="1074CB"/>
        <w:sz w:val="15"/>
        <w:szCs w:val="15"/>
      </w:rPr>
      <w:t>£1.7 billion</w:t>
    </w:r>
    <w:r>
      <w:rPr>
        <w:rFonts w:ascii="Arial" w:hAnsi="Arial" w:cs="Arial"/>
        <w:color w:val="1074CB"/>
        <w:sz w:val="15"/>
        <w:szCs w:val="15"/>
      </w:rPr>
      <w:t xml:space="preserve"> each year in automotive R&amp;D. More than </w:t>
    </w:r>
    <w:r>
      <w:rPr>
        <w:rStyle w:val="Strong"/>
        <w:rFonts w:ascii="Arial" w:hAnsi="Arial" w:cs="Arial"/>
        <w:color w:val="1074CB"/>
        <w:sz w:val="15"/>
        <w:szCs w:val="15"/>
      </w:rPr>
      <w:t>30 manufacturers</w:t>
    </w:r>
    <w:r>
      <w:rPr>
        <w:rFonts w:ascii="Arial" w:hAnsi="Arial" w:cs="Arial"/>
        <w:color w:val="1074CB"/>
        <w:sz w:val="15"/>
        <w:szCs w:val="15"/>
      </w:rPr>
      <w:t xml:space="preserve"> build in excess of </w:t>
    </w:r>
    <w:r>
      <w:rPr>
        <w:rStyle w:val="Strong"/>
        <w:rFonts w:ascii="Arial" w:hAnsi="Arial" w:cs="Arial"/>
        <w:color w:val="1074CB"/>
        <w:sz w:val="15"/>
        <w:szCs w:val="15"/>
      </w:rPr>
      <w:t>70 models</w:t>
    </w:r>
    <w:r>
      <w:rPr>
        <w:rFonts w:ascii="Arial" w:hAnsi="Arial" w:cs="Arial"/>
        <w:color w:val="1074CB"/>
        <w:sz w:val="15"/>
        <w:szCs w:val="15"/>
      </w:rPr>
      <w:t xml:space="preserve"> of vehicle in the UK supported by around </w:t>
    </w:r>
    <w:r>
      <w:rPr>
        <w:rStyle w:val="Strong"/>
        <w:rFonts w:ascii="Arial" w:hAnsi="Arial" w:cs="Arial"/>
        <w:color w:val="1074CB"/>
        <w:sz w:val="15"/>
        <w:szCs w:val="15"/>
      </w:rPr>
      <w:t>2,500 component providers</w:t>
    </w:r>
    <w:r>
      <w:rPr>
        <w:rFonts w:ascii="Arial" w:hAnsi="Arial" w:cs="Arial"/>
        <w:color w:val="1074CB"/>
        <w:sz w:val="15"/>
        <w:szCs w:val="15"/>
      </w:rPr>
      <w:t xml:space="preserve"> and some of the world's most </w:t>
    </w:r>
    <w:r>
      <w:rPr>
        <w:rStyle w:val="Strong"/>
        <w:rFonts w:ascii="Arial" w:hAnsi="Arial" w:cs="Arial"/>
        <w:color w:val="1074CB"/>
        <w:sz w:val="15"/>
        <w:szCs w:val="15"/>
      </w:rPr>
      <w:t>skilled engineers</w:t>
    </w:r>
    <w:r>
      <w:rPr>
        <w:rFonts w:ascii="Arial" w:hAnsi="Arial" w:cs="Arial"/>
        <w:color w:val="1074CB"/>
        <w:sz w:val="15"/>
        <w:szCs w:val="15"/>
      </w:rPr>
      <w:t>.</w:t>
    </w:r>
    <w:r>
      <w:t xml:space="preserve"> </w:t>
    </w:r>
    <w:r w:rsidRPr="00447CDA">
      <w:rPr>
        <w:rFonts w:ascii="Arial" w:hAnsi="Arial" w:cs="Arial"/>
        <w:color w:val="1074CB"/>
        <w:sz w:val="15"/>
        <w:szCs w:val="15"/>
      </w:rPr>
      <w:t xml:space="preserve">More detail on UK automotive available in SMMT's </w:t>
    </w:r>
    <w:r>
      <w:rPr>
        <w:rFonts w:ascii="Arial" w:hAnsi="Arial" w:cs="Arial"/>
        <w:color w:val="1074CB"/>
        <w:sz w:val="15"/>
        <w:szCs w:val="15"/>
      </w:rPr>
      <w:t xml:space="preserve">Motor Industry Facts 2013 publication at </w:t>
    </w:r>
    <w:hyperlink r:id="rId1" w:history="1">
      <w:r>
        <w:rPr>
          <w:rStyle w:val="Hyperlink"/>
          <w:rFonts w:ascii="Arial" w:hAnsi="Arial" w:cs="Arial"/>
          <w:color w:val="1074CB"/>
          <w:sz w:val="15"/>
          <w:szCs w:val="15"/>
        </w:rPr>
        <w:t>www.smmt.co.uk/publications</w:t>
      </w:r>
    </w:hyperlink>
    <w:r>
      <w:rPr>
        <w:rFonts w:ascii="Arial" w:hAnsi="Arial" w:cs="Arial"/>
        <w:color w:val="1074CB"/>
        <w:sz w:val="15"/>
        <w:szCs w:val="15"/>
      </w:rPr>
      <w:t>.</w:t>
    </w:r>
  </w:p>
  <w:p w:rsidR="00DE0B9A" w:rsidRDefault="00DE0B9A" w:rsidP="00447CDA">
    <w:pPr>
      <w:pStyle w:val="NormalWeb"/>
      <w:spacing w:before="0" w:beforeAutospacing="0" w:after="0" w:afterAutospacing="0"/>
    </w:pPr>
  </w:p>
  <w:p w:rsidR="00DE0B9A" w:rsidRDefault="00DE0B9A" w:rsidP="00447CDA">
    <w:pPr>
      <w:pStyle w:val="NormalWeb"/>
      <w:spacing w:before="0" w:beforeAutospacing="0" w:after="0" w:afterAutospacing="0"/>
    </w:pPr>
    <w:r w:rsidRPr="00447CDA">
      <w:rPr>
        <w:rStyle w:val="Strong"/>
        <w:rFonts w:ascii="Arial" w:hAnsi="Arial" w:cs="Arial"/>
        <w:color w:val="1074CB"/>
        <w:sz w:val="15"/>
        <w:szCs w:val="15"/>
        <w:u w:val="single"/>
      </w:rPr>
      <w:t>Broadcasters</w:t>
    </w:r>
    <w:r>
      <w:rPr>
        <w:rStyle w:val="Strong"/>
        <w:rFonts w:ascii="Arial" w:hAnsi="Arial" w:cs="Arial"/>
        <w:color w:val="1074CB"/>
        <w:sz w:val="15"/>
        <w:szCs w:val="15"/>
      </w:rPr>
      <w:t>: SMMT has an ISDN studio and access to expert spokespeople, case studies and regional representatives.</w:t>
    </w:r>
  </w:p>
  <w:p w:rsidR="00DE0B9A" w:rsidRPr="00EA17B0" w:rsidRDefault="00DE0B9A" w:rsidP="00447CDA">
    <w:pPr>
      <w:tabs>
        <w:tab w:val="left" w:pos="1978"/>
      </w:tabs>
      <w:rPr>
        <w:rFonts w:ascii="Arial" w:hAnsi="Arial" w:cs="Arial"/>
        <w:b/>
        <w:color w:val="1074CB"/>
        <w:sz w:val="12"/>
        <w:szCs w:val="12"/>
      </w:rPr>
    </w:pPr>
  </w:p>
  <w:p w:rsidR="00DE0B9A" w:rsidRPr="00C80E70" w:rsidRDefault="00DE0B9A" w:rsidP="00447CDA">
    <w:pPr>
      <w:rPr>
        <w:rFonts w:ascii="Arial" w:hAnsi="Arial" w:cs="Arial"/>
        <w:b/>
        <w:color w:val="1074CB"/>
        <w:sz w:val="16"/>
        <w:szCs w:val="16"/>
      </w:rPr>
    </w:pPr>
    <w:r w:rsidRPr="00C80E70">
      <w:rPr>
        <w:rFonts w:ascii="Arial" w:hAnsi="Arial" w:cs="Arial"/>
        <w:b/>
        <w:color w:val="1074CB"/>
        <w:sz w:val="16"/>
        <w:szCs w:val="16"/>
      </w:rPr>
      <w:t>Media contacts:</w:t>
    </w:r>
  </w:p>
  <w:p w:rsidR="00DE0B9A" w:rsidRDefault="00DE0B9A" w:rsidP="00C80E70">
    <w:pPr>
      <w:rPr>
        <w:rFonts w:ascii="Arial" w:hAnsi="Arial" w:cs="Arial"/>
        <w:color w:val="1074CB"/>
        <w:sz w:val="16"/>
        <w:szCs w:val="16"/>
      </w:rPr>
    </w:pPr>
    <w:r>
      <w:rPr>
        <w:rFonts w:ascii="Arial" w:hAnsi="Arial" w:cs="Arial"/>
        <w:color w:val="1074CB"/>
        <w:sz w:val="16"/>
        <w:szCs w:val="16"/>
      </w:rPr>
      <w:t>Ben Foulds</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 xml:space="preserve">020 7344 </w:t>
    </w:r>
    <w:r>
      <w:rPr>
        <w:rFonts w:ascii="Arial" w:hAnsi="Arial" w:cs="Arial"/>
        <w:color w:val="1074CB"/>
        <w:sz w:val="16"/>
        <w:szCs w:val="16"/>
      </w:rPr>
      <w:tab/>
      <w:t>9222</w:t>
    </w:r>
    <w:r>
      <w:rPr>
        <w:rFonts w:ascii="Arial" w:hAnsi="Arial" w:cs="Arial"/>
        <w:color w:val="1074CB"/>
        <w:sz w:val="16"/>
        <w:szCs w:val="16"/>
      </w:rPr>
      <w:tab/>
    </w:r>
    <w:r>
      <w:rPr>
        <w:rFonts w:ascii="Arial" w:hAnsi="Arial" w:cs="Arial"/>
        <w:color w:val="1074CB"/>
        <w:sz w:val="16"/>
        <w:szCs w:val="16"/>
      </w:rPr>
      <w:tab/>
    </w:r>
    <w:hyperlink r:id="rId2" w:history="1">
      <w:r w:rsidRPr="00577AB8">
        <w:rPr>
          <w:rStyle w:val="Hyperlink"/>
          <w:rFonts w:ascii="Arial" w:hAnsi="Arial" w:cs="Arial"/>
          <w:sz w:val="16"/>
          <w:szCs w:val="16"/>
        </w:rPr>
        <w:t>bfoulds@smmt.co.uk</w:t>
      </w:r>
    </w:hyperlink>
    <w:r>
      <w:rPr>
        <w:rFonts w:ascii="Arial" w:hAnsi="Arial" w:cs="Arial"/>
        <w:color w:val="1074CB"/>
        <w:sz w:val="16"/>
        <w:szCs w:val="16"/>
      </w:rPr>
      <w:t xml:space="preserve"> </w:t>
    </w:r>
  </w:p>
  <w:p w:rsidR="00DE0B9A" w:rsidRDefault="00DE0B9A" w:rsidP="00C80E70">
    <w:pPr>
      <w:rPr>
        <w:rFonts w:ascii="Arial" w:hAnsi="Arial" w:cs="Arial"/>
        <w:color w:val="1074CB"/>
        <w:sz w:val="16"/>
        <w:szCs w:val="16"/>
      </w:rPr>
    </w:pPr>
    <w:r>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020 7344 9263</w:t>
    </w:r>
    <w:r>
      <w:rPr>
        <w:rFonts w:ascii="Arial" w:hAnsi="Arial" w:cs="Arial"/>
        <w:color w:val="1074CB"/>
        <w:sz w:val="16"/>
        <w:szCs w:val="16"/>
      </w:rPr>
      <w:tab/>
    </w:r>
    <w:r>
      <w:rPr>
        <w:rFonts w:ascii="Arial" w:hAnsi="Arial" w:cs="Arial"/>
        <w:color w:val="1074CB"/>
        <w:sz w:val="16"/>
        <w:szCs w:val="16"/>
      </w:rPr>
      <w:tab/>
    </w:r>
    <w:hyperlink r:id="rId3" w:history="1">
      <w:r w:rsidRPr="00577AB8">
        <w:rPr>
          <w:rStyle w:val="Hyperlink"/>
          <w:rFonts w:ascii="Arial" w:hAnsi="Arial" w:cs="Arial"/>
          <w:sz w:val="16"/>
          <w:szCs w:val="16"/>
        </w:rPr>
        <w:t>jvisscher@smmt.co.uk</w:t>
      </w:r>
    </w:hyperlink>
    <w:r>
      <w:rPr>
        <w:rFonts w:ascii="Arial" w:hAnsi="Arial" w:cs="Arial"/>
        <w:color w:val="1074CB"/>
        <w:sz w:val="16"/>
        <w:szCs w:val="16"/>
      </w:rPr>
      <w:t xml:space="preserve"> </w:t>
    </w:r>
  </w:p>
  <w:p w:rsidR="00DE0B9A" w:rsidRDefault="00DE0B9A" w:rsidP="00C80E70">
    <w:pPr>
      <w:rPr>
        <w:rFonts w:ascii="Arial" w:hAnsi="Arial" w:cs="Arial"/>
        <w:color w:val="1074CB"/>
        <w:sz w:val="16"/>
        <w:szCs w:val="16"/>
      </w:rPr>
    </w:pPr>
    <w:r>
      <w:rPr>
        <w:rFonts w:ascii="Arial" w:hAnsi="Arial" w:cs="Arial"/>
        <w:color w:val="1074CB"/>
        <w:sz w:val="16"/>
        <w:szCs w:val="16"/>
      </w:rPr>
      <w:t>Keith Lewis</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w:t>
    </w:r>
    <w:r w:rsidRPr="00C80E70">
      <w:rPr>
        <w:rFonts w:ascii="Arial" w:hAnsi="Arial" w:cs="Arial"/>
        <w:color w:val="1074CB"/>
        <w:sz w:val="16"/>
        <w:szCs w:val="16"/>
      </w:rPr>
      <w:t>6</w:t>
    </w:r>
    <w:r w:rsidRPr="00C80E70">
      <w:rPr>
        <w:rFonts w:ascii="Arial" w:hAnsi="Arial" w:cs="Arial"/>
        <w:color w:val="1074CB"/>
        <w:sz w:val="16"/>
        <w:szCs w:val="16"/>
      </w:rPr>
      <w:tab/>
    </w:r>
    <w:r w:rsidRPr="00C80E70">
      <w:rPr>
        <w:rFonts w:ascii="Arial" w:hAnsi="Arial" w:cs="Arial"/>
        <w:color w:val="1074CB"/>
        <w:sz w:val="16"/>
        <w:szCs w:val="16"/>
      </w:rPr>
      <w:tab/>
    </w:r>
    <w:hyperlink r:id="rId4" w:history="1">
      <w:r w:rsidRPr="00C80E70">
        <w:rPr>
          <w:rStyle w:val="Hyperlink"/>
          <w:rFonts w:ascii="Arial" w:hAnsi="Arial" w:cs="Arial"/>
          <w:sz w:val="16"/>
          <w:szCs w:val="16"/>
        </w:rPr>
        <w:t>klewis@smmt.co.uk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3CB" w:rsidRDefault="006103CB" w:rsidP="00C80E70">
      <w:r>
        <w:separator/>
      </w:r>
    </w:p>
  </w:footnote>
  <w:footnote w:type="continuationSeparator" w:id="0">
    <w:p w:rsidR="006103CB" w:rsidRDefault="006103CB"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9A" w:rsidRDefault="00DE0B9A"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C80E70"/>
    <w:rsid w:val="00054E31"/>
    <w:rsid w:val="00066F55"/>
    <w:rsid w:val="000B47D6"/>
    <w:rsid w:val="000C3FDE"/>
    <w:rsid w:val="000E5317"/>
    <w:rsid w:val="00116666"/>
    <w:rsid w:val="00133B87"/>
    <w:rsid w:val="0013617E"/>
    <w:rsid w:val="001737CD"/>
    <w:rsid w:val="00192CE4"/>
    <w:rsid w:val="001A67B5"/>
    <w:rsid w:val="001C389E"/>
    <w:rsid w:val="001D6CB9"/>
    <w:rsid w:val="001E33CE"/>
    <w:rsid w:val="001E428D"/>
    <w:rsid w:val="00200F65"/>
    <w:rsid w:val="0020649D"/>
    <w:rsid w:val="00252DCB"/>
    <w:rsid w:val="00266A9A"/>
    <w:rsid w:val="002A5934"/>
    <w:rsid w:val="002B4F7D"/>
    <w:rsid w:val="002D17AA"/>
    <w:rsid w:val="002F3F25"/>
    <w:rsid w:val="00375DF8"/>
    <w:rsid w:val="003A0F07"/>
    <w:rsid w:val="003B1C39"/>
    <w:rsid w:val="003E69D3"/>
    <w:rsid w:val="00410539"/>
    <w:rsid w:val="00443FDD"/>
    <w:rsid w:val="00447CDA"/>
    <w:rsid w:val="00456EBB"/>
    <w:rsid w:val="0046552A"/>
    <w:rsid w:val="00467D20"/>
    <w:rsid w:val="00472D14"/>
    <w:rsid w:val="00482D22"/>
    <w:rsid w:val="00486897"/>
    <w:rsid w:val="00494E5E"/>
    <w:rsid w:val="004B727E"/>
    <w:rsid w:val="004C6507"/>
    <w:rsid w:val="004D685F"/>
    <w:rsid w:val="00505C8C"/>
    <w:rsid w:val="005218AC"/>
    <w:rsid w:val="005230CA"/>
    <w:rsid w:val="005407A6"/>
    <w:rsid w:val="00542422"/>
    <w:rsid w:val="005534B2"/>
    <w:rsid w:val="0055683E"/>
    <w:rsid w:val="00577A32"/>
    <w:rsid w:val="005926DF"/>
    <w:rsid w:val="005B33EF"/>
    <w:rsid w:val="005B536B"/>
    <w:rsid w:val="005C668F"/>
    <w:rsid w:val="005E2C9D"/>
    <w:rsid w:val="005F44DC"/>
    <w:rsid w:val="0060762E"/>
    <w:rsid w:val="006103CB"/>
    <w:rsid w:val="00614891"/>
    <w:rsid w:val="006315A6"/>
    <w:rsid w:val="00653F42"/>
    <w:rsid w:val="006623D6"/>
    <w:rsid w:val="00686576"/>
    <w:rsid w:val="00696C6A"/>
    <w:rsid w:val="006B4C72"/>
    <w:rsid w:val="006B7F8A"/>
    <w:rsid w:val="006D538E"/>
    <w:rsid w:val="006E5BF9"/>
    <w:rsid w:val="00714EF7"/>
    <w:rsid w:val="00735C0B"/>
    <w:rsid w:val="0073709A"/>
    <w:rsid w:val="007430A2"/>
    <w:rsid w:val="007433FE"/>
    <w:rsid w:val="00750A6C"/>
    <w:rsid w:val="00761183"/>
    <w:rsid w:val="007851A1"/>
    <w:rsid w:val="00787B6E"/>
    <w:rsid w:val="00791C3D"/>
    <w:rsid w:val="007B7669"/>
    <w:rsid w:val="007D36B3"/>
    <w:rsid w:val="008030A3"/>
    <w:rsid w:val="00804C47"/>
    <w:rsid w:val="00806662"/>
    <w:rsid w:val="00870B89"/>
    <w:rsid w:val="008B50CB"/>
    <w:rsid w:val="008E4462"/>
    <w:rsid w:val="008F55A4"/>
    <w:rsid w:val="00924274"/>
    <w:rsid w:val="00931C26"/>
    <w:rsid w:val="00932034"/>
    <w:rsid w:val="00964455"/>
    <w:rsid w:val="0097483C"/>
    <w:rsid w:val="009F5D30"/>
    <w:rsid w:val="00A0520D"/>
    <w:rsid w:val="00A2060E"/>
    <w:rsid w:val="00A24874"/>
    <w:rsid w:val="00A67F90"/>
    <w:rsid w:val="00A72CAD"/>
    <w:rsid w:val="00A773DB"/>
    <w:rsid w:val="00A87CDC"/>
    <w:rsid w:val="00A93DE9"/>
    <w:rsid w:val="00A94474"/>
    <w:rsid w:val="00AA2084"/>
    <w:rsid w:val="00AB33BB"/>
    <w:rsid w:val="00B12E13"/>
    <w:rsid w:val="00B2588D"/>
    <w:rsid w:val="00B36DF8"/>
    <w:rsid w:val="00B40CCD"/>
    <w:rsid w:val="00BC5727"/>
    <w:rsid w:val="00BC7B6B"/>
    <w:rsid w:val="00BF0928"/>
    <w:rsid w:val="00BF4C94"/>
    <w:rsid w:val="00C065D0"/>
    <w:rsid w:val="00C07099"/>
    <w:rsid w:val="00C100C5"/>
    <w:rsid w:val="00C108FE"/>
    <w:rsid w:val="00C657AB"/>
    <w:rsid w:val="00C73F08"/>
    <w:rsid w:val="00C80E70"/>
    <w:rsid w:val="00C83606"/>
    <w:rsid w:val="00CE070B"/>
    <w:rsid w:val="00CE3518"/>
    <w:rsid w:val="00D03902"/>
    <w:rsid w:val="00D446D8"/>
    <w:rsid w:val="00D561FB"/>
    <w:rsid w:val="00D6067E"/>
    <w:rsid w:val="00D6336B"/>
    <w:rsid w:val="00D82F6C"/>
    <w:rsid w:val="00D86627"/>
    <w:rsid w:val="00D911A4"/>
    <w:rsid w:val="00D92B21"/>
    <w:rsid w:val="00DB3140"/>
    <w:rsid w:val="00DB3768"/>
    <w:rsid w:val="00DE0B9A"/>
    <w:rsid w:val="00DE5D6C"/>
    <w:rsid w:val="00DF19D9"/>
    <w:rsid w:val="00E343D2"/>
    <w:rsid w:val="00E634A1"/>
    <w:rsid w:val="00E84E41"/>
    <w:rsid w:val="00EB2FB8"/>
    <w:rsid w:val="00EB5EA2"/>
    <w:rsid w:val="00EC65AF"/>
    <w:rsid w:val="00EF35D8"/>
    <w:rsid w:val="00F205F0"/>
    <w:rsid w:val="00F434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bfoulds@smmt.co.uk" TargetMode="External"/><Relationship Id="rId1" Type="http://schemas.openxmlformats.org/officeDocument/2006/relationships/hyperlink" Target="http://sendgrid.info/wf/click?upn=J6qBPRVgziwoCR2OIJDNfVjbOO-2F8wEwkpwg8EJt-2BUlZAVZJzdnWw9AFm2nVssXGi_cwoBLrI9VivVVYhbIeLtGEKvezXd14DzyxDVWoYv6giB0Dl197y7EwPUNeXTIbXdbK0rrcYqD3u6lEHAgC8FQzbJc7IBnGlF67pKqDVakCSSAvKBNalF7yFt8llnvVQyDJHErLhT7Wo-2B4UjX87Er8XSZmKwrYkC9kxinKW6kHWcXb7md1ITpCd5Qlx0xdrTUrnu7KTr5mIKLY6kYJGp8rLcTelPVq-2FXG9AB7EtsGJyFKPydreDNZ-2BijKthaht6hyOxliwUUQK2E8pDSMOAGr0nis6MqrIFkcMgEIn9YffC1S4QhcnBNIYS2jPMLJTss3iCgFCEzQWFFEUD-2BJsvsjfA-3D-3D" TargetMode="External"/><Relationship Id="rId4" Type="http://schemas.openxmlformats.org/officeDocument/2006/relationships/hyperlink" Target="mailto:klewi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NOV).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NOV).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NOV).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NOV).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Sept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Nov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1002714866827221"/>
          <c:y val="0.13010425780110821"/>
          <c:w val="0.67037481700926105"/>
          <c:h val="0.71952136191309424"/>
        </c:manualLayout>
      </c:layout>
      <c:lineChart>
        <c:grouping val="standard"/>
        <c:ser>
          <c:idx val="0"/>
          <c:order val="0"/>
          <c:tx>
            <c:strRef>
              <c:f>'PR&amp;12MONTHROLL-CHARTS'!$B$4</c:f>
              <c:strCache>
                <c:ptCount val="1"/>
                <c:pt idx="0">
                  <c:v>Total Car</c:v>
                </c:pt>
              </c:strCache>
            </c:strRef>
          </c:tx>
          <c:spPr>
            <a:ln>
              <a:solidFill>
                <a:schemeClr val="tx2">
                  <a:lumMod val="75000"/>
                </a:schemeClr>
              </a:solidFill>
            </a:ln>
          </c:spPr>
          <c:marker>
            <c:symbol val="none"/>
          </c:marker>
          <c:cat>
            <c:strRef>
              <c:f>'PR&amp;12MONTHROLL-CHARTS'!$C$3:$CH$3</c:f>
              <c:strCache>
                <c:ptCount val="73"/>
                <c:pt idx="0">
                  <c:v>'07</c:v>
                </c:pt>
                <c:pt idx="12">
                  <c:v>'08</c:v>
                </c:pt>
                <c:pt idx="24">
                  <c:v>'09</c:v>
                </c:pt>
                <c:pt idx="36">
                  <c:v>'10</c:v>
                </c:pt>
                <c:pt idx="48">
                  <c:v>'11</c:v>
                </c:pt>
                <c:pt idx="60">
                  <c:v>'12</c:v>
                </c:pt>
                <c:pt idx="72">
                  <c:v>'13</c:v>
                </c:pt>
              </c:strCache>
            </c:strRef>
          </c:cat>
          <c:val>
            <c:numRef>
              <c:f>'PR&amp;12MONTHROLL-CHARTS'!$C$4:$CH$4</c:f>
              <c:numCache>
                <c:formatCode>General</c:formatCode>
                <c:ptCount val="84"/>
                <c:pt idx="0">
                  <c:v>1447.1529999999998</c:v>
                </c:pt>
                <c:pt idx="1">
                  <c:v>1431.6109999999999</c:v>
                </c:pt>
                <c:pt idx="2">
                  <c:v>1410.6589999999999</c:v>
                </c:pt>
                <c:pt idx="3">
                  <c:v>1412.5039999999999</c:v>
                </c:pt>
                <c:pt idx="4">
                  <c:v>1408.6849999999993</c:v>
                </c:pt>
                <c:pt idx="5">
                  <c:v>1406.8619999999999</c:v>
                </c:pt>
                <c:pt idx="6">
                  <c:v>1418.768</c:v>
                </c:pt>
                <c:pt idx="7">
                  <c:v>1446.009</c:v>
                </c:pt>
                <c:pt idx="8">
                  <c:v>1462.98</c:v>
                </c:pt>
                <c:pt idx="9">
                  <c:v>1499.0650000000001</c:v>
                </c:pt>
                <c:pt idx="10">
                  <c:v>1516.7380000000001</c:v>
                </c:pt>
                <c:pt idx="11">
                  <c:v>1534.567</c:v>
                </c:pt>
                <c:pt idx="12">
                  <c:v>1559.021</c:v>
                </c:pt>
                <c:pt idx="13">
                  <c:v>1589.1929999999998</c:v>
                </c:pt>
                <c:pt idx="14">
                  <c:v>1578.221</c:v>
                </c:pt>
                <c:pt idx="15">
                  <c:v>1610.53</c:v>
                </c:pt>
                <c:pt idx="16">
                  <c:v>1600.8989999999999</c:v>
                </c:pt>
                <c:pt idx="17">
                  <c:v>1594.8639999999998</c:v>
                </c:pt>
                <c:pt idx="18">
                  <c:v>1596.2080000000001</c:v>
                </c:pt>
                <c:pt idx="19">
                  <c:v>1578.866</c:v>
                </c:pt>
                <c:pt idx="20">
                  <c:v>1582.1889999999999</c:v>
                </c:pt>
                <c:pt idx="21">
                  <c:v>1544.019</c:v>
                </c:pt>
                <c:pt idx="22">
                  <c:v>1495.3869999999999</c:v>
                </c:pt>
                <c:pt idx="23">
                  <c:v>1446.6189999999999</c:v>
                </c:pt>
                <c:pt idx="24">
                  <c:v>1359.3789999999999</c:v>
                </c:pt>
                <c:pt idx="25">
                  <c:v>1273.3329999999999</c:v>
                </c:pt>
                <c:pt idx="26">
                  <c:v>1208.098</c:v>
                </c:pt>
                <c:pt idx="27">
                  <c:v>1123.6299999999999</c:v>
                </c:pt>
                <c:pt idx="28">
                  <c:v>1072.518</c:v>
                </c:pt>
                <c:pt idx="29">
                  <c:v>1032.768</c:v>
                </c:pt>
                <c:pt idx="30">
                  <c:v>1009.3649999999997</c:v>
                </c:pt>
                <c:pt idx="31">
                  <c:v>983.24400000000003</c:v>
                </c:pt>
                <c:pt idx="32">
                  <c:v>960.25400000000002</c:v>
                </c:pt>
                <c:pt idx="33">
                  <c:v>952.62300000000005</c:v>
                </c:pt>
                <c:pt idx="34">
                  <c:v>967.96699999999964</c:v>
                </c:pt>
                <c:pt idx="35">
                  <c:v>999.4599999999997</c:v>
                </c:pt>
                <c:pt idx="36">
                  <c:v>1039.2460000000001</c:v>
                </c:pt>
                <c:pt idx="37">
                  <c:v>1076.7239999999999</c:v>
                </c:pt>
                <c:pt idx="38">
                  <c:v>1132.5170000000001</c:v>
                </c:pt>
                <c:pt idx="39">
                  <c:v>1162.549</c:v>
                </c:pt>
                <c:pt idx="40">
                  <c:v>1199.1599999999999</c:v>
                </c:pt>
                <c:pt idx="41">
                  <c:v>1225.3799999999999</c:v>
                </c:pt>
                <c:pt idx="42">
                  <c:v>1214.5050000000001</c:v>
                </c:pt>
                <c:pt idx="43">
                  <c:v>1235.6499999999999</c:v>
                </c:pt>
                <c:pt idx="44">
                  <c:v>1242.5819999999999</c:v>
                </c:pt>
                <c:pt idx="45">
                  <c:v>1248.953</c:v>
                </c:pt>
                <c:pt idx="46">
                  <c:v>1261.4349999999999</c:v>
                </c:pt>
                <c:pt idx="47">
                  <c:v>1270.444</c:v>
                </c:pt>
                <c:pt idx="48">
                  <c:v>1279.4490000000001</c:v>
                </c:pt>
                <c:pt idx="49">
                  <c:v>1294.1769999999999</c:v>
                </c:pt>
                <c:pt idx="50">
                  <c:v>1311.607</c:v>
                </c:pt>
                <c:pt idx="51">
                  <c:v>1299.6229999999998</c:v>
                </c:pt>
                <c:pt idx="52">
                  <c:v>1294.538</c:v>
                </c:pt>
                <c:pt idx="53">
                  <c:v>1296.636</c:v>
                </c:pt>
                <c:pt idx="54">
                  <c:v>1297.9290000000001</c:v>
                </c:pt>
                <c:pt idx="55">
                  <c:v>1306.297</c:v>
                </c:pt>
                <c:pt idx="56">
                  <c:v>1315.8</c:v>
                </c:pt>
                <c:pt idx="57">
                  <c:v>1331.6559999999999</c:v>
                </c:pt>
                <c:pt idx="58">
                  <c:v>1342.337</c:v>
                </c:pt>
                <c:pt idx="59">
                  <c:v>1343.81</c:v>
                </c:pt>
                <c:pt idx="60">
                  <c:v>1361.165</c:v>
                </c:pt>
                <c:pt idx="61">
                  <c:v>1387.665</c:v>
                </c:pt>
                <c:pt idx="62">
                  <c:v>1388.0050000000001</c:v>
                </c:pt>
                <c:pt idx="63">
                  <c:v>1396.0509999999999</c:v>
                </c:pt>
                <c:pt idx="64">
                  <c:v>1437.9170000000001</c:v>
                </c:pt>
                <c:pt idx="65">
                  <c:v>1437.0739999999998</c:v>
                </c:pt>
                <c:pt idx="66">
                  <c:v>1459.3709999999999</c:v>
                </c:pt>
                <c:pt idx="67">
                  <c:v>1451.6979999999999</c:v>
                </c:pt>
                <c:pt idx="68">
                  <c:v>1443.876</c:v>
                </c:pt>
                <c:pt idx="69">
                  <c:v>1452.25</c:v>
                </c:pt>
                <c:pt idx="70">
                  <c:v>1458.9639999999999</c:v>
                </c:pt>
                <c:pt idx="71">
                  <c:v>1464.9060000000006</c:v>
                </c:pt>
                <c:pt idx="72">
                  <c:v>1466.4050000000007</c:v>
                </c:pt>
                <c:pt idx="73">
                  <c:v>1465.3799999999999</c:v>
                </c:pt>
                <c:pt idx="74">
                  <c:v>1456.8969999999999</c:v>
                </c:pt>
                <c:pt idx="75">
                  <c:v>1472.578</c:v>
                </c:pt>
                <c:pt idx="76">
                  <c:v>1460.787</c:v>
                </c:pt>
                <c:pt idx="77">
                  <c:v>1473.1799999999998</c:v>
                </c:pt>
                <c:pt idx="78">
                  <c:v>1481.6619999999998</c:v>
                </c:pt>
                <c:pt idx="79">
                  <c:v>1494.367</c:v>
                </c:pt>
                <c:pt idx="80">
                  <c:v>1507.0939999999998</c:v>
                </c:pt>
                <c:pt idx="81">
                  <c:v>1530.9639999999999</c:v>
                </c:pt>
                <c:pt idx="82">
                  <c:v>1525.7629999999999</c:v>
                </c:pt>
              </c:numCache>
            </c:numRef>
          </c:val>
        </c:ser>
        <c:ser>
          <c:idx val="1"/>
          <c:order val="1"/>
          <c:tx>
            <c:strRef>
              <c:f>'PR&amp;12MONTHROLL-CHARTS'!$B$5</c:f>
              <c:strCache>
                <c:ptCount val="1"/>
                <c:pt idx="0">
                  <c:v>Car Exports</c:v>
                </c:pt>
              </c:strCache>
            </c:strRef>
          </c:tx>
          <c:spPr>
            <a:ln>
              <a:solidFill>
                <a:schemeClr val="tx2">
                  <a:lumMod val="40000"/>
                  <a:lumOff val="60000"/>
                </a:schemeClr>
              </a:solidFill>
            </a:ln>
          </c:spPr>
          <c:marker>
            <c:symbol val="none"/>
          </c:marker>
          <c:cat>
            <c:strRef>
              <c:f>'PR&amp;12MONTHROLL-CHARTS'!$C$3:$CH$3</c:f>
              <c:strCache>
                <c:ptCount val="73"/>
                <c:pt idx="0">
                  <c:v>'07</c:v>
                </c:pt>
                <c:pt idx="12">
                  <c:v>'08</c:v>
                </c:pt>
                <c:pt idx="24">
                  <c:v>'09</c:v>
                </c:pt>
                <c:pt idx="36">
                  <c:v>'10</c:v>
                </c:pt>
                <c:pt idx="48">
                  <c:v>'11</c:v>
                </c:pt>
                <c:pt idx="60">
                  <c:v>'12</c:v>
                </c:pt>
                <c:pt idx="72">
                  <c:v>'13</c:v>
                </c:pt>
              </c:strCache>
            </c:strRef>
          </c:cat>
          <c:val>
            <c:numRef>
              <c:f>'PR&amp;12MONTHROLL-CHARTS'!$C$5:$CH$5</c:f>
              <c:numCache>
                <c:formatCode>General</c:formatCode>
                <c:ptCount val="84"/>
                <c:pt idx="0">
                  <c:v>1114.518</c:v>
                </c:pt>
                <c:pt idx="1">
                  <c:v>1104.2639999999999</c:v>
                </c:pt>
                <c:pt idx="2">
                  <c:v>1084.7049999999999</c:v>
                </c:pt>
                <c:pt idx="3">
                  <c:v>1084.068</c:v>
                </c:pt>
                <c:pt idx="4">
                  <c:v>1081.6789999999999</c:v>
                </c:pt>
                <c:pt idx="5">
                  <c:v>1083.6509999999998</c:v>
                </c:pt>
                <c:pt idx="6">
                  <c:v>1093.01</c:v>
                </c:pt>
                <c:pt idx="7">
                  <c:v>1110.5709999999999</c:v>
                </c:pt>
                <c:pt idx="8">
                  <c:v>1122.7260000000001</c:v>
                </c:pt>
                <c:pt idx="9">
                  <c:v>1151.279</c:v>
                </c:pt>
                <c:pt idx="10">
                  <c:v>1167.6849999999993</c:v>
                </c:pt>
                <c:pt idx="11">
                  <c:v>1185.4590000000001</c:v>
                </c:pt>
                <c:pt idx="12">
                  <c:v>1202.5839999999998</c:v>
                </c:pt>
                <c:pt idx="13">
                  <c:v>1228.625</c:v>
                </c:pt>
                <c:pt idx="14">
                  <c:v>1226.4100000000001</c:v>
                </c:pt>
                <c:pt idx="15">
                  <c:v>1252.585</c:v>
                </c:pt>
                <c:pt idx="16">
                  <c:v>1242.4749999999999</c:v>
                </c:pt>
                <c:pt idx="17">
                  <c:v>1234.6959999999999</c:v>
                </c:pt>
                <c:pt idx="18">
                  <c:v>1234.9680000000001</c:v>
                </c:pt>
                <c:pt idx="19">
                  <c:v>1225.3579999999999</c:v>
                </c:pt>
                <c:pt idx="20">
                  <c:v>1231.2439999999999</c:v>
                </c:pt>
                <c:pt idx="21">
                  <c:v>1201.3009999999999</c:v>
                </c:pt>
                <c:pt idx="22">
                  <c:v>1165.7170000000001</c:v>
                </c:pt>
                <c:pt idx="23">
                  <c:v>1128.586</c:v>
                </c:pt>
                <c:pt idx="24">
                  <c:v>1067.8409999999999</c:v>
                </c:pt>
                <c:pt idx="25">
                  <c:v>1003.4599999999997</c:v>
                </c:pt>
                <c:pt idx="26">
                  <c:v>951.97</c:v>
                </c:pt>
                <c:pt idx="27">
                  <c:v>887.52599999999961</c:v>
                </c:pt>
                <c:pt idx="28">
                  <c:v>848.56499999999971</c:v>
                </c:pt>
                <c:pt idx="29">
                  <c:v>819.971</c:v>
                </c:pt>
                <c:pt idx="30">
                  <c:v>801.24800000000005</c:v>
                </c:pt>
                <c:pt idx="31">
                  <c:v>778.755</c:v>
                </c:pt>
                <c:pt idx="32">
                  <c:v>743.75099999999998</c:v>
                </c:pt>
                <c:pt idx="33">
                  <c:v>737.0359999999996</c:v>
                </c:pt>
                <c:pt idx="34">
                  <c:v>742.12099999999998</c:v>
                </c:pt>
                <c:pt idx="35">
                  <c:v>762.23400000000004</c:v>
                </c:pt>
                <c:pt idx="36">
                  <c:v>784.01499999999999</c:v>
                </c:pt>
                <c:pt idx="37">
                  <c:v>807.88</c:v>
                </c:pt>
                <c:pt idx="38">
                  <c:v>846.79900000000032</c:v>
                </c:pt>
                <c:pt idx="39">
                  <c:v>862.95899999999961</c:v>
                </c:pt>
                <c:pt idx="40">
                  <c:v>883.37900000000002</c:v>
                </c:pt>
                <c:pt idx="41">
                  <c:v>895.63599999999997</c:v>
                </c:pt>
                <c:pt idx="42">
                  <c:v>886.52199999999971</c:v>
                </c:pt>
                <c:pt idx="43">
                  <c:v>905.9629999999994</c:v>
                </c:pt>
                <c:pt idx="44">
                  <c:v>922.69299999999998</c:v>
                </c:pt>
                <c:pt idx="45">
                  <c:v>928.33599999999967</c:v>
                </c:pt>
                <c:pt idx="46">
                  <c:v>946.99900000000002</c:v>
                </c:pt>
                <c:pt idx="47">
                  <c:v>961.42</c:v>
                </c:pt>
                <c:pt idx="48">
                  <c:v>982.45899999999961</c:v>
                </c:pt>
                <c:pt idx="49">
                  <c:v>1005.0119999999996</c:v>
                </c:pt>
                <c:pt idx="50">
                  <c:v>1029.3819999999998</c:v>
                </c:pt>
                <c:pt idx="51">
                  <c:v>1030.5829999999999</c:v>
                </c:pt>
                <c:pt idx="52">
                  <c:v>1038.749</c:v>
                </c:pt>
                <c:pt idx="53">
                  <c:v>1051.087</c:v>
                </c:pt>
                <c:pt idx="54">
                  <c:v>1062.3429999999998</c:v>
                </c:pt>
                <c:pt idx="55">
                  <c:v>1072.626</c:v>
                </c:pt>
                <c:pt idx="56">
                  <c:v>1092.9190000000001</c:v>
                </c:pt>
                <c:pt idx="57">
                  <c:v>1111.2160000000001</c:v>
                </c:pt>
                <c:pt idx="58">
                  <c:v>1124.2280000000001</c:v>
                </c:pt>
                <c:pt idx="59">
                  <c:v>1124.6759999999999</c:v>
                </c:pt>
                <c:pt idx="60">
                  <c:v>1136.7739999999999</c:v>
                </c:pt>
                <c:pt idx="61">
                  <c:v>1156.9939999999999</c:v>
                </c:pt>
                <c:pt idx="62">
                  <c:v>1154.95</c:v>
                </c:pt>
                <c:pt idx="63">
                  <c:v>1162.258</c:v>
                </c:pt>
                <c:pt idx="64">
                  <c:v>1199.8119999999999</c:v>
                </c:pt>
                <c:pt idx="65">
                  <c:v>1199.9050000000007</c:v>
                </c:pt>
                <c:pt idx="66">
                  <c:v>1217.319</c:v>
                </c:pt>
                <c:pt idx="67">
                  <c:v>1211.8429999999998</c:v>
                </c:pt>
                <c:pt idx="68">
                  <c:v>1201.8609999999999</c:v>
                </c:pt>
                <c:pt idx="69">
                  <c:v>1207.1529999999998</c:v>
                </c:pt>
                <c:pt idx="70">
                  <c:v>1208.6089999999999</c:v>
                </c:pt>
                <c:pt idx="71">
                  <c:v>1211.788</c:v>
                </c:pt>
                <c:pt idx="72">
                  <c:v>1207.7360000000001</c:v>
                </c:pt>
                <c:pt idx="73">
                  <c:v>1196.6879999999999</c:v>
                </c:pt>
                <c:pt idx="74">
                  <c:v>1187.8029999999999</c:v>
                </c:pt>
                <c:pt idx="75">
                  <c:v>1194.6219999999998</c:v>
                </c:pt>
                <c:pt idx="76">
                  <c:v>1179.846</c:v>
                </c:pt>
                <c:pt idx="77">
                  <c:v>1188.1099999999999</c:v>
                </c:pt>
                <c:pt idx="78">
                  <c:v>1188.7139999999999</c:v>
                </c:pt>
                <c:pt idx="79">
                  <c:v>1197.886</c:v>
                </c:pt>
                <c:pt idx="80">
                  <c:v>1207.481</c:v>
                </c:pt>
                <c:pt idx="81">
                  <c:v>1220.845</c:v>
                </c:pt>
                <c:pt idx="82">
                  <c:v>1215.452</c:v>
                </c:pt>
              </c:numCache>
            </c:numRef>
          </c:val>
        </c:ser>
        <c:marker val="1"/>
        <c:axId val="73548160"/>
        <c:axId val="73549696"/>
      </c:lineChart>
      <c:catAx>
        <c:axId val="73548160"/>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73549696"/>
        <c:crosses val="autoZero"/>
        <c:auto val="1"/>
        <c:lblAlgn val="ctr"/>
        <c:lblOffset val="100"/>
        <c:tickMarkSkip val="12"/>
      </c:catAx>
      <c:valAx>
        <c:axId val="73549696"/>
        <c:scaling>
          <c:orientation val="minMax"/>
          <c:max val="1750"/>
          <c:min val="500"/>
        </c:scaling>
        <c:axPos val="l"/>
        <c:majorGridlines/>
        <c:title>
          <c:tx>
            <c:rich>
              <a:bodyPr/>
              <a:lstStyle/>
              <a:p>
                <a:pPr>
                  <a:defRPr sz="1000" b="0" i="0" u="none" strike="noStrike" baseline="0">
                    <a:solidFill>
                      <a:srgbClr val="000000"/>
                    </a:solidFill>
                    <a:latin typeface="Arial"/>
                    <a:ea typeface="Arial"/>
                    <a:cs typeface="Arial"/>
                  </a:defRPr>
                </a:pPr>
                <a:r>
                  <a:rPr lang="en-GB" sz="1000"/>
                  <a:t>Millions</a:t>
                </a:r>
              </a:p>
            </c:rich>
          </c:tx>
        </c:title>
        <c:numFmt formatCode="#,##0.0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73548160"/>
        <c:crosses val="autoZero"/>
        <c:crossBetween val="between"/>
        <c:majorUnit val="250"/>
        <c:dispUnits>
          <c:builtInUnit val="thousands"/>
        </c:dispUnits>
      </c:valAx>
    </c:plotArea>
    <c:legend>
      <c:legendPos val="r"/>
      <c:layout>
        <c:manualLayout>
          <c:xMode val="edge"/>
          <c:yMode val="edge"/>
          <c:x val="4.620462046204625E-2"/>
          <c:y val="3.5714285714285739E-3"/>
          <c:w val="0.93729684779501554"/>
          <c:h val="0.1"/>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8286353259097093"/>
          <c:y val="5.3619302949061684E-2"/>
          <c:w val="0.72048424420320245"/>
          <c:h val="0.83485831378328323"/>
        </c:manualLayout>
      </c:layout>
      <c:barChart>
        <c:barDir val="col"/>
        <c:grouping val="clustered"/>
        <c:ser>
          <c:idx val="0"/>
          <c:order val="0"/>
          <c:tx>
            <c:strRef>
              <c:f>'PR chart 2 A'!$B$52</c:f>
              <c:strCache>
                <c:ptCount val="1"/>
                <c:pt idx="0">
                  <c:v>Cars</c:v>
                </c:pt>
              </c:strCache>
            </c:strRef>
          </c:tx>
          <c:spPr>
            <a:solidFill>
              <a:schemeClr val="tx2">
                <a:lumMod val="40000"/>
                <a:lumOff val="60000"/>
              </a:schemeClr>
            </a:solidFill>
            <a:ln>
              <a:solidFill>
                <a:prstClr val="black"/>
              </a:solidFill>
            </a:ln>
          </c:spPr>
          <c:cat>
            <c:strRef>
              <c:f>'PR chart 2 A'!$C$51:$E$51</c:f>
              <c:strCache>
                <c:ptCount val="3"/>
                <c:pt idx="0">
                  <c:v>'11</c:v>
                </c:pt>
                <c:pt idx="1">
                  <c:v>'12</c:v>
                </c:pt>
                <c:pt idx="2">
                  <c:v>'13</c:v>
                </c:pt>
              </c:strCache>
            </c:strRef>
          </c:cat>
          <c:val>
            <c:numRef>
              <c:f>'PR chart 2 A'!$C$52:$E$52</c:f>
              <c:numCache>
                <c:formatCode>General</c:formatCode>
                <c:ptCount val="3"/>
                <c:pt idx="0">
                  <c:v>1248012</c:v>
                </c:pt>
                <c:pt idx="1">
                  <c:v>1363166</c:v>
                </c:pt>
                <c:pt idx="2">
                  <c:v>1424023</c:v>
                </c:pt>
              </c:numCache>
            </c:numRef>
          </c:val>
        </c:ser>
        <c:gapWidth val="48"/>
        <c:axId val="73578368"/>
        <c:axId val="73579904"/>
      </c:barChart>
      <c:catAx>
        <c:axId val="73578368"/>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73579904"/>
        <c:crosses val="autoZero"/>
        <c:auto val="1"/>
        <c:lblAlgn val="ctr"/>
        <c:lblOffset val="100"/>
      </c:catAx>
      <c:valAx>
        <c:axId val="73579904"/>
        <c:scaling>
          <c:orientation val="minMax"/>
          <c:max val="1500000"/>
          <c:min val="1000000"/>
        </c:scaling>
        <c:axPos val="l"/>
        <c:majorGridlines/>
        <c:numFmt formatCode="#,##0.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73578368"/>
        <c:crosses val="autoZero"/>
        <c:crossBetween val="between"/>
        <c:majorUnit val="100000"/>
        <c:dispUnits>
          <c:builtInUnit val="millions"/>
          <c:dispUnitsLbl>
            <c:layout>
              <c:manualLayout>
                <c:xMode val="edge"/>
                <c:yMode val="edge"/>
                <c:x val="4.9772443507922108E-4"/>
                <c:y val="0.37916002883154226"/>
              </c:manualLayout>
            </c:layout>
            <c:txPr>
              <a:bodyPr rot="-5400000" vert="horz"/>
              <a:lstStyle/>
              <a:p>
                <a:pPr algn="ctr">
                  <a:defRPr sz="1000" b="0" i="0" u="none" strike="noStrike" baseline="0">
                    <a:solidFill>
                      <a:srgbClr val="000000"/>
                    </a:solidFill>
                    <a:latin typeface="Arial"/>
                    <a:ea typeface="Arial"/>
                    <a:cs typeface="Arial"/>
                  </a:defRPr>
                </a:pPr>
                <a:endParaRPr lang="en-US"/>
              </a:p>
            </c:txPr>
          </c:dispUnitsLbl>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971705892546492"/>
          <c:y val="5.3619335285764458E-2"/>
          <c:w val="0.71119744493291159"/>
          <c:h val="0.85915257576717119"/>
        </c:manualLayout>
      </c:layout>
      <c:barChart>
        <c:barDir val="col"/>
        <c:grouping val="clustered"/>
        <c:ser>
          <c:idx val="0"/>
          <c:order val="0"/>
          <c:tx>
            <c:strRef>
              <c:f>'PR chart 2 A'!$I$52</c:f>
              <c:strCache>
                <c:ptCount val="1"/>
                <c:pt idx="0">
                  <c:v>CVs</c:v>
                </c:pt>
              </c:strCache>
            </c:strRef>
          </c:tx>
          <c:spPr>
            <a:solidFill>
              <a:schemeClr val="tx2">
                <a:lumMod val="40000"/>
                <a:lumOff val="60000"/>
              </a:schemeClr>
            </a:solidFill>
            <a:ln>
              <a:solidFill>
                <a:prstClr val="black"/>
              </a:solidFill>
            </a:ln>
          </c:spPr>
          <c:cat>
            <c:strRef>
              <c:f>'PR chart 2 A'!$J$51:$L$51</c:f>
              <c:strCache>
                <c:ptCount val="3"/>
                <c:pt idx="0">
                  <c:v>'11</c:v>
                </c:pt>
                <c:pt idx="1">
                  <c:v>'12</c:v>
                </c:pt>
                <c:pt idx="2">
                  <c:v>'13</c:v>
                </c:pt>
              </c:strCache>
            </c:strRef>
          </c:cat>
          <c:val>
            <c:numRef>
              <c:f>'PR chart 2 A'!$J$52:$L$52</c:f>
              <c:numCache>
                <c:formatCode>General</c:formatCode>
                <c:ptCount val="3"/>
                <c:pt idx="0">
                  <c:v>111743</c:v>
                </c:pt>
                <c:pt idx="1">
                  <c:v>105188</c:v>
                </c:pt>
                <c:pt idx="2">
                  <c:v>82535</c:v>
                </c:pt>
              </c:numCache>
            </c:numRef>
          </c:val>
        </c:ser>
        <c:gapWidth val="48"/>
        <c:axId val="73726208"/>
        <c:axId val="73408512"/>
      </c:barChart>
      <c:catAx>
        <c:axId val="73726208"/>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73408512"/>
        <c:crosses val="autoZero"/>
        <c:auto val="1"/>
        <c:lblAlgn val="ctr"/>
        <c:lblOffset val="100"/>
      </c:catAx>
      <c:valAx>
        <c:axId val="73408512"/>
        <c:scaling>
          <c:orientation val="minMax"/>
          <c:max val="120000"/>
          <c:min val="70000"/>
        </c:scaling>
        <c:axPos val="l"/>
        <c:majorGridlines/>
        <c:numFmt formatCode="#,##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73726208"/>
        <c:crosses val="autoZero"/>
        <c:crossBetween val="between"/>
        <c:majorUnit val="10000"/>
        <c:dispUnits>
          <c:builtInUnit val="thousands"/>
          <c:dispUnitsLbl>
            <c:layout>
              <c:manualLayout>
                <c:xMode val="edge"/>
                <c:yMode val="edge"/>
                <c:x val="0"/>
                <c:y val="0.3506637965543315"/>
              </c:manualLayout>
            </c:layout>
            <c:txPr>
              <a:bodyPr rot="-5400000" vert="horz"/>
              <a:lstStyle/>
              <a:p>
                <a:pPr algn="ctr">
                  <a:defRPr sz="1000" b="0" i="0" u="none" strike="noStrike" baseline="0">
                    <a:solidFill>
                      <a:srgbClr val="000000"/>
                    </a:solidFill>
                    <a:latin typeface="Arial"/>
                    <a:ea typeface="Arial"/>
                    <a:cs typeface="Arial"/>
                  </a:defRPr>
                </a:pPr>
                <a:endParaRPr lang="en-US"/>
              </a:p>
            </c:txPr>
          </c:dispUnitsLbl>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7543890170102425"/>
          <c:y val="0.12559250124877319"/>
          <c:w val="0.73320605255668492"/>
          <c:h val="0.71952136191309424"/>
        </c:manualLayout>
      </c:layout>
      <c:lineChart>
        <c:grouping val="standard"/>
        <c:ser>
          <c:idx val="0"/>
          <c:order val="0"/>
          <c:tx>
            <c:strRef>
              <c:f>'PR&amp;12MONTHROLL-CHARTS'!$B$9</c:f>
              <c:strCache>
                <c:ptCount val="1"/>
                <c:pt idx="0">
                  <c:v>Total CV</c:v>
                </c:pt>
              </c:strCache>
            </c:strRef>
          </c:tx>
          <c:spPr>
            <a:ln>
              <a:solidFill>
                <a:schemeClr val="tx2">
                  <a:lumMod val="75000"/>
                </a:schemeClr>
              </a:solidFill>
            </a:ln>
          </c:spPr>
          <c:marker>
            <c:symbol val="none"/>
          </c:marker>
          <c:cat>
            <c:strRef>
              <c:f>'PR&amp;12MONTHROLL-CHARTS'!$C$8:$CH$8</c:f>
              <c:strCache>
                <c:ptCount val="73"/>
                <c:pt idx="0">
                  <c:v>'07</c:v>
                </c:pt>
                <c:pt idx="12">
                  <c:v>'08</c:v>
                </c:pt>
                <c:pt idx="24">
                  <c:v>'09</c:v>
                </c:pt>
                <c:pt idx="36">
                  <c:v>'10</c:v>
                </c:pt>
                <c:pt idx="48">
                  <c:v>'11</c:v>
                </c:pt>
                <c:pt idx="60">
                  <c:v>'12</c:v>
                </c:pt>
                <c:pt idx="72">
                  <c:v>'13</c:v>
                </c:pt>
              </c:strCache>
            </c:strRef>
          </c:cat>
          <c:val>
            <c:numRef>
              <c:f>'PR&amp;12MONTHROLL-CHARTS'!$C$9:$CH$9</c:f>
              <c:numCache>
                <c:formatCode>General</c:formatCode>
                <c:ptCount val="84"/>
                <c:pt idx="0">
                  <c:v>209.13800000000001</c:v>
                </c:pt>
                <c:pt idx="1">
                  <c:v>208.41499999999999</c:v>
                </c:pt>
                <c:pt idx="2">
                  <c:v>207.38600000000028</c:v>
                </c:pt>
                <c:pt idx="3">
                  <c:v>207.62</c:v>
                </c:pt>
                <c:pt idx="4">
                  <c:v>209.48000000000027</c:v>
                </c:pt>
                <c:pt idx="5">
                  <c:v>211.53300000000002</c:v>
                </c:pt>
                <c:pt idx="6">
                  <c:v>210.2</c:v>
                </c:pt>
                <c:pt idx="7">
                  <c:v>214.48400000000001</c:v>
                </c:pt>
                <c:pt idx="8">
                  <c:v>213.006</c:v>
                </c:pt>
                <c:pt idx="9">
                  <c:v>215.35300000000001</c:v>
                </c:pt>
                <c:pt idx="10">
                  <c:v>216.12300000000002</c:v>
                </c:pt>
                <c:pt idx="11">
                  <c:v>215.68600000000001</c:v>
                </c:pt>
                <c:pt idx="12">
                  <c:v>216.93200000000004</c:v>
                </c:pt>
                <c:pt idx="13">
                  <c:v>220.09</c:v>
                </c:pt>
                <c:pt idx="14">
                  <c:v>218.60499999999999</c:v>
                </c:pt>
                <c:pt idx="15">
                  <c:v>224.066</c:v>
                </c:pt>
                <c:pt idx="16">
                  <c:v>224.81300000000002</c:v>
                </c:pt>
                <c:pt idx="17">
                  <c:v>227.24299999999999</c:v>
                </c:pt>
                <c:pt idx="18">
                  <c:v>234.255</c:v>
                </c:pt>
                <c:pt idx="19">
                  <c:v>230.57900000000001</c:v>
                </c:pt>
                <c:pt idx="20">
                  <c:v>231.30100000000004</c:v>
                </c:pt>
                <c:pt idx="21">
                  <c:v>222.191</c:v>
                </c:pt>
                <c:pt idx="22">
                  <c:v>211.12800000000001</c:v>
                </c:pt>
                <c:pt idx="23">
                  <c:v>202.89600000000004</c:v>
                </c:pt>
                <c:pt idx="24">
                  <c:v>190.40700000000001</c:v>
                </c:pt>
                <c:pt idx="25">
                  <c:v>175.62800000000001</c:v>
                </c:pt>
                <c:pt idx="26">
                  <c:v>164.89700000000028</c:v>
                </c:pt>
                <c:pt idx="27">
                  <c:v>150.56800000000001</c:v>
                </c:pt>
                <c:pt idx="28">
                  <c:v>137.55800000000028</c:v>
                </c:pt>
                <c:pt idx="29">
                  <c:v>124.563</c:v>
                </c:pt>
                <c:pt idx="30">
                  <c:v>112.142</c:v>
                </c:pt>
                <c:pt idx="31">
                  <c:v>107.607</c:v>
                </c:pt>
                <c:pt idx="32">
                  <c:v>96.647999999999996</c:v>
                </c:pt>
                <c:pt idx="33">
                  <c:v>91.477000000000004</c:v>
                </c:pt>
                <c:pt idx="34">
                  <c:v>89.697999999999993</c:v>
                </c:pt>
                <c:pt idx="35">
                  <c:v>90.678999999999988</c:v>
                </c:pt>
                <c:pt idx="36">
                  <c:v>91.483999999999995</c:v>
                </c:pt>
                <c:pt idx="37">
                  <c:v>95.84</c:v>
                </c:pt>
                <c:pt idx="38">
                  <c:v>100.812</c:v>
                </c:pt>
                <c:pt idx="39">
                  <c:v>103.93400000000014</c:v>
                </c:pt>
                <c:pt idx="40">
                  <c:v>109.98699999999999</c:v>
                </c:pt>
                <c:pt idx="41">
                  <c:v>112.111</c:v>
                </c:pt>
                <c:pt idx="42">
                  <c:v>113.232</c:v>
                </c:pt>
                <c:pt idx="43">
                  <c:v>114.29600000000002</c:v>
                </c:pt>
                <c:pt idx="44">
                  <c:v>115.91900000000012</c:v>
                </c:pt>
                <c:pt idx="45">
                  <c:v>119.65799999999999</c:v>
                </c:pt>
                <c:pt idx="46">
                  <c:v>121.60799999999999</c:v>
                </c:pt>
                <c:pt idx="47">
                  <c:v>123.01900000000002</c:v>
                </c:pt>
                <c:pt idx="48">
                  <c:v>123.83</c:v>
                </c:pt>
                <c:pt idx="49">
                  <c:v>123.527</c:v>
                </c:pt>
                <c:pt idx="50">
                  <c:v>122.748</c:v>
                </c:pt>
                <c:pt idx="51">
                  <c:v>120.604</c:v>
                </c:pt>
                <c:pt idx="52">
                  <c:v>120.06399999999999</c:v>
                </c:pt>
                <c:pt idx="53">
                  <c:v>119.833</c:v>
                </c:pt>
                <c:pt idx="54">
                  <c:v>119.26300000000002</c:v>
                </c:pt>
                <c:pt idx="55">
                  <c:v>119.81100000000002</c:v>
                </c:pt>
                <c:pt idx="56">
                  <c:v>120.518</c:v>
                </c:pt>
                <c:pt idx="57">
                  <c:v>120.181</c:v>
                </c:pt>
                <c:pt idx="58">
                  <c:v>120.425</c:v>
                </c:pt>
                <c:pt idx="59">
                  <c:v>120.18899999999998</c:v>
                </c:pt>
                <c:pt idx="60">
                  <c:v>120.066</c:v>
                </c:pt>
                <c:pt idx="61">
                  <c:v>119.798</c:v>
                </c:pt>
                <c:pt idx="62">
                  <c:v>117.40300000000002</c:v>
                </c:pt>
                <c:pt idx="63">
                  <c:v>117.68300000000001</c:v>
                </c:pt>
                <c:pt idx="64">
                  <c:v>116.923</c:v>
                </c:pt>
                <c:pt idx="65">
                  <c:v>114.86499999999999</c:v>
                </c:pt>
                <c:pt idx="66">
                  <c:v>114.742</c:v>
                </c:pt>
                <c:pt idx="67">
                  <c:v>115.91700000000014</c:v>
                </c:pt>
                <c:pt idx="68">
                  <c:v>113.47799999999999</c:v>
                </c:pt>
                <c:pt idx="69">
                  <c:v>114.04</c:v>
                </c:pt>
                <c:pt idx="70">
                  <c:v>113.634</c:v>
                </c:pt>
                <c:pt idx="71">
                  <c:v>112.039</c:v>
                </c:pt>
                <c:pt idx="72">
                  <c:v>110.01700000000002</c:v>
                </c:pt>
                <c:pt idx="73">
                  <c:v>108.367</c:v>
                </c:pt>
                <c:pt idx="74">
                  <c:v>106.52200000000001</c:v>
                </c:pt>
                <c:pt idx="75">
                  <c:v>106.232</c:v>
                </c:pt>
                <c:pt idx="76">
                  <c:v>104.34699999999999</c:v>
                </c:pt>
                <c:pt idx="77">
                  <c:v>104.46000000000002</c:v>
                </c:pt>
                <c:pt idx="78">
                  <c:v>103.89100000000002</c:v>
                </c:pt>
                <c:pt idx="79">
                  <c:v>99.977000000000004</c:v>
                </c:pt>
                <c:pt idx="80">
                  <c:v>97.332999999999998</c:v>
                </c:pt>
                <c:pt idx="81">
                  <c:v>93.308999999999983</c:v>
                </c:pt>
                <c:pt idx="82">
                  <c:v>89.385999999999981</c:v>
                </c:pt>
              </c:numCache>
            </c:numRef>
          </c:val>
        </c:ser>
        <c:ser>
          <c:idx val="1"/>
          <c:order val="1"/>
          <c:tx>
            <c:strRef>
              <c:f>'PR&amp;12MONTHROLL-CHARTS'!$B$10</c:f>
              <c:strCache>
                <c:ptCount val="1"/>
                <c:pt idx="0">
                  <c:v>CV Exports</c:v>
                </c:pt>
              </c:strCache>
            </c:strRef>
          </c:tx>
          <c:spPr>
            <a:ln>
              <a:solidFill>
                <a:schemeClr val="tx2">
                  <a:lumMod val="40000"/>
                  <a:lumOff val="60000"/>
                </a:schemeClr>
              </a:solidFill>
            </a:ln>
          </c:spPr>
          <c:marker>
            <c:symbol val="none"/>
          </c:marker>
          <c:cat>
            <c:strRef>
              <c:f>'PR&amp;12MONTHROLL-CHARTS'!$C$8:$CH$8</c:f>
              <c:strCache>
                <c:ptCount val="73"/>
                <c:pt idx="0">
                  <c:v>'07</c:v>
                </c:pt>
                <c:pt idx="12">
                  <c:v>'08</c:v>
                </c:pt>
                <c:pt idx="24">
                  <c:v>'09</c:v>
                </c:pt>
                <c:pt idx="36">
                  <c:v>'10</c:v>
                </c:pt>
                <c:pt idx="48">
                  <c:v>'11</c:v>
                </c:pt>
                <c:pt idx="60">
                  <c:v>'12</c:v>
                </c:pt>
                <c:pt idx="72">
                  <c:v>'13</c:v>
                </c:pt>
              </c:strCache>
            </c:strRef>
          </c:cat>
          <c:val>
            <c:numRef>
              <c:f>'PR&amp;12MONTHROLL-CHARTS'!$C$10:$CH$10</c:f>
              <c:numCache>
                <c:formatCode>General</c:formatCode>
                <c:ptCount val="84"/>
                <c:pt idx="0">
                  <c:v>135.833</c:v>
                </c:pt>
                <c:pt idx="1">
                  <c:v>133.73399999999998</c:v>
                </c:pt>
                <c:pt idx="2">
                  <c:v>132.298</c:v>
                </c:pt>
                <c:pt idx="3">
                  <c:v>131.35900000000001</c:v>
                </c:pt>
                <c:pt idx="4">
                  <c:v>131.59100000000001</c:v>
                </c:pt>
                <c:pt idx="5">
                  <c:v>132.369</c:v>
                </c:pt>
                <c:pt idx="6">
                  <c:v>130.54499999999999</c:v>
                </c:pt>
                <c:pt idx="7">
                  <c:v>133.79499999999999</c:v>
                </c:pt>
                <c:pt idx="8">
                  <c:v>132.17699999999999</c:v>
                </c:pt>
                <c:pt idx="9">
                  <c:v>132.46100000000001</c:v>
                </c:pt>
                <c:pt idx="10">
                  <c:v>131.995</c:v>
                </c:pt>
                <c:pt idx="11">
                  <c:v>131.56200000000001</c:v>
                </c:pt>
                <c:pt idx="12">
                  <c:v>132.43900000000002</c:v>
                </c:pt>
                <c:pt idx="13">
                  <c:v>134.09800000000001</c:v>
                </c:pt>
                <c:pt idx="14">
                  <c:v>133.68700000000001</c:v>
                </c:pt>
                <c:pt idx="15">
                  <c:v>137.15700000000001</c:v>
                </c:pt>
                <c:pt idx="16">
                  <c:v>138.565</c:v>
                </c:pt>
                <c:pt idx="17">
                  <c:v>140.45400000000001</c:v>
                </c:pt>
                <c:pt idx="18">
                  <c:v>143.67099999999999</c:v>
                </c:pt>
                <c:pt idx="19">
                  <c:v>141.946</c:v>
                </c:pt>
                <c:pt idx="20">
                  <c:v>142.72900000000001</c:v>
                </c:pt>
                <c:pt idx="21">
                  <c:v>136.85100000000028</c:v>
                </c:pt>
                <c:pt idx="22">
                  <c:v>130.52600000000001</c:v>
                </c:pt>
                <c:pt idx="23">
                  <c:v>125.611</c:v>
                </c:pt>
                <c:pt idx="24">
                  <c:v>119.71899999999999</c:v>
                </c:pt>
                <c:pt idx="25">
                  <c:v>112.473</c:v>
                </c:pt>
                <c:pt idx="26">
                  <c:v>106.93700000000014</c:v>
                </c:pt>
                <c:pt idx="27">
                  <c:v>98.334000000000003</c:v>
                </c:pt>
                <c:pt idx="28">
                  <c:v>90.127999999999986</c:v>
                </c:pt>
                <c:pt idx="29">
                  <c:v>82.698999999999998</c:v>
                </c:pt>
                <c:pt idx="30">
                  <c:v>76.718000000000004</c:v>
                </c:pt>
                <c:pt idx="31">
                  <c:v>73.986999999999995</c:v>
                </c:pt>
                <c:pt idx="32">
                  <c:v>68.596999999999994</c:v>
                </c:pt>
                <c:pt idx="33">
                  <c:v>67.10499999999999</c:v>
                </c:pt>
                <c:pt idx="34">
                  <c:v>65.796000000000006</c:v>
                </c:pt>
                <c:pt idx="35">
                  <c:v>66.453999999999994</c:v>
                </c:pt>
                <c:pt idx="36">
                  <c:v>67.141999999999996</c:v>
                </c:pt>
                <c:pt idx="37">
                  <c:v>70.182000000000002</c:v>
                </c:pt>
                <c:pt idx="38">
                  <c:v>72.653999999999982</c:v>
                </c:pt>
                <c:pt idx="39">
                  <c:v>73.804999999999993</c:v>
                </c:pt>
                <c:pt idx="40">
                  <c:v>77.438000000000002</c:v>
                </c:pt>
                <c:pt idx="41">
                  <c:v>78.872999999999948</c:v>
                </c:pt>
                <c:pt idx="42">
                  <c:v>79.634999999999991</c:v>
                </c:pt>
                <c:pt idx="43">
                  <c:v>80.062000000000012</c:v>
                </c:pt>
                <c:pt idx="44">
                  <c:v>81.004999999999995</c:v>
                </c:pt>
                <c:pt idx="45">
                  <c:v>82.897999999999996</c:v>
                </c:pt>
                <c:pt idx="46">
                  <c:v>83.736000000000004</c:v>
                </c:pt>
                <c:pt idx="47">
                  <c:v>85.546999999999997</c:v>
                </c:pt>
                <c:pt idx="48">
                  <c:v>84.194999999999993</c:v>
                </c:pt>
                <c:pt idx="49">
                  <c:v>83.001000000000005</c:v>
                </c:pt>
                <c:pt idx="50">
                  <c:v>82.183999999999983</c:v>
                </c:pt>
                <c:pt idx="51">
                  <c:v>80.667999999999992</c:v>
                </c:pt>
                <c:pt idx="52">
                  <c:v>79.090999999999994</c:v>
                </c:pt>
                <c:pt idx="53">
                  <c:v>76.480999999999995</c:v>
                </c:pt>
                <c:pt idx="54">
                  <c:v>75.248000000000005</c:v>
                </c:pt>
                <c:pt idx="55">
                  <c:v>75.232000000000014</c:v>
                </c:pt>
                <c:pt idx="56">
                  <c:v>74.678999999999988</c:v>
                </c:pt>
                <c:pt idx="57">
                  <c:v>72.906999999999996</c:v>
                </c:pt>
                <c:pt idx="58">
                  <c:v>71.468999999999994</c:v>
                </c:pt>
                <c:pt idx="59">
                  <c:v>69.375999999999948</c:v>
                </c:pt>
                <c:pt idx="60">
                  <c:v>69.414000000000158</c:v>
                </c:pt>
                <c:pt idx="61">
                  <c:v>68.712999999999994</c:v>
                </c:pt>
                <c:pt idx="62">
                  <c:v>66.611000000000004</c:v>
                </c:pt>
                <c:pt idx="63">
                  <c:v>67.027000000000001</c:v>
                </c:pt>
                <c:pt idx="64">
                  <c:v>67.058999999999983</c:v>
                </c:pt>
                <c:pt idx="65">
                  <c:v>67.63</c:v>
                </c:pt>
                <c:pt idx="66">
                  <c:v>66.906000000000006</c:v>
                </c:pt>
                <c:pt idx="67">
                  <c:v>67.298000000000002</c:v>
                </c:pt>
                <c:pt idx="68">
                  <c:v>65.501999999999995</c:v>
                </c:pt>
                <c:pt idx="69">
                  <c:v>65.566000000000003</c:v>
                </c:pt>
                <c:pt idx="70">
                  <c:v>65.024000000000001</c:v>
                </c:pt>
                <c:pt idx="71">
                  <c:v>63.733000000000011</c:v>
                </c:pt>
                <c:pt idx="72">
                  <c:v>61.581000000000003</c:v>
                </c:pt>
                <c:pt idx="73">
                  <c:v>59.826000000000001</c:v>
                </c:pt>
                <c:pt idx="74">
                  <c:v>57.596000000000011</c:v>
                </c:pt>
                <c:pt idx="75">
                  <c:v>56.538000000000011</c:v>
                </c:pt>
                <c:pt idx="76">
                  <c:v>54.606000000000002</c:v>
                </c:pt>
                <c:pt idx="77">
                  <c:v>54.188000000000002</c:v>
                </c:pt>
                <c:pt idx="78">
                  <c:v>55.654000000000003</c:v>
                </c:pt>
                <c:pt idx="79">
                  <c:v>54.05</c:v>
                </c:pt>
                <c:pt idx="80">
                  <c:v>52.124000000000002</c:v>
                </c:pt>
                <c:pt idx="81">
                  <c:v>49.591000000000001</c:v>
                </c:pt>
                <c:pt idx="82">
                  <c:v>47.338000000000001</c:v>
                </c:pt>
              </c:numCache>
            </c:numRef>
          </c:val>
        </c:ser>
        <c:marker val="1"/>
        <c:axId val="73458432"/>
        <c:axId val="73459968"/>
      </c:lineChart>
      <c:catAx>
        <c:axId val="73458432"/>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73459968"/>
        <c:crosses val="autoZero"/>
        <c:auto val="1"/>
        <c:lblAlgn val="ctr"/>
        <c:lblOffset val="100"/>
        <c:tickMarkSkip val="12"/>
      </c:catAx>
      <c:valAx>
        <c:axId val="73459968"/>
        <c:scaling>
          <c:orientation val="minMax"/>
          <c:max val="250"/>
          <c:min val="0"/>
        </c:scaling>
        <c:axPos val="l"/>
        <c:majorGridlines/>
        <c:title>
          <c:tx>
            <c:rich>
              <a:bodyPr/>
              <a:lstStyle/>
              <a:p>
                <a:pPr>
                  <a:defRPr sz="1000" b="0" i="0" u="none" strike="noStrike" baseline="0">
                    <a:solidFill>
                      <a:srgbClr val="000000"/>
                    </a:solidFill>
                    <a:latin typeface="Arial"/>
                    <a:ea typeface="Arial"/>
                    <a:cs typeface="Arial"/>
                  </a:defRPr>
                </a:pPr>
                <a:r>
                  <a:rPr lang="en-GB" sz="1000"/>
                  <a:t>Thousands</a:t>
                </a:r>
              </a:p>
            </c:rich>
          </c:tx>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73458432"/>
        <c:crosses val="autoZero"/>
        <c:crossBetween val="between"/>
        <c:majorUnit val="50"/>
      </c:valAx>
    </c:plotArea>
    <c:legend>
      <c:legendPos val="r"/>
      <c:layout>
        <c:manualLayout>
          <c:xMode val="edge"/>
          <c:yMode val="edge"/>
          <c:x val="4.8109965635738827E-2"/>
          <c:y val="2.8571428571428591E-2"/>
          <c:w val="0.93814757691371065"/>
          <c:h val="0.10000000000000003"/>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942877436841228"/>
          <c:y val="0.15788203557888641"/>
          <c:w val="0.74076471876575423"/>
          <c:h val="0.72613808690580361"/>
        </c:manualLayout>
      </c:layout>
      <c:lineChart>
        <c:grouping val="standard"/>
        <c:ser>
          <c:idx val="0"/>
          <c:order val="0"/>
          <c:tx>
            <c:strRef>
              <c:f>'PR chart 1'!$B$2</c:f>
              <c:strCache>
                <c:ptCount val="1"/>
                <c:pt idx="0">
                  <c:v>Total</c:v>
                </c:pt>
              </c:strCache>
            </c:strRef>
          </c:tx>
          <c:spPr>
            <a:ln w="38100">
              <a:solidFill>
                <a:srgbClr val="0D2255"/>
              </a:solidFill>
            </a:ln>
          </c:spPr>
          <c:marker>
            <c:symbol val="none"/>
          </c:marker>
          <c:cat>
            <c:strRef>
              <c:f>'PR chart 1'!$C$1:$AX$1</c:f>
              <c:strCache>
                <c:ptCount val="48"/>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strCache>
            </c:strRef>
          </c:cat>
          <c:val>
            <c:numRef>
              <c:f>'PR chart 1'!$C$2:$AX$2</c:f>
              <c:numCache>
                <c:formatCode>#,##0.00</c:formatCode>
                <c:ptCount val="48"/>
                <c:pt idx="0">
                  <c:v>2.0936689999999967</c:v>
                </c:pt>
                <c:pt idx="1">
                  <c:v>2.1673529999999999</c:v>
                </c:pt>
                <c:pt idx="2">
                  <c:v>2.2385760000000001</c:v>
                </c:pt>
                <c:pt idx="3">
                  <c:v>2.2937710000000049</c:v>
                </c:pt>
                <c:pt idx="4">
                  <c:v>2.3481730000000001</c:v>
                </c:pt>
                <c:pt idx="5">
                  <c:v>2.3845499999999977</c:v>
                </c:pt>
                <c:pt idx="6">
                  <c:v>2.3782029999999947</c:v>
                </c:pt>
                <c:pt idx="7">
                  <c:v>2.3936139999999977</c:v>
                </c:pt>
                <c:pt idx="8">
                  <c:v>2.3966309999999957</c:v>
                </c:pt>
                <c:pt idx="9">
                  <c:v>2.3848429999999947</c:v>
                </c:pt>
                <c:pt idx="10">
                  <c:v>2.388887</c:v>
                </c:pt>
                <c:pt idx="11">
                  <c:v>2.386717</c:v>
                </c:pt>
                <c:pt idx="12">
                  <c:v>2.4098589999999938</c:v>
                </c:pt>
                <c:pt idx="13">
                  <c:v>2.4301189999999977</c:v>
                </c:pt>
                <c:pt idx="14">
                  <c:v>2.44537</c:v>
                </c:pt>
                <c:pt idx="15">
                  <c:v>2.4359329999999977</c:v>
                </c:pt>
                <c:pt idx="16">
                  <c:v>2.4441280000000001</c:v>
                </c:pt>
                <c:pt idx="17">
                  <c:v>2.445913</c:v>
                </c:pt>
                <c:pt idx="18">
                  <c:v>2.44516</c:v>
                </c:pt>
                <c:pt idx="19">
                  <c:v>2.4618569999999957</c:v>
                </c:pt>
                <c:pt idx="20">
                  <c:v>2.4769179999999977</c:v>
                </c:pt>
                <c:pt idx="21">
                  <c:v>2.5022799999999967</c:v>
                </c:pt>
                <c:pt idx="22">
                  <c:v>2.5061089999999977</c:v>
                </c:pt>
                <c:pt idx="23">
                  <c:v>2.504054</c:v>
                </c:pt>
                <c:pt idx="24">
                  <c:v>2.5191719999999997</c:v>
                </c:pt>
                <c:pt idx="25">
                  <c:v>2.5322879999999977</c:v>
                </c:pt>
                <c:pt idx="26">
                  <c:v>2.5165689999999947</c:v>
                </c:pt>
                <c:pt idx="27">
                  <c:v>2.5188459999999928</c:v>
                </c:pt>
                <c:pt idx="28">
                  <c:v>2.5475650000000001</c:v>
                </c:pt>
                <c:pt idx="29">
                  <c:v>2.5113129999999977</c:v>
                </c:pt>
                <c:pt idx="30">
                  <c:v>2.5116759999999942</c:v>
                </c:pt>
                <c:pt idx="31">
                  <c:v>2.5281989999999999</c:v>
                </c:pt>
                <c:pt idx="32">
                  <c:v>2.4969809999999977</c:v>
                </c:pt>
                <c:pt idx="33">
                  <c:v>2.4997439999999957</c:v>
                </c:pt>
                <c:pt idx="34">
                  <c:v>2.4965789999999952</c:v>
                </c:pt>
                <c:pt idx="35">
                  <c:v>2.495371</c:v>
                </c:pt>
                <c:pt idx="36">
                  <c:v>2.483603</c:v>
                </c:pt>
                <c:pt idx="37">
                  <c:v>2.4718859999999947</c:v>
                </c:pt>
                <c:pt idx="38">
                  <c:v>2.4578799999999967</c:v>
                </c:pt>
                <c:pt idx="39">
                  <c:v>2.4769239999999977</c:v>
                </c:pt>
                <c:pt idx="40">
                  <c:v>2.4564809999999953</c:v>
                </c:pt>
                <c:pt idx="41">
                  <c:v>2.4789699999999977</c:v>
                </c:pt>
                <c:pt idx="42">
                  <c:v>2.524416</c:v>
                </c:pt>
                <c:pt idx="43">
                  <c:v>2.500006</c:v>
                </c:pt>
                <c:pt idx="44">
                  <c:v>2.5313629999999967</c:v>
                </c:pt>
                <c:pt idx="45">
                  <c:v>2.5468319999999998</c:v>
                </c:pt>
                <c:pt idx="46">
                  <c:v>2.5543499999999977</c:v>
                </c:pt>
              </c:numCache>
            </c:numRef>
          </c:val>
        </c:ser>
        <c:ser>
          <c:idx val="1"/>
          <c:order val="1"/>
          <c:tx>
            <c:strRef>
              <c:f>'PR chart 1'!$B$3</c:f>
              <c:strCache>
                <c:ptCount val="1"/>
                <c:pt idx="0">
                  <c:v>Export</c:v>
                </c:pt>
              </c:strCache>
            </c:strRef>
          </c:tx>
          <c:spPr>
            <a:ln w="25400">
              <a:solidFill>
                <a:schemeClr val="tx2">
                  <a:lumMod val="60000"/>
                  <a:lumOff val="40000"/>
                </a:schemeClr>
              </a:solidFill>
            </a:ln>
          </c:spPr>
          <c:marker>
            <c:symbol val="none"/>
          </c:marker>
          <c:cat>
            <c:strRef>
              <c:f>'PR chart 1'!$C$1:$AX$1</c:f>
              <c:strCache>
                <c:ptCount val="48"/>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strCache>
            </c:strRef>
          </c:cat>
          <c:val>
            <c:numRef>
              <c:f>'PR chart 1'!$C$3:$AX$3</c:f>
              <c:numCache>
                <c:formatCode>#,##0.00</c:formatCode>
                <c:ptCount val="48"/>
                <c:pt idx="0">
                  <c:v>1.5503020000000001</c:v>
                </c:pt>
                <c:pt idx="1">
                  <c:v>1.6003270000000001</c:v>
                </c:pt>
                <c:pt idx="2">
                  <c:v>1.6457299999999975</c:v>
                </c:pt>
                <c:pt idx="3">
                  <c:v>1.681225</c:v>
                </c:pt>
                <c:pt idx="4">
                  <c:v>1.7095739999999979</c:v>
                </c:pt>
                <c:pt idx="5">
                  <c:v>1.7311929999999998</c:v>
                </c:pt>
                <c:pt idx="6">
                  <c:v>1.7318269999999967</c:v>
                </c:pt>
                <c:pt idx="7">
                  <c:v>1.7392089999999998</c:v>
                </c:pt>
                <c:pt idx="8">
                  <c:v>1.7385670000000002</c:v>
                </c:pt>
                <c:pt idx="9">
                  <c:v>1.7280320000000002</c:v>
                </c:pt>
                <c:pt idx="10">
                  <c:v>1.7272880000000002</c:v>
                </c:pt>
                <c:pt idx="11">
                  <c:v>1.721489999999998</c:v>
                </c:pt>
                <c:pt idx="12">
                  <c:v>1.7377219999999964</c:v>
                </c:pt>
                <c:pt idx="13">
                  <c:v>1.7388399999999979</c:v>
                </c:pt>
                <c:pt idx="14">
                  <c:v>1.7454379999999998</c:v>
                </c:pt>
                <c:pt idx="15">
                  <c:v>1.7489770000000002</c:v>
                </c:pt>
                <c:pt idx="16">
                  <c:v>1.7630550000000003</c:v>
                </c:pt>
                <c:pt idx="17">
                  <c:v>1.7659529999999999</c:v>
                </c:pt>
                <c:pt idx="18">
                  <c:v>1.7703700000000002</c:v>
                </c:pt>
                <c:pt idx="19">
                  <c:v>1.7770820000000003</c:v>
                </c:pt>
                <c:pt idx="20">
                  <c:v>1.7800259999999999</c:v>
                </c:pt>
                <c:pt idx="21">
                  <c:v>1.7821820000000004</c:v>
                </c:pt>
                <c:pt idx="22">
                  <c:v>1.7737820000000002</c:v>
                </c:pt>
                <c:pt idx="23">
                  <c:v>1.7583970000000002</c:v>
                </c:pt>
                <c:pt idx="24">
                  <c:v>1.7521239999999998</c:v>
                </c:pt>
                <c:pt idx="25">
                  <c:v>1.7459959999999974</c:v>
                </c:pt>
                <c:pt idx="26">
                  <c:v>1.7228899999999998</c:v>
                </c:pt>
                <c:pt idx="27">
                  <c:v>1.697802</c:v>
                </c:pt>
                <c:pt idx="28">
                  <c:v>1.686644</c:v>
                </c:pt>
                <c:pt idx="29">
                  <c:v>1.6401820000000027</c:v>
                </c:pt>
                <c:pt idx="30">
                  <c:v>1.6186020000000001</c:v>
                </c:pt>
                <c:pt idx="31">
                  <c:v>1.61758</c:v>
                </c:pt>
                <c:pt idx="32">
                  <c:v>1.5791739999999999</c:v>
                </c:pt>
                <c:pt idx="33">
                  <c:v>1.569083</c:v>
                </c:pt>
                <c:pt idx="34">
                  <c:v>1.556332</c:v>
                </c:pt>
                <c:pt idx="35">
                  <c:v>1.554208</c:v>
                </c:pt>
                <c:pt idx="36">
                  <c:v>1.5401309999999999</c:v>
                </c:pt>
                <c:pt idx="37">
                  <c:v>1.5299759999999998</c:v>
                </c:pt>
                <c:pt idx="38">
                  <c:v>1.5101869999999999</c:v>
                </c:pt>
                <c:pt idx="39">
                  <c:v>1.5116649999999971</c:v>
                </c:pt>
                <c:pt idx="40">
                  <c:v>1.4891399999999975</c:v>
                </c:pt>
                <c:pt idx="41">
                  <c:v>1.4975239999999972</c:v>
                </c:pt>
                <c:pt idx="42">
                  <c:v>1.522349</c:v>
                </c:pt>
                <c:pt idx="43">
                  <c:v>1.4971339999999977</c:v>
                </c:pt>
                <c:pt idx="44">
                  <c:v>1.5191899999999998</c:v>
                </c:pt>
                <c:pt idx="45">
                  <c:v>1.5200389999999999</c:v>
                </c:pt>
                <c:pt idx="46">
                  <c:v>1.5287219999999975</c:v>
                </c:pt>
              </c:numCache>
            </c:numRef>
          </c:val>
        </c:ser>
        <c:marker val="1"/>
        <c:axId val="73679616"/>
        <c:axId val="73681152"/>
      </c:lineChart>
      <c:catAx>
        <c:axId val="73679616"/>
        <c:scaling>
          <c:orientation val="minMax"/>
        </c:scaling>
        <c:axPos val="b"/>
        <c:tickLblPos val="nextTo"/>
        <c:crossAx val="73681152"/>
        <c:crosses val="autoZero"/>
        <c:auto val="1"/>
        <c:lblAlgn val="ctr"/>
        <c:lblOffset val="100"/>
        <c:tickLblSkip val="12"/>
        <c:tickMarkSkip val="12"/>
      </c:catAx>
      <c:valAx>
        <c:axId val="73681152"/>
        <c:scaling>
          <c:orientation val="minMax"/>
          <c:max val="2.6"/>
          <c:min val="1.4"/>
        </c:scaling>
        <c:axPos val="l"/>
        <c:majorGridlines/>
        <c:title>
          <c:tx>
            <c:rich>
              <a:bodyPr rot="-5400000" vert="horz"/>
              <a:lstStyle/>
              <a:p>
                <a:pPr>
                  <a:defRPr/>
                </a:pPr>
                <a:r>
                  <a:rPr lang="en-US" b="0"/>
                  <a:t>Millions</a:t>
                </a:r>
              </a:p>
            </c:rich>
          </c:tx>
          <c:layout>
            <c:manualLayout>
              <c:xMode val="edge"/>
              <c:yMode val="edge"/>
              <c:x val="1.0541557305336938E-2"/>
              <c:y val="0.40222404491105285"/>
            </c:manualLayout>
          </c:layout>
        </c:title>
        <c:numFmt formatCode="#,##0.0" sourceLinked="0"/>
        <c:tickLblPos val="nextTo"/>
        <c:crossAx val="73679616"/>
        <c:crosses val="autoZero"/>
        <c:crossBetween val="between"/>
        <c:majorUnit val="0.2"/>
      </c:valAx>
    </c:plotArea>
    <c:legend>
      <c:legendPos val="r"/>
      <c:layout>
        <c:manualLayout>
          <c:xMode val="edge"/>
          <c:yMode val="edge"/>
          <c:x val="0.23450000000000004"/>
          <c:y val="3.2023549139690875E-2"/>
          <c:w val="0.48494444444444651"/>
          <c:h val="9.7989938757655284E-2"/>
        </c:manualLayout>
      </c:layout>
    </c:legend>
    <c:plotVisOnly val="1"/>
    <c:dispBlanksAs val="gap"/>
  </c:chart>
  <c:spPr>
    <a:ln>
      <a:noFill/>
    </a:ln>
  </c:spPr>
  <c:txPr>
    <a:bodyPr/>
    <a:lstStyle/>
    <a:p>
      <a:pPr>
        <a:defRPr>
          <a:latin typeface="Arial" pitchFamily="34" charset="0"/>
          <a:cs typeface="Arial" pitchFamily="34"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9573085374143098"/>
          <c:y val="5.3619302949061684E-2"/>
          <c:w val="0.73523038038714927"/>
          <c:h val="0.7828589460754436"/>
        </c:manualLayout>
      </c:layout>
      <c:barChart>
        <c:barDir val="col"/>
        <c:grouping val="clustered"/>
        <c:ser>
          <c:idx val="0"/>
          <c:order val="0"/>
          <c:tx>
            <c:strRef>
              <c:f>'PR chart 2'!$C$47</c:f>
              <c:strCache>
                <c:ptCount val="1"/>
                <c:pt idx="0">
                  <c:v>Engines</c:v>
                </c:pt>
              </c:strCache>
            </c:strRef>
          </c:tx>
          <c:spPr>
            <a:solidFill>
              <a:schemeClr val="tx2">
                <a:lumMod val="40000"/>
                <a:lumOff val="60000"/>
              </a:schemeClr>
            </a:solidFill>
            <a:ln>
              <a:solidFill>
                <a:prstClr val="black"/>
              </a:solidFill>
            </a:ln>
          </c:spPr>
          <c:cat>
            <c:strRef>
              <c:f>'PR chart 2'!$D$46:$F$46</c:f>
              <c:strCache>
                <c:ptCount val="3"/>
                <c:pt idx="0">
                  <c:v>'11</c:v>
                </c:pt>
                <c:pt idx="1">
                  <c:v>'12</c:v>
                </c:pt>
                <c:pt idx="2">
                  <c:v>'13</c:v>
                </c:pt>
              </c:strCache>
            </c:strRef>
          </c:cat>
          <c:val>
            <c:numRef>
              <c:f>'PR chart 2'!$D$47:$F$47</c:f>
              <c:numCache>
                <c:formatCode>#,##0</c:formatCode>
                <c:ptCount val="3"/>
                <c:pt idx="0">
                  <c:v>2352.6419999999998</c:v>
                </c:pt>
                <c:pt idx="1">
                  <c:v>2345.1669999999986</c:v>
                </c:pt>
                <c:pt idx="2">
                  <c:v>2404.1459999999997</c:v>
                </c:pt>
              </c:numCache>
            </c:numRef>
          </c:val>
        </c:ser>
        <c:gapWidth val="48"/>
        <c:axId val="73865088"/>
        <c:axId val="73866624"/>
      </c:barChart>
      <c:catAx>
        <c:axId val="73865088"/>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73866624"/>
        <c:crosses val="autoZero"/>
        <c:auto val="1"/>
        <c:lblAlgn val="ctr"/>
        <c:lblOffset val="100"/>
      </c:catAx>
      <c:valAx>
        <c:axId val="73866624"/>
        <c:scaling>
          <c:orientation val="minMax"/>
          <c:max val="2450"/>
          <c:min val="2200"/>
        </c:scaling>
        <c:axPos val="l"/>
        <c:majorGridlines/>
        <c:title>
          <c:tx>
            <c:rich>
              <a:bodyPr rot="-5400000" vert="horz"/>
              <a:lstStyle/>
              <a:p>
                <a:pPr>
                  <a:defRPr/>
                </a:pPr>
                <a:r>
                  <a:rPr lang="en-US"/>
                  <a:t>Millions</a:t>
                </a:r>
              </a:p>
            </c:rich>
          </c:tx>
          <c:layout>
            <c:manualLayout>
              <c:xMode val="edge"/>
              <c:yMode val="edge"/>
              <c:x val="2.8799950302070242E-3"/>
              <c:y val="0.36916760404949434"/>
            </c:manualLayout>
          </c:layout>
        </c:title>
        <c:numFmt formatCode="#,##0.0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73865088"/>
        <c:crosses val="autoZero"/>
        <c:crossBetween val="between"/>
        <c:majorUnit val="50"/>
        <c:dispUnits>
          <c:builtInUnit val="thousands"/>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Gojny-Tullock</dc:creator>
  <cp:lastModifiedBy>Alex</cp:lastModifiedBy>
  <cp:revision>2</cp:revision>
  <cp:lastPrinted>2013-12-16T13:34:00Z</cp:lastPrinted>
  <dcterms:created xsi:type="dcterms:W3CDTF">2013-12-18T14:34:00Z</dcterms:created>
  <dcterms:modified xsi:type="dcterms:W3CDTF">2013-12-18T14:34:00Z</dcterms:modified>
</cp:coreProperties>
</file>