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bookmarkStart w:id="0" w:name="_GoBack"/>
      <w:bookmarkEnd w:id="0"/>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037DBD" w:rsidP="006B3606">
      <w:pPr>
        <w:pStyle w:val="Heading1"/>
        <w:ind w:right="142"/>
      </w:pPr>
      <w:r>
        <w:rPr>
          <w:rFonts w:ascii="Arial" w:eastAsiaTheme="minorEastAsia" w:hAnsi="Arial" w:cs="Arial"/>
          <w:b w:val="0"/>
          <w:bCs/>
          <w:color w:val="1074CB"/>
          <w:sz w:val="44"/>
          <w:szCs w:val="44"/>
        </w:rPr>
        <w:t>18 December</w:t>
      </w:r>
      <w:r w:rsidR="006B3606" w:rsidRPr="00440369">
        <w:rPr>
          <w:rFonts w:ascii="Arial" w:eastAsiaTheme="minorEastAsia" w:hAnsi="Arial" w:cs="Arial"/>
          <w:b w:val="0"/>
          <w:bCs/>
          <w:color w:val="1074CB"/>
          <w:sz w:val="44"/>
          <w:szCs w:val="44"/>
        </w:rPr>
        <w:t xml:space="preserve"> 2014</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Novem</w:t>
      </w:r>
      <w:r w:rsidR="00B22811">
        <w:rPr>
          <w:rFonts w:ascii="Arial" w:eastAsiaTheme="minorEastAsia" w:hAnsi="Arial" w:cs="Arial"/>
          <w:b w:val="0"/>
          <w:bCs/>
          <w:color w:val="1074CB"/>
          <w:sz w:val="28"/>
          <w:szCs w:val="28"/>
        </w:rPr>
        <w:t>ber</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6B3606">
        <w:rPr>
          <w:rFonts w:ascii="Arial" w:eastAsiaTheme="minorEastAsia" w:hAnsi="Arial" w:cs="Arial"/>
          <w:b w:val="0"/>
          <w:bCs/>
          <w:color w:val="1074CB"/>
          <w:sz w:val="28"/>
          <w:szCs w:val="28"/>
        </w:rPr>
        <w:t>4</w:t>
      </w:r>
      <w:r w:rsidR="006B3606" w:rsidRPr="00696C6A">
        <w:rPr>
          <w:rFonts w:ascii="Arial" w:eastAsiaTheme="minorEastAsia" w:hAnsi="Arial" w:cs="Arial"/>
          <w:b w:val="0"/>
          <w:bCs/>
          <w:color w:val="1074CB"/>
          <w:sz w:val="28"/>
          <w:szCs w:val="28"/>
        </w:rPr>
        <w:t>)</w:t>
      </w:r>
    </w:p>
    <w:p w:rsidR="00C80E70" w:rsidRPr="007B7D91" w:rsidRDefault="00E15193" w:rsidP="00C80E70">
      <w:r w:rsidRPr="00E15193">
        <w:rPr>
          <w:rFonts w:ascii="Arial" w:eastAsiaTheme="minorEastAsia" w:hAnsi="Arial" w:cs="Arial"/>
          <w:b/>
          <w:bCs/>
          <w:noProof/>
          <w:color w:val="1074CB"/>
          <w:sz w:val="20"/>
        </w:rPr>
        <w:pict>
          <v:line id="Line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bp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" strokecolor="#1074cb"/>
        </w:pict>
      </w:r>
    </w:p>
    <w:p w:rsidR="00BE2CB3" w:rsidRDefault="00545EE2" w:rsidP="00BE2CB3">
      <w:pPr>
        <w:pStyle w:val="Heading1"/>
        <w:ind w:left="0" w:right="425" w:firstLine="0"/>
      </w:pPr>
      <w:r>
        <w:rPr>
          <w:rFonts w:ascii="Arial" w:hAnsi="Arial" w:cs="Arial"/>
          <w:color w:val="1074CB"/>
          <w:sz w:val="36"/>
          <w:szCs w:val="36"/>
        </w:rPr>
        <w:t>CV manufacturing level in November</w:t>
      </w:r>
      <w:r w:rsidR="007B07B1">
        <w:rPr>
          <w:rFonts w:ascii="Arial" w:hAnsi="Arial" w:cs="Arial"/>
          <w:color w:val="1074CB"/>
          <w:sz w:val="36"/>
          <w:szCs w:val="36"/>
        </w:rPr>
        <w:t xml:space="preserve"> after months of decline</w:t>
      </w:r>
    </w:p>
    <w:p w:rsidR="00BE2CB3" w:rsidRDefault="00BE2CB3" w:rsidP="00BE2CB3">
      <w:pPr>
        <w:rPr>
          <w:rFonts w:eastAsiaTheme="minorHAnsi"/>
        </w:rPr>
      </w:pPr>
      <w:r>
        <w:rPr>
          <w:rFonts w:cs="Times"/>
          <w:szCs w:val="24"/>
        </w:rPr>
        <w:t> </w:t>
      </w:r>
    </w:p>
    <w:p w:rsidR="00BE2CB3" w:rsidRPr="007B07B1" w:rsidRDefault="00BE2CB3" w:rsidP="00BE2CB3">
      <w:pPr>
        <w:numPr>
          <w:ilvl w:val="0"/>
          <w:numId w:val="6"/>
        </w:numPr>
        <w:spacing w:line="360" w:lineRule="auto"/>
        <w:rPr>
          <w:sz w:val="20"/>
        </w:rPr>
      </w:pPr>
      <w:r w:rsidRPr="007B07B1">
        <w:rPr>
          <w:rFonts w:ascii="Arial" w:hAnsi="Arial" w:cs="Arial"/>
          <w:sz w:val="20"/>
        </w:rPr>
        <w:t xml:space="preserve">UK commercial vehicle (CV) manufacturing </w:t>
      </w:r>
      <w:r w:rsidR="00545EE2" w:rsidRPr="007B07B1">
        <w:rPr>
          <w:rFonts w:ascii="Arial" w:hAnsi="Arial" w:cs="Arial"/>
          <w:sz w:val="20"/>
        </w:rPr>
        <w:t>fell just 0.7% in November.</w:t>
      </w:r>
    </w:p>
    <w:p w:rsidR="00B01D92" w:rsidRPr="007B07B1" w:rsidRDefault="00B01D92" w:rsidP="00B01D92">
      <w:pPr>
        <w:numPr>
          <w:ilvl w:val="0"/>
          <w:numId w:val="6"/>
        </w:numPr>
        <w:spacing w:line="360" w:lineRule="auto"/>
        <w:rPr>
          <w:sz w:val="20"/>
        </w:rPr>
      </w:pPr>
      <w:r w:rsidRPr="007B07B1">
        <w:rPr>
          <w:rFonts w:ascii="Arial" w:hAnsi="Arial" w:cs="Arial"/>
          <w:sz w:val="20"/>
        </w:rPr>
        <w:t>Resurgent h</w:t>
      </w:r>
      <w:r w:rsidR="0066216E" w:rsidRPr="007B07B1">
        <w:rPr>
          <w:rFonts w:ascii="Arial" w:hAnsi="Arial" w:cs="Arial"/>
          <w:sz w:val="20"/>
        </w:rPr>
        <w:t>ome market demand grew for second month, but exports remain</w:t>
      </w:r>
      <w:r w:rsidRPr="007B07B1">
        <w:rPr>
          <w:rFonts w:ascii="Arial" w:hAnsi="Arial" w:cs="Arial"/>
          <w:sz w:val="20"/>
        </w:rPr>
        <w:t>ed</w:t>
      </w:r>
      <w:r w:rsidR="0066216E" w:rsidRPr="007B07B1">
        <w:rPr>
          <w:rFonts w:ascii="Arial" w:hAnsi="Arial" w:cs="Arial"/>
          <w:sz w:val="20"/>
        </w:rPr>
        <w:t xml:space="preserve"> subdued</w:t>
      </w:r>
      <w:r w:rsidR="00BE2CB3" w:rsidRPr="007B07B1">
        <w:rPr>
          <w:rFonts w:ascii="Arial" w:hAnsi="Arial" w:cs="Arial"/>
          <w:sz w:val="20"/>
        </w:rPr>
        <w:t>.</w:t>
      </w:r>
    </w:p>
    <w:p w:rsidR="00B01D92" w:rsidRPr="007B07B1" w:rsidRDefault="00B01D92" w:rsidP="00B01D92">
      <w:pPr>
        <w:numPr>
          <w:ilvl w:val="0"/>
          <w:numId w:val="6"/>
        </w:numPr>
        <w:spacing w:line="360" w:lineRule="auto"/>
        <w:rPr>
          <w:rFonts w:ascii="Arial" w:hAnsi="Arial" w:cs="Arial"/>
          <w:sz w:val="20"/>
        </w:rPr>
      </w:pPr>
      <w:r w:rsidRPr="007B07B1">
        <w:rPr>
          <w:rFonts w:ascii="Arial" w:hAnsi="Arial" w:cs="Arial"/>
          <w:sz w:val="20"/>
        </w:rPr>
        <w:t>Year-to-date fall of 21.6% affected by 2013 restructuring; more positive 2015 expected.</w:t>
      </w:r>
    </w:p>
    <w:p w:rsidR="00BE2CB3" w:rsidRDefault="00BE2CB3" w:rsidP="00BE2CB3">
      <w:pPr>
        <w:spacing w:line="360" w:lineRule="auto"/>
        <w:ind w:left="360"/>
      </w:pPr>
      <w:r>
        <w:rPr>
          <w:sz w:val="20"/>
        </w:rPr>
        <w:t> </w:t>
      </w:r>
    </w:p>
    <w:p w:rsidR="00037DBD" w:rsidRDefault="00037DBD" w:rsidP="00037DBD">
      <w:pPr>
        <w:spacing w:line="276" w:lineRule="auto"/>
      </w:pPr>
      <w:r>
        <w:rPr>
          <w:rFonts w:ascii="Arial" w:hAnsi="Arial" w:cs="Arial"/>
          <w:sz w:val="20"/>
        </w:rPr>
        <w:t>"The signs remain positive for UK commercial vehicle production after many months of decline, with output in November almost level," said Mike Hawes, SMMT Chief Executive. "The strong UK market is driving the turnaround, while export markets continue to struggle. We anticipate 2015 to be a better year as new models ramp up and the effects of last year’s restructuring no longer apply."</w:t>
      </w:r>
    </w:p>
    <w:p w:rsidR="00BE2CB3" w:rsidRDefault="00BE2CB3" w:rsidP="00BE2CB3">
      <w:r w:rsidRPr="00BE2CB3">
        <w:rPr>
          <w:rFonts w:ascii="Arial" w:hAnsi="Arial" w:cs="Arial"/>
          <w:sz w:val="20"/>
        </w:rPr>
        <w:t> </w:t>
      </w:r>
    </w:p>
    <w:tbl>
      <w:tblPr>
        <w:tblW w:w="9464" w:type="dxa"/>
        <w:tblCellMar>
          <w:left w:w="0" w:type="dxa"/>
          <w:right w:w="0" w:type="dxa"/>
        </w:tblCellMar>
        <w:tblLook w:val="04A0"/>
      </w:tblPr>
      <w:tblGrid>
        <w:gridCol w:w="2093"/>
        <w:gridCol w:w="1276"/>
        <w:gridCol w:w="1134"/>
        <w:gridCol w:w="1275"/>
        <w:gridCol w:w="1276"/>
        <w:gridCol w:w="1134"/>
        <w:gridCol w:w="1276"/>
      </w:tblGrid>
      <w:tr w:rsidR="00BE2CB3" w:rsidTr="00BE2CB3">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BE2CB3" w:rsidRDefault="00BE2CB3">
            <w:pPr>
              <w:jc w:val="center"/>
              <w:rPr>
                <w:rFonts w:ascii="Calibri" w:eastAsiaTheme="minorHAnsi" w:hAnsi="Calibri"/>
                <w:sz w:val="22"/>
                <w:szCs w:val="22"/>
              </w:rPr>
            </w:pPr>
            <w:r>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A50F40">
            <w:pPr>
              <w:jc w:val="center"/>
              <w:rPr>
                <w:rFonts w:ascii="Calibri" w:eastAsiaTheme="minorHAnsi" w:hAnsi="Calibri"/>
                <w:sz w:val="22"/>
                <w:szCs w:val="22"/>
              </w:rPr>
            </w:pPr>
            <w:r>
              <w:rPr>
                <w:rFonts w:ascii="Arial" w:hAnsi="Arial" w:cs="Arial"/>
                <w:b/>
                <w:bCs/>
                <w:color w:val="002060"/>
                <w:sz w:val="20"/>
              </w:rPr>
              <w:t>Nov</w:t>
            </w:r>
            <w:r w:rsidR="00BE2CB3">
              <w:rPr>
                <w:rFonts w:ascii="Arial" w:hAnsi="Arial" w:cs="Arial"/>
                <w:b/>
                <w:bCs/>
                <w:color w:val="002060"/>
                <w:sz w:val="20"/>
              </w:rPr>
              <w:t>-13</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A50F40">
            <w:pPr>
              <w:jc w:val="center"/>
              <w:rPr>
                <w:rFonts w:ascii="Calibri" w:eastAsiaTheme="minorHAnsi" w:hAnsi="Calibri"/>
                <w:sz w:val="22"/>
                <w:szCs w:val="22"/>
              </w:rPr>
            </w:pPr>
            <w:r>
              <w:rPr>
                <w:rFonts w:ascii="Arial" w:hAnsi="Arial" w:cs="Arial"/>
                <w:b/>
                <w:bCs/>
                <w:color w:val="002060"/>
                <w:sz w:val="20"/>
              </w:rPr>
              <w:t>Nov</w:t>
            </w:r>
            <w:r w:rsidR="00BE2CB3">
              <w:rPr>
                <w:rFonts w:ascii="Arial" w:hAnsi="Arial" w:cs="Arial"/>
                <w:b/>
                <w:bCs/>
                <w:color w:val="002060"/>
                <w:sz w:val="20"/>
              </w:rPr>
              <w:t>-14</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YTD-13</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YTD-14</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 Change</w:t>
            </w:r>
          </w:p>
        </w:tc>
      </w:tr>
      <w:tr w:rsidR="00A50F40"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50F40" w:rsidRDefault="00A50F40">
            <w:pPr>
              <w:jc w:val="right"/>
              <w:rPr>
                <w:rFonts w:ascii="Calibri" w:eastAsiaTheme="minorHAnsi" w:hAnsi="Calibri"/>
                <w:sz w:val="22"/>
                <w:szCs w:val="22"/>
              </w:rPr>
            </w:pPr>
            <w:r>
              <w:rPr>
                <w:rFonts w:ascii="Arial" w:hAnsi="Arial" w:cs="Arial"/>
                <w:b/>
                <w:bCs/>
                <w:color w:val="002060"/>
                <w:sz w:val="20"/>
              </w:rPr>
              <w:t>Total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7,121</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7,073</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18"/>
                <w:szCs w:val="18"/>
              </w:rPr>
            </w:pPr>
            <w:r w:rsidRPr="00A50F40">
              <w:rPr>
                <w:rFonts w:ascii="Arial" w:hAnsi="Arial" w:cs="Arial"/>
                <w:color w:val="0D2255"/>
                <w:sz w:val="18"/>
                <w:szCs w:val="18"/>
              </w:rPr>
              <w:t>-0.7%</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82,947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65,054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18"/>
                <w:szCs w:val="18"/>
              </w:rPr>
            </w:pPr>
            <w:r w:rsidRPr="00A50F40">
              <w:rPr>
                <w:rFonts w:ascii="Arial" w:hAnsi="Arial" w:cs="Arial"/>
                <w:color w:val="0D2255"/>
                <w:sz w:val="18"/>
                <w:szCs w:val="18"/>
              </w:rPr>
              <w:t>-21.6%</w:t>
            </w:r>
          </w:p>
        </w:tc>
      </w:tr>
      <w:tr w:rsidR="00A50F40"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Calibri" w:eastAsiaTheme="minorHAnsi" w:hAnsi="Calibri"/>
                <w:color w:val="0D2255"/>
                <w:sz w:val="22"/>
                <w:szCs w:val="22"/>
              </w:rPr>
            </w:pPr>
            <w:r w:rsidRPr="00A50F40">
              <w:rPr>
                <w:rFonts w:ascii="Arial" w:hAnsi="Arial" w:cs="Arial"/>
                <w:color w:val="0D2255"/>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3,743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4,208</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18"/>
                <w:szCs w:val="18"/>
              </w:rPr>
            </w:pPr>
            <w:r w:rsidRPr="00A50F40">
              <w:rPr>
                <w:rFonts w:ascii="Arial" w:hAnsi="Arial" w:cs="Arial"/>
                <w:color w:val="0D2255"/>
                <w:sz w:val="18"/>
                <w:szCs w:val="18"/>
              </w:rPr>
              <w:t>12.4%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39,089</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33,054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18"/>
                <w:szCs w:val="18"/>
              </w:rPr>
            </w:pPr>
            <w:r w:rsidRPr="00A50F40">
              <w:rPr>
                <w:rFonts w:ascii="Arial" w:hAnsi="Arial" w:cs="Arial"/>
                <w:color w:val="0D2255"/>
                <w:sz w:val="18"/>
                <w:szCs w:val="18"/>
              </w:rPr>
              <w:t>-15.4%</w:t>
            </w:r>
          </w:p>
        </w:tc>
      </w:tr>
      <w:tr w:rsidR="00A50F40"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Calibri" w:eastAsiaTheme="minorHAnsi" w:hAnsi="Calibri"/>
                <w:color w:val="0D2255"/>
                <w:sz w:val="22"/>
                <w:szCs w:val="22"/>
              </w:rPr>
            </w:pPr>
            <w:r w:rsidRPr="00A50F40">
              <w:rPr>
                <w:rFonts w:ascii="Arial" w:hAnsi="Arial" w:cs="Arial"/>
                <w:color w:val="0D2255"/>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3,378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2,865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18"/>
                <w:szCs w:val="18"/>
              </w:rPr>
            </w:pPr>
            <w:r w:rsidRPr="00A50F40">
              <w:rPr>
                <w:rFonts w:ascii="Arial" w:hAnsi="Arial" w:cs="Arial"/>
                <w:color w:val="0D2255"/>
                <w:sz w:val="18"/>
                <w:szCs w:val="18"/>
              </w:rPr>
              <w:t>-15.2%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43,788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32,000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18"/>
                <w:szCs w:val="18"/>
              </w:rPr>
            </w:pPr>
            <w:r w:rsidRPr="00A50F40">
              <w:rPr>
                <w:rFonts w:ascii="Arial" w:hAnsi="Arial" w:cs="Arial"/>
                <w:color w:val="0D2255"/>
                <w:sz w:val="18"/>
                <w:szCs w:val="18"/>
              </w:rPr>
              <w:t>-26.9%</w:t>
            </w:r>
          </w:p>
        </w:tc>
      </w:tr>
      <w:tr w:rsidR="00A50F40"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Calibri" w:eastAsiaTheme="minorHAnsi" w:hAnsi="Calibri"/>
                <w:color w:val="0D2255"/>
                <w:sz w:val="22"/>
                <w:szCs w:val="22"/>
              </w:rPr>
            </w:pPr>
            <w:r w:rsidRPr="00A50F40">
              <w:rPr>
                <w:rFonts w:ascii="Arial" w:hAnsi="Arial" w:cs="Arial"/>
                <w:color w:val="0D2255"/>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47.4%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40.5%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52.8%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49.2%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0F40" w:rsidRPr="00A50F40" w:rsidRDefault="00A50F40">
            <w:pPr>
              <w:jc w:val="right"/>
              <w:rPr>
                <w:rFonts w:ascii="Arial" w:hAnsi="Arial" w:cs="Arial"/>
                <w:color w:val="0D2255"/>
                <w:sz w:val="20"/>
              </w:rPr>
            </w:pPr>
            <w:r w:rsidRPr="00A50F40">
              <w:rPr>
                <w:rFonts w:ascii="Arial" w:hAnsi="Arial" w:cs="Arial"/>
                <w:color w:val="0D2255"/>
                <w:sz w:val="20"/>
              </w:rPr>
              <w:t> </w:t>
            </w:r>
          </w:p>
        </w:tc>
      </w:tr>
    </w:tbl>
    <w:p w:rsidR="00142AE3" w:rsidRPr="00325254" w:rsidRDefault="00142AE3" w:rsidP="00142AE3">
      <w:pPr>
        <w:rPr>
          <w:rFonts w:ascii="Arial" w:hAnsi="Arial" w:cs="Arial"/>
          <w:b/>
          <w:color w:val="0D2255"/>
          <w:sz w:val="20"/>
        </w:rPr>
      </w:pPr>
    </w:p>
    <w:p w:rsidR="00142AE3" w:rsidRDefault="00142AE3" w:rsidP="00142AE3">
      <w:pPr>
        <w:rPr>
          <w:rFonts w:ascii="Arial" w:hAnsi="Arial" w:cs="Arial"/>
          <w:b/>
          <w:color w:val="0D2255"/>
          <w:sz w:val="20"/>
        </w:rPr>
      </w:pPr>
      <w:r w:rsidRPr="00325254">
        <w:rPr>
          <w:rFonts w:ascii="Arial" w:hAnsi="Arial" w:cs="Arial"/>
          <w:b/>
          <w:color w:val="0D2255"/>
          <w:sz w:val="20"/>
        </w:rPr>
        <w:t xml:space="preserve">CV output </w:t>
      </w:r>
      <w:r w:rsidR="001F21A2">
        <w:rPr>
          <w:rFonts w:ascii="Arial" w:hAnsi="Arial" w:cs="Arial"/>
          <w:b/>
          <w:color w:val="0D2255"/>
          <w:sz w:val="20"/>
        </w:rPr>
        <w:t xml:space="preserve">– </w:t>
      </w:r>
      <w:r w:rsidRPr="00325254">
        <w:rPr>
          <w:rFonts w:ascii="Arial" w:hAnsi="Arial" w:cs="Arial"/>
          <w:b/>
          <w:color w:val="0D2255"/>
          <w:sz w:val="20"/>
        </w:rPr>
        <w:t>rolling year to</w:t>
      </w:r>
      <w:r w:rsidR="001F21A2">
        <w:rPr>
          <w:rFonts w:ascii="Arial" w:hAnsi="Arial" w:cs="Arial"/>
          <w:b/>
          <w:color w:val="0D2255"/>
          <w:sz w:val="20"/>
        </w:rPr>
        <w:t>tal</w:t>
      </w:r>
      <w:r w:rsidR="001F21A2">
        <w:rPr>
          <w:rFonts w:ascii="Arial" w:hAnsi="Arial" w:cs="Arial"/>
          <w:b/>
          <w:color w:val="0D2255"/>
          <w:sz w:val="20"/>
        </w:rPr>
        <w:tab/>
      </w:r>
      <w:r w:rsidR="001F21A2">
        <w:rPr>
          <w:rFonts w:ascii="Arial" w:hAnsi="Arial" w:cs="Arial"/>
          <w:b/>
          <w:color w:val="0D2255"/>
          <w:sz w:val="20"/>
        </w:rPr>
        <w:tab/>
        <w:t xml:space="preserve">       </w:t>
      </w:r>
      <w:r w:rsidR="001F21A2">
        <w:rPr>
          <w:rFonts w:ascii="Arial" w:hAnsi="Arial" w:cs="Arial"/>
          <w:b/>
          <w:color w:val="0D2255"/>
          <w:sz w:val="20"/>
        </w:rPr>
        <w:tab/>
        <w:t xml:space="preserve">         CV output – January-</w:t>
      </w:r>
      <w:r w:rsidR="00D33AB3">
        <w:rPr>
          <w:rFonts w:ascii="Arial" w:hAnsi="Arial" w:cs="Arial"/>
          <w:b/>
          <w:color w:val="0D2255"/>
          <w:sz w:val="20"/>
        </w:rPr>
        <w:t>November</w:t>
      </w:r>
      <w:r w:rsidRPr="00325254">
        <w:rPr>
          <w:rFonts w:ascii="Arial" w:hAnsi="Arial" w:cs="Arial"/>
          <w:b/>
          <w:color w:val="0D2255"/>
          <w:sz w:val="20"/>
        </w:rPr>
        <w:t>, 2012-2014</w:t>
      </w:r>
    </w:p>
    <w:p w:rsidR="00A93760" w:rsidRDefault="00A93760" w:rsidP="00142AE3">
      <w:pPr>
        <w:rPr>
          <w:rFonts w:ascii="Arial" w:hAnsi="Arial" w:cs="Arial"/>
          <w:b/>
          <w:color w:val="0D2255"/>
          <w:sz w:val="20"/>
        </w:rPr>
      </w:pPr>
    </w:p>
    <w:p w:rsidR="000B47D6" w:rsidRPr="00247A08" w:rsidRDefault="00A50F40" w:rsidP="00C4074C">
      <w:pPr>
        <w:rPr>
          <w:rFonts w:ascii="Arial" w:hAnsi="Arial" w:cs="Arial"/>
          <w:b/>
          <w:color w:val="0D2255"/>
          <w:sz w:val="20"/>
        </w:rPr>
      </w:pPr>
      <w:r w:rsidRPr="00A50F40">
        <w:rPr>
          <w:rFonts w:ascii="Arial" w:hAnsi="Arial" w:cs="Arial"/>
          <w:b/>
          <w:noProof/>
          <w:color w:val="0D2255"/>
          <w:sz w:val="20"/>
        </w:rPr>
        <w:drawing>
          <wp:inline distT="0" distB="0" distL="0" distR="0">
            <wp:extent cx="2700068" cy="2311879"/>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93760">
        <w:rPr>
          <w:rFonts w:ascii="Arial" w:hAnsi="Arial" w:cs="Arial"/>
          <w:b/>
          <w:color w:val="0D2255"/>
          <w:sz w:val="20"/>
        </w:rPr>
        <w:t xml:space="preserve">         </w:t>
      </w:r>
      <w:r w:rsidRPr="00037DBD">
        <w:rPr>
          <w:rFonts w:ascii="Arial" w:hAnsi="Arial" w:cs="Arial"/>
          <w:b/>
          <w:noProof/>
          <w:color w:val="0D2255"/>
          <w:sz w:val="20"/>
        </w:rPr>
        <w:drawing>
          <wp:inline distT="0" distB="0" distL="0" distR="0">
            <wp:extent cx="2847975" cy="22288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0B47D6" w:rsidRPr="00247A08" w:rsidSect="00A72CAD">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B1" w:rsidRDefault="007B07B1" w:rsidP="00C80E70">
      <w:r>
        <w:separator/>
      </w:r>
    </w:p>
  </w:endnote>
  <w:endnote w:type="continuationSeparator" w:id="0">
    <w:p w:rsidR="007B07B1" w:rsidRDefault="007B07B1"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B1" w:rsidRPr="00853E71" w:rsidRDefault="007B07B1"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7B07B1" w:rsidRPr="00853E71" w:rsidRDefault="007B07B1"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7B07B1" w:rsidRPr="00853E71" w:rsidRDefault="007B07B1" w:rsidP="007A1EAA">
    <w:pPr>
      <w:spacing w:afterAutospacing="1"/>
      <w:contextualSpacing/>
      <w:rPr>
        <w:rFonts w:ascii="Arial" w:eastAsia="Times New Roman" w:hAnsi="Arial" w:cs="Arial"/>
        <w:color w:val="1074CB"/>
        <w:sz w:val="16"/>
        <w:szCs w:val="16"/>
      </w:rPr>
    </w:pPr>
  </w:p>
  <w:p w:rsidR="007B07B1" w:rsidRPr="00853E71" w:rsidRDefault="007B07B1"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7B07B1" w:rsidRPr="00853E71" w:rsidRDefault="007B07B1" w:rsidP="007A1EAA">
    <w:pPr>
      <w:spacing w:afterAutospacing="1"/>
      <w:contextualSpacing/>
      <w:rPr>
        <w:rFonts w:ascii="Arial" w:eastAsia="Times New Roman" w:hAnsi="Arial" w:cs="Arial"/>
        <w:color w:val="1074CB"/>
        <w:sz w:val="16"/>
        <w:szCs w:val="16"/>
      </w:rPr>
    </w:pPr>
  </w:p>
  <w:p w:rsidR="007B07B1" w:rsidRPr="00853E71" w:rsidRDefault="007B07B1"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7B07B1" w:rsidRPr="00853E71" w:rsidRDefault="007B07B1" w:rsidP="007A1EAA">
    <w:pPr>
      <w:spacing w:afterAutospacing="1"/>
      <w:contextualSpacing/>
      <w:rPr>
        <w:rFonts w:ascii="Arial" w:eastAsia="Times New Roman" w:hAnsi="Arial" w:cs="Arial"/>
        <w:color w:val="1074CB"/>
        <w:sz w:val="16"/>
        <w:szCs w:val="16"/>
      </w:rPr>
    </w:pPr>
  </w:p>
  <w:p w:rsidR="007B07B1" w:rsidRPr="00853E71" w:rsidRDefault="007B07B1"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7B07B1" w:rsidRPr="00853E71" w:rsidRDefault="007B07B1"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B07B1" w:rsidRDefault="007B07B1" w:rsidP="00B94DB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F56359">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7B07B1" w:rsidRPr="00430DCC" w:rsidRDefault="007B07B1" w:rsidP="00B94DB1">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B1" w:rsidRDefault="007B07B1" w:rsidP="00C80E70">
      <w:r>
        <w:separator/>
      </w:r>
    </w:p>
  </w:footnote>
  <w:footnote w:type="continuationSeparator" w:id="0">
    <w:p w:rsidR="007B07B1" w:rsidRDefault="007B07B1"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B1" w:rsidRDefault="007B07B1"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efaultTabStop w:val="720"/>
  <w:characterSpacingControl w:val="doNotCompress"/>
  <w:hdrShapeDefaults>
    <o:shapedefaults v:ext="edit" spidmax="16385"/>
  </w:hdrShapeDefaults>
  <w:footnotePr>
    <w:footnote w:id="-1"/>
    <w:footnote w:id="0"/>
  </w:footnotePr>
  <w:endnotePr>
    <w:endnote w:id="-1"/>
    <w:endnote w:id="0"/>
  </w:endnotePr>
  <w:compat/>
  <w:rsids>
    <w:rsidRoot w:val="00C80E70"/>
    <w:rsid w:val="0001774D"/>
    <w:rsid w:val="00017BE7"/>
    <w:rsid w:val="000376DA"/>
    <w:rsid w:val="00037DBD"/>
    <w:rsid w:val="00040399"/>
    <w:rsid w:val="00054E31"/>
    <w:rsid w:val="00066F55"/>
    <w:rsid w:val="0008241D"/>
    <w:rsid w:val="00096A24"/>
    <w:rsid w:val="000B47D6"/>
    <w:rsid w:val="000C3FDE"/>
    <w:rsid w:val="000E5317"/>
    <w:rsid w:val="00116666"/>
    <w:rsid w:val="00121C86"/>
    <w:rsid w:val="00125D19"/>
    <w:rsid w:val="00133B87"/>
    <w:rsid w:val="0013617E"/>
    <w:rsid w:val="00142AE3"/>
    <w:rsid w:val="0014558C"/>
    <w:rsid w:val="001737CD"/>
    <w:rsid w:val="0017616F"/>
    <w:rsid w:val="00187E2B"/>
    <w:rsid w:val="00192CE4"/>
    <w:rsid w:val="001A1B4A"/>
    <w:rsid w:val="001A67B5"/>
    <w:rsid w:val="001B2FFA"/>
    <w:rsid w:val="001C389E"/>
    <w:rsid w:val="001D6CB9"/>
    <w:rsid w:val="001E2638"/>
    <w:rsid w:val="001E33CE"/>
    <w:rsid w:val="001E428D"/>
    <w:rsid w:val="001F21A2"/>
    <w:rsid w:val="001F7274"/>
    <w:rsid w:val="00200A18"/>
    <w:rsid w:val="00200F65"/>
    <w:rsid w:val="00201A40"/>
    <w:rsid w:val="0020649D"/>
    <w:rsid w:val="00207B1F"/>
    <w:rsid w:val="00215AA6"/>
    <w:rsid w:val="00235019"/>
    <w:rsid w:val="00247A08"/>
    <w:rsid w:val="00252DCB"/>
    <w:rsid w:val="00263E82"/>
    <w:rsid w:val="00266A9A"/>
    <w:rsid w:val="002A5934"/>
    <w:rsid w:val="002B4F7D"/>
    <w:rsid w:val="002C400E"/>
    <w:rsid w:val="002D17AA"/>
    <w:rsid w:val="002D6C6E"/>
    <w:rsid w:val="002F3F25"/>
    <w:rsid w:val="002F73AF"/>
    <w:rsid w:val="00325254"/>
    <w:rsid w:val="003372F6"/>
    <w:rsid w:val="00361AC4"/>
    <w:rsid w:val="00375DF8"/>
    <w:rsid w:val="003A0F07"/>
    <w:rsid w:val="003A3777"/>
    <w:rsid w:val="003B1C39"/>
    <w:rsid w:val="003C76B4"/>
    <w:rsid w:val="003D5459"/>
    <w:rsid w:val="003E4D46"/>
    <w:rsid w:val="003E69D3"/>
    <w:rsid w:val="003F69E6"/>
    <w:rsid w:val="00410539"/>
    <w:rsid w:val="00427213"/>
    <w:rsid w:val="00430DCC"/>
    <w:rsid w:val="00440369"/>
    <w:rsid w:val="00443FDD"/>
    <w:rsid w:val="00447CDA"/>
    <w:rsid w:val="004512F2"/>
    <w:rsid w:val="00456EBB"/>
    <w:rsid w:val="00464583"/>
    <w:rsid w:val="0046552A"/>
    <w:rsid w:val="00467D20"/>
    <w:rsid w:val="00471965"/>
    <w:rsid w:val="00472D14"/>
    <w:rsid w:val="00482D22"/>
    <w:rsid w:val="00486897"/>
    <w:rsid w:val="00494E5E"/>
    <w:rsid w:val="004B7047"/>
    <w:rsid w:val="004B723F"/>
    <w:rsid w:val="004B727E"/>
    <w:rsid w:val="004B7D45"/>
    <w:rsid w:val="004C6418"/>
    <w:rsid w:val="004C6507"/>
    <w:rsid w:val="004D2D65"/>
    <w:rsid w:val="004D592D"/>
    <w:rsid w:val="004F53F5"/>
    <w:rsid w:val="00505C8C"/>
    <w:rsid w:val="005068D3"/>
    <w:rsid w:val="005218AC"/>
    <w:rsid w:val="005230CA"/>
    <w:rsid w:val="005407A6"/>
    <w:rsid w:val="00542422"/>
    <w:rsid w:val="00545182"/>
    <w:rsid w:val="00545EE2"/>
    <w:rsid w:val="005534B2"/>
    <w:rsid w:val="0055683E"/>
    <w:rsid w:val="005621BD"/>
    <w:rsid w:val="00567F13"/>
    <w:rsid w:val="00577A32"/>
    <w:rsid w:val="005926DF"/>
    <w:rsid w:val="005B33EF"/>
    <w:rsid w:val="005B536B"/>
    <w:rsid w:val="005C668F"/>
    <w:rsid w:val="005D2BA5"/>
    <w:rsid w:val="005E2C9D"/>
    <w:rsid w:val="005F44DC"/>
    <w:rsid w:val="00603DD8"/>
    <w:rsid w:val="0060762E"/>
    <w:rsid w:val="00614891"/>
    <w:rsid w:val="00626F3D"/>
    <w:rsid w:val="006315A6"/>
    <w:rsid w:val="0063394A"/>
    <w:rsid w:val="006364F0"/>
    <w:rsid w:val="00652DC2"/>
    <w:rsid w:val="00653F42"/>
    <w:rsid w:val="0066216E"/>
    <w:rsid w:val="006623D6"/>
    <w:rsid w:val="006767F4"/>
    <w:rsid w:val="00686576"/>
    <w:rsid w:val="00696C6A"/>
    <w:rsid w:val="006B3606"/>
    <w:rsid w:val="006B4C72"/>
    <w:rsid w:val="006B7F8A"/>
    <w:rsid w:val="006C63D3"/>
    <w:rsid w:val="006D538E"/>
    <w:rsid w:val="006E5BF9"/>
    <w:rsid w:val="006F7AF9"/>
    <w:rsid w:val="00703767"/>
    <w:rsid w:val="00714EF7"/>
    <w:rsid w:val="00735C0B"/>
    <w:rsid w:val="00736FB6"/>
    <w:rsid w:val="0073709A"/>
    <w:rsid w:val="007430A2"/>
    <w:rsid w:val="007433FE"/>
    <w:rsid w:val="00750A6C"/>
    <w:rsid w:val="00761183"/>
    <w:rsid w:val="00767145"/>
    <w:rsid w:val="00771A60"/>
    <w:rsid w:val="007851A1"/>
    <w:rsid w:val="00787B6E"/>
    <w:rsid w:val="00791C3D"/>
    <w:rsid w:val="007A1EAA"/>
    <w:rsid w:val="007B07B1"/>
    <w:rsid w:val="007B7669"/>
    <w:rsid w:val="007D36B3"/>
    <w:rsid w:val="00800A86"/>
    <w:rsid w:val="008030A3"/>
    <w:rsid w:val="00804C47"/>
    <w:rsid w:val="00806662"/>
    <w:rsid w:val="00815724"/>
    <w:rsid w:val="00834B54"/>
    <w:rsid w:val="00865D45"/>
    <w:rsid w:val="00867D0B"/>
    <w:rsid w:val="00880351"/>
    <w:rsid w:val="008902B9"/>
    <w:rsid w:val="00891F21"/>
    <w:rsid w:val="008B50CB"/>
    <w:rsid w:val="008D1E45"/>
    <w:rsid w:val="008E4462"/>
    <w:rsid w:val="008F0A62"/>
    <w:rsid w:val="008F55A4"/>
    <w:rsid w:val="00924274"/>
    <w:rsid w:val="00931C26"/>
    <w:rsid w:val="00932034"/>
    <w:rsid w:val="009511F2"/>
    <w:rsid w:val="00951B31"/>
    <w:rsid w:val="009548FB"/>
    <w:rsid w:val="00964455"/>
    <w:rsid w:val="0097483C"/>
    <w:rsid w:val="009A5488"/>
    <w:rsid w:val="009D44F7"/>
    <w:rsid w:val="009F17EB"/>
    <w:rsid w:val="009F5D30"/>
    <w:rsid w:val="00A2060E"/>
    <w:rsid w:val="00A24874"/>
    <w:rsid w:val="00A4405B"/>
    <w:rsid w:val="00A453EF"/>
    <w:rsid w:val="00A50F40"/>
    <w:rsid w:val="00A51715"/>
    <w:rsid w:val="00A67F90"/>
    <w:rsid w:val="00A72CAD"/>
    <w:rsid w:val="00A73903"/>
    <w:rsid w:val="00A773DB"/>
    <w:rsid w:val="00A86C6F"/>
    <w:rsid w:val="00A93760"/>
    <w:rsid w:val="00A93DE9"/>
    <w:rsid w:val="00A94474"/>
    <w:rsid w:val="00A96D25"/>
    <w:rsid w:val="00AA2084"/>
    <w:rsid w:val="00AA7BF4"/>
    <w:rsid w:val="00AB33BB"/>
    <w:rsid w:val="00AC57E0"/>
    <w:rsid w:val="00AD65CE"/>
    <w:rsid w:val="00B01D92"/>
    <w:rsid w:val="00B12E13"/>
    <w:rsid w:val="00B142C0"/>
    <w:rsid w:val="00B22811"/>
    <w:rsid w:val="00B2588D"/>
    <w:rsid w:val="00B36DF8"/>
    <w:rsid w:val="00B4035F"/>
    <w:rsid w:val="00B40CCD"/>
    <w:rsid w:val="00B4715D"/>
    <w:rsid w:val="00B857A6"/>
    <w:rsid w:val="00B93687"/>
    <w:rsid w:val="00B94DB1"/>
    <w:rsid w:val="00B95B22"/>
    <w:rsid w:val="00BB3EB9"/>
    <w:rsid w:val="00BB5F83"/>
    <w:rsid w:val="00BC3163"/>
    <w:rsid w:val="00BC5727"/>
    <w:rsid w:val="00BC7B6B"/>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67372"/>
    <w:rsid w:val="00C73F08"/>
    <w:rsid w:val="00C80E70"/>
    <w:rsid w:val="00C83606"/>
    <w:rsid w:val="00CA41BC"/>
    <w:rsid w:val="00CB221D"/>
    <w:rsid w:val="00CB4D91"/>
    <w:rsid w:val="00CB6220"/>
    <w:rsid w:val="00CC3D52"/>
    <w:rsid w:val="00CC6098"/>
    <w:rsid w:val="00CD0659"/>
    <w:rsid w:val="00CE070B"/>
    <w:rsid w:val="00CE0EE1"/>
    <w:rsid w:val="00CE3518"/>
    <w:rsid w:val="00D12474"/>
    <w:rsid w:val="00D335A5"/>
    <w:rsid w:val="00D33AB3"/>
    <w:rsid w:val="00D41CAD"/>
    <w:rsid w:val="00D446D8"/>
    <w:rsid w:val="00D448CA"/>
    <w:rsid w:val="00D561FB"/>
    <w:rsid w:val="00D6067E"/>
    <w:rsid w:val="00D60A7A"/>
    <w:rsid w:val="00D6336B"/>
    <w:rsid w:val="00D65CB1"/>
    <w:rsid w:val="00D70424"/>
    <w:rsid w:val="00D82F6C"/>
    <w:rsid w:val="00D86627"/>
    <w:rsid w:val="00D911A4"/>
    <w:rsid w:val="00D92B21"/>
    <w:rsid w:val="00D96424"/>
    <w:rsid w:val="00DA78D8"/>
    <w:rsid w:val="00DB3140"/>
    <w:rsid w:val="00DB3768"/>
    <w:rsid w:val="00DC2D95"/>
    <w:rsid w:val="00DE0B9A"/>
    <w:rsid w:val="00DE5D6C"/>
    <w:rsid w:val="00DF19D9"/>
    <w:rsid w:val="00E14BEF"/>
    <w:rsid w:val="00E15193"/>
    <w:rsid w:val="00E343D2"/>
    <w:rsid w:val="00E634A1"/>
    <w:rsid w:val="00E714BD"/>
    <w:rsid w:val="00E84E41"/>
    <w:rsid w:val="00E8542A"/>
    <w:rsid w:val="00EB1B2D"/>
    <w:rsid w:val="00EB2FB8"/>
    <w:rsid w:val="00EB4E51"/>
    <w:rsid w:val="00EB5EA2"/>
    <w:rsid w:val="00EC2476"/>
    <w:rsid w:val="00EC65AF"/>
    <w:rsid w:val="00EF35D8"/>
    <w:rsid w:val="00F16A23"/>
    <w:rsid w:val="00F205F0"/>
    <w:rsid w:val="00F339C4"/>
    <w:rsid w:val="00F40145"/>
    <w:rsid w:val="00F43472"/>
    <w:rsid w:val="00F50E90"/>
    <w:rsid w:val="00F5185E"/>
    <w:rsid w:val="00F67060"/>
    <w:rsid w:val="00F84F7B"/>
    <w:rsid w:val="00F867E9"/>
    <w:rsid w:val="00F869E5"/>
    <w:rsid w:val="00FF10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NO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NO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3956850754480441"/>
          <c:y val="7.5802842622818931E-2"/>
          <c:w val="0.67058581594826461"/>
          <c:h val="0.7364113779311114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numRef>
              <c:f>'PR&amp;12MONTHROLL-CHARTS'!$C$8:$CH$8</c:f>
              <c:numCache>
                <c:formatCode>General</c:formatCode>
                <c:ptCount val="84"/>
                <c:pt idx="0">
                  <c:v>2008</c:v>
                </c:pt>
                <c:pt idx="12">
                  <c:v>2009</c:v>
                </c:pt>
                <c:pt idx="24">
                  <c:v>2010</c:v>
                </c:pt>
                <c:pt idx="36">
                  <c:v>2011</c:v>
                </c:pt>
                <c:pt idx="48">
                  <c:v>2012</c:v>
                </c:pt>
                <c:pt idx="60">
                  <c:v>2013</c:v>
                </c:pt>
                <c:pt idx="72">
                  <c:v>2014</c:v>
                </c:pt>
              </c:numCache>
            </c:numRef>
          </c:cat>
          <c:val>
            <c:numRef>
              <c:f>'PR&amp;12MONTHROLL-CHARTS'!$C$9:$CH$9</c:f>
              <c:numCache>
                <c:formatCode>General</c:formatCode>
                <c:ptCount val="84"/>
                <c:pt idx="0">
                  <c:v>216.93200000000004</c:v>
                </c:pt>
                <c:pt idx="1">
                  <c:v>220.09</c:v>
                </c:pt>
                <c:pt idx="2">
                  <c:v>218.60499999999999</c:v>
                </c:pt>
                <c:pt idx="3">
                  <c:v>224.066</c:v>
                </c:pt>
                <c:pt idx="4">
                  <c:v>224.81300000000002</c:v>
                </c:pt>
                <c:pt idx="5">
                  <c:v>227.24299999999999</c:v>
                </c:pt>
                <c:pt idx="6">
                  <c:v>234.255</c:v>
                </c:pt>
                <c:pt idx="7">
                  <c:v>230.57900000000001</c:v>
                </c:pt>
                <c:pt idx="8">
                  <c:v>231.30100000000004</c:v>
                </c:pt>
                <c:pt idx="9">
                  <c:v>222.191</c:v>
                </c:pt>
                <c:pt idx="10">
                  <c:v>211.12800000000001</c:v>
                </c:pt>
                <c:pt idx="11">
                  <c:v>202.89600000000004</c:v>
                </c:pt>
                <c:pt idx="12">
                  <c:v>190.40700000000001</c:v>
                </c:pt>
                <c:pt idx="13">
                  <c:v>175.62800000000001</c:v>
                </c:pt>
                <c:pt idx="14">
                  <c:v>164.89700000000005</c:v>
                </c:pt>
                <c:pt idx="15">
                  <c:v>150.56800000000001</c:v>
                </c:pt>
                <c:pt idx="16">
                  <c:v>137.55800000000005</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103.93400000000003</c:v>
                </c:pt>
                <c:pt idx="28">
                  <c:v>109.98699999999999</c:v>
                </c:pt>
                <c:pt idx="29">
                  <c:v>112.111</c:v>
                </c:pt>
                <c:pt idx="30">
                  <c:v>113.232</c:v>
                </c:pt>
                <c:pt idx="31">
                  <c:v>114.29600000000002</c:v>
                </c:pt>
                <c:pt idx="32">
                  <c:v>115.91900000000003</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115.91700000000003</c:v>
                </c:pt>
                <c:pt idx="56">
                  <c:v>113.47799999999999</c:v>
                </c:pt>
                <c:pt idx="57">
                  <c:v>114.04</c:v>
                </c:pt>
                <c:pt idx="58">
                  <c:v>113.634</c:v>
                </c:pt>
                <c:pt idx="59">
                  <c:v>112.039</c:v>
                </c:pt>
                <c:pt idx="60">
                  <c:v>110.018</c:v>
                </c:pt>
                <c:pt idx="61">
                  <c:v>108.392</c:v>
                </c:pt>
                <c:pt idx="62">
                  <c:v>106.574</c:v>
                </c:pt>
                <c:pt idx="63">
                  <c:v>106.318</c:v>
                </c:pt>
                <c:pt idx="64">
                  <c:v>104.46700000000003</c:v>
                </c:pt>
                <c:pt idx="65">
                  <c:v>104.607</c:v>
                </c:pt>
                <c:pt idx="66">
                  <c:v>104.057</c:v>
                </c:pt>
                <c:pt idx="67">
                  <c:v>100.221</c:v>
                </c:pt>
                <c:pt idx="68">
                  <c:v>97.611000000000004</c:v>
                </c:pt>
                <c:pt idx="69">
                  <c:v>93.650999999999982</c:v>
                </c:pt>
                <c:pt idx="70">
                  <c:v>89.798000000000002</c:v>
                </c:pt>
                <c:pt idx="71">
                  <c:v>88.11</c:v>
                </c:pt>
                <c:pt idx="72">
                  <c:v>86.994000000000028</c:v>
                </c:pt>
                <c:pt idx="73">
                  <c:v>85.203999999999994</c:v>
                </c:pt>
                <c:pt idx="74">
                  <c:v>83.881999999999991</c:v>
                </c:pt>
                <c:pt idx="75">
                  <c:v>81.531999999999996</c:v>
                </c:pt>
                <c:pt idx="76">
                  <c:v>79.065000000000012</c:v>
                </c:pt>
                <c:pt idx="77">
                  <c:v>76.906000000000006</c:v>
                </c:pt>
                <c:pt idx="78">
                  <c:v>74.790000000000006</c:v>
                </c:pt>
                <c:pt idx="79">
                  <c:v>73.147999999999996</c:v>
                </c:pt>
                <c:pt idx="80">
                  <c:v>70.968999999999994</c:v>
                </c:pt>
                <c:pt idx="81">
                  <c:v>70.265000000000001</c:v>
                </c:pt>
                <c:pt idx="82">
                  <c:v>70.217000000000027</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numRef>
              <c:f>'PR&amp;12MONTHROLL-CHARTS'!$C$8:$CH$8</c:f>
              <c:numCache>
                <c:formatCode>General</c:formatCode>
                <c:ptCount val="84"/>
                <c:pt idx="0">
                  <c:v>2008</c:v>
                </c:pt>
                <c:pt idx="12">
                  <c:v>2009</c:v>
                </c:pt>
                <c:pt idx="24">
                  <c:v>2010</c:v>
                </c:pt>
                <c:pt idx="36">
                  <c:v>2011</c:v>
                </c:pt>
                <c:pt idx="48">
                  <c:v>2012</c:v>
                </c:pt>
                <c:pt idx="60">
                  <c:v>2013</c:v>
                </c:pt>
                <c:pt idx="72">
                  <c:v>2014</c:v>
                </c:pt>
              </c:numCache>
            </c:numRef>
          </c:cat>
          <c:val>
            <c:numRef>
              <c:f>'PR&amp;12MONTHROLL-CHARTS'!$C$10:$CH$10</c:f>
              <c:numCache>
                <c:formatCode>General</c:formatCode>
                <c:ptCount val="84"/>
                <c:pt idx="0">
                  <c:v>132.43900000000002</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136.85100000000006</c:v>
                </c:pt>
                <c:pt idx="10">
                  <c:v>130.52600000000001</c:v>
                </c:pt>
                <c:pt idx="11">
                  <c:v>125.611</c:v>
                </c:pt>
                <c:pt idx="12">
                  <c:v>119.71899999999999</c:v>
                </c:pt>
                <c:pt idx="13">
                  <c:v>112.473</c:v>
                </c:pt>
                <c:pt idx="14">
                  <c:v>106.93700000000003</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70.182000000000002</c:v>
                </c:pt>
                <c:pt idx="26">
                  <c:v>72.653999999999982</c:v>
                </c:pt>
                <c:pt idx="27">
                  <c:v>73.804999999999993</c:v>
                </c:pt>
                <c:pt idx="28">
                  <c:v>77.438000000000002</c:v>
                </c:pt>
                <c:pt idx="29">
                  <c:v>78.872999999999976</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69.375999999999976</c:v>
                </c:pt>
                <c:pt idx="48">
                  <c:v>69.41400000000003</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61.581000000000003</c:v>
                </c:pt>
                <c:pt idx="61">
                  <c:v>59.826000000000001</c:v>
                </c:pt>
                <c:pt idx="62">
                  <c:v>57.596000000000011</c:v>
                </c:pt>
                <c:pt idx="63">
                  <c:v>56.538000000000011</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pt idx="73">
                  <c:v>46.951999999999998</c:v>
                </c:pt>
                <c:pt idx="74">
                  <c:v>46.725000000000016</c:v>
                </c:pt>
                <c:pt idx="75">
                  <c:v>45.376000000000005</c:v>
                </c:pt>
                <c:pt idx="76">
                  <c:v>43.668000000000013</c:v>
                </c:pt>
                <c:pt idx="77">
                  <c:v>42.129000000000012</c:v>
                </c:pt>
                <c:pt idx="78">
                  <c:v>40.234000000000002</c:v>
                </c:pt>
                <c:pt idx="79">
                  <c:v>38.779000000000003</c:v>
                </c:pt>
                <c:pt idx="80">
                  <c:v>37.895000000000003</c:v>
                </c:pt>
                <c:pt idx="81">
                  <c:v>36.635000000000012</c:v>
                </c:pt>
                <c:pt idx="82">
                  <c:v>36.122000000000014</c:v>
                </c:pt>
              </c:numCache>
            </c:numRef>
          </c:val>
        </c:ser>
        <c:marker val="1"/>
        <c:axId val="51466624"/>
        <c:axId val="51468160"/>
      </c:lineChart>
      <c:catAx>
        <c:axId val="51466624"/>
        <c:scaling>
          <c:orientation val="minMax"/>
        </c:scaling>
        <c:axPos val="b"/>
        <c:numFmt formatCode="General" sourceLinked="1"/>
        <c:majorTickMark val="none"/>
        <c:tickLblPos val="nextTo"/>
        <c:spPr>
          <a:noFill/>
        </c:spPr>
        <c:txPr>
          <a:bodyPr rot="-1980000" vert="horz"/>
          <a:lstStyle/>
          <a:p>
            <a:pPr>
              <a:defRPr sz="1000" b="0" i="0" u="none" strike="noStrike" baseline="0">
                <a:solidFill>
                  <a:srgbClr val="0D2255"/>
                </a:solidFill>
                <a:latin typeface="Arial"/>
                <a:ea typeface="Arial"/>
                <a:cs typeface="Arial"/>
              </a:defRPr>
            </a:pPr>
            <a:endParaRPr lang="en-US"/>
          </a:p>
        </c:txPr>
        <c:crossAx val="51468160"/>
        <c:crosses val="autoZero"/>
        <c:auto val="1"/>
        <c:lblAlgn val="ctr"/>
        <c:lblOffset val="100"/>
        <c:tickMarkSkip val="12"/>
      </c:catAx>
      <c:valAx>
        <c:axId val="51468160"/>
        <c:scaling>
          <c:orientation val="minMax"/>
          <c:max val="250"/>
          <c:min val="0"/>
        </c:scaling>
        <c:axPos val="l"/>
        <c:majorGridlines/>
        <c:title>
          <c:tx>
            <c:rich>
              <a:bodyPr/>
              <a:lstStyle/>
              <a:p>
                <a:pPr>
                  <a:defRPr sz="1000" b="1" i="1" u="none" strike="noStrike" baseline="0">
                    <a:solidFill>
                      <a:srgbClr val="0D2255"/>
                    </a:solidFill>
                    <a:latin typeface="Arial"/>
                    <a:ea typeface="Arial"/>
                    <a:cs typeface="Arial"/>
                  </a:defRPr>
                </a:pPr>
                <a:r>
                  <a:rPr lang="en-GB" i="1">
                    <a:solidFill>
                      <a:srgbClr val="0D2255"/>
                    </a:solidFill>
                  </a:rPr>
                  <a:t>Thousands</a:t>
                </a:r>
              </a:p>
            </c:rich>
          </c:tx>
          <c:layout/>
        </c:title>
        <c:numFmt formatCode="General" sourceLinked="1"/>
        <c:majorTickMark val="none"/>
        <c:tickLblPos val="nextTo"/>
        <c:txPr>
          <a:bodyPr rot="0" vert="horz"/>
          <a:lstStyle/>
          <a:p>
            <a:pPr>
              <a:defRPr sz="1000" b="0" i="0" u="none" strike="noStrike" baseline="0">
                <a:solidFill>
                  <a:srgbClr val="0D2255"/>
                </a:solidFill>
                <a:latin typeface="Arial"/>
                <a:ea typeface="Arial"/>
                <a:cs typeface="Arial"/>
              </a:defRPr>
            </a:pPr>
            <a:endParaRPr lang="en-US"/>
          </a:p>
        </c:txPr>
        <c:crossAx val="51466624"/>
        <c:crosses val="autoZero"/>
        <c:crossBetween val="between"/>
        <c:majorUnit val="50"/>
      </c:valAx>
    </c:plotArea>
    <c:legend>
      <c:legendPos val="r"/>
      <c:layout>
        <c:manualLayout>
          <c:xMode val="edge"/>
          <c:yMode val="edge"/>
          <c:x val="0.55676957906034941"/>
          <c:y val="0.21831287218130013"/>
          <c:w val="0.33326478520081959"/>
          <c:h val="0.14667155852830219"/>
        </c:manualLayout>
      </c:layout>
      <c:txPr>
        <a:bodyPr/>
        <a:lstStyle/>
        <a:p>
          <a:pPr>
            <a:defRPr sz="845" b="0" i="0" u="none" strike="noStrike" baseline="0">
              <a:solidFill>
                <a:srgbClr val="0D2255"/>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8056829852790185"/>
          <c:y val="4.4991811920945889E-2"/>
          <c:w val="0.79508112004134157"/>
          <c:h val="0.82396347892410882"/>
        </c:manualLayout>
      </c:layout>
      <c:barChart>
        <c:barDir val="col"/>
        <c:grouping val="stacked"/>
        <c:ser>
          <c:idx val="0"/>
          <c:order val="0"/>
          <c:tx>
            <c:strRef>
              <c:f>'PR chart 2 A'!$B$138</c:f>
              <c:strCache>
                <c:ptCount val="1"/>
                <c:pt idx="0">
                  <c:v>Exports</c:v>
                </c:pt>
              </c:strCache>
            </c:strRef>
          </c:tx>
          <c:spPr>
            <a:solidFill>
              <a:srgbClr val="0D2255"/>
            </a:solidFill>
          </c:spPr>
          <c:cat>
            <c:numRef>
              <c:f>'PR chart 2 A'!$E$165:$G$165</c:f>
              <c:numCache>
                <c:formatCode>General</c:formatCode>
                <c:ptCount val="3"/>
                <c:pt idx="0">
                  <c:v>2012</c:v>
                </c:pt>
                <c:pt idx="1">
                  <c:v>2013</c:v>
                </c:pt>
                <c:pt idx="2">
                  <c:v>2014</c:v>
                </c:pt>
              </c:numCache>
            </c:numRef>
          </c:cat>
          <c:val>
            <c:numRef>
              <c:f>'PR chart 2 A'!$E$166:$G$166</c:f>
              <c:numCache>
                <c:formatCode>General</c:formatCode>
                <c:ptCount val="3"/>
                <c:pt idx="0">
                  <c:v>60183</c:v>
                </c:pt>
                <c:pt idx="1">
                  <c:v>43788</c:v>
                </c:pt>
                <c:pt idx="2">
                  <c:v>32000</c:v>
                </c:pt>
              </c:numCache>
            </c:numRef>
          </c:val>
        </c:ser>
        <c:ser>
          <c:idx val="13"/>
          <c:order val="1"/>
          <c:tx>
            <c:strRef>
              <c:f>'PR chart 2 A'!$B$139</c:f>
              <c:strCache>
                <c:ptCount val="1"/>
                <c:pt idx="0">
                  <c:v>Home</c:v>
                </c:pt>
              </c:strCache>
            </c:strRef>
          </c:tx>
          <c:spPr>
            <a:solidFill>
              <a:srgbClr val="99C1E4"/>
            </a:solidFill>
            <a:ln w="31750">
              <a:noFill/>
              <a:prstDash val="solid"/>
            </a:ln>
          </c:spPr>
          <c:cat>
            <c:numRef>
              <c:f>'PR chart 2 A'!$E$165:$G$165</c:f>
              <c:numCache>
                <c:formatCode>General</c:formatCode>
                <c:ptCount val="3"/>
                <c:pt idx="0">
                  <c:v>2012</c:v>
                </c:pt>
                <c:pt idx="1">
                  <c:v>2013</c:v>
                </c:pt>
                <c:pt idx="2">
                  <c:v>2014</c:v>
                </c:pt>
              </c:numCache>
            </c:numRef>
          </c:cat>
          <c:val>
            <c:numRef>
              <c:f>'PR chart 2 A'!$E$167:$G$167</c:f>
              <c:numCache>
                <c:formatCode>General</c:formatCode>
                <c:ptCount val="3"/>
                <c:pt idx="0">
                  <c:v>45005</c:v>
                </c:pt>
                <c:pt idx="1">
                  <c:v>39159</c:v>
                </c:pt>
                <c:pt idx="2">
                  <c:v>33054</c:v>
                </c:pt>
              </c:numCache>
            </c:numRef>
          </c:val>
        </c:ser>
        <c:gapWidth val="35"/>
        <c:overlap val="100"/>
        <c:axId val="70866432"/>
        <c:axId val="70867968"/>
      </c:barChart>
      <c:catAx>
        <c:axId val="70866432"/>
        <c:scaling>
          <c:orientation val="minMax"/>
        </c:scaling>
        <c:axPos val="b"/>
        <c:numFmt formatCode="General" sourceLinked="0"/>
        <c:tickLblPos val="nextTo"/>
        <c:spPr>
          <a:ln w="3175">
            <a:solidFill>
              <a:srgbClr val="000000"/>
            </a:solidFill>
            <a:prstDash val="solid"/>
          </a:ln>
        </c:spPr>
        <c:txPr>
          <a:bodyPr rot="0" vert="horz"/>
          <a:lstStyle/>
          <a:p>
            <a:pPr>
              <a:defRPr i="0">
                <a:solidFill>
                  <a:srgbClr val="0D2255"/>
                </a:solidFill>
              </a:defRPr>
            </a:pPr>
            <a:endParaRPr lang="en-US"/>
          </a:p>
        </c:txPr>
        <c:crossAx val="70867968"/>
        <c:crosses val="autoZero"/>
        <c:auto val="1"/>
        <c:lblAlgn val="ctr"/>
        <c:lblOffset val="100"/>
        <c:tickLblSkip val="1"/>
        <c:tickMarkSkip val="1"/>
      </c:catAx>
      <c:valAx>
        <c:axId val="708679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a:solidFill>
                  <a:srgbClr val="0D2255"/>
                </a:solidFill>
              </a:defRPr>
            </a:pPr>
            <a:endParaRPr lang="en-US"/>
          </a:p>
        </c:txPr>
        <c:crossAx val="70866432"/>
        <c:crosses val="autoZero"/>
        <c:crossBetween val="between"/>
        <c:dispUnits>
          <c:builtInUnit val="thousands"/>
          <c:dispUnitsLbl>
            <c:layout>
              <c:manualLayout>
                <c:xMode val="edge"/>
                <c:yMode val="edge"/>
                <c:x val="0"/>
                <c:y val="0.29000605693519077"/>
              </c:manualLayout>
            </c:layout>
            <c:txPr>
              <a:bodyPr/>
              <a:lstStyle/>
              <a:p>
                <a:pPr>
                  <a:defRPr sz="1000" b="1" i="1">
                    <a:solidFill>
                      <a:srgbClr val="0D2255"/>
                    </a:solidFill>
                  </a:defRPr>
                </a:pPr>
                <a:endParaRPr lang="en-US"/>
              </a:p>
            </c:txPr>
          </c:dispUnitsLbl>
        </c:dispUnits>
      </c:valAx>
      <c:spPr>
        <a:noFill/>
        <a:ln w="12700">
          <a:solidFill>
            <a:srgbClr val="808080"/>
          </a:solidFill>
          <a:prstDash val="solid"/>
        </a:ln>
      </c:spPr>
    </c:plotArea>
    <c:legend>
      <c:legendPos val="r"/>
      <c:layout>
        <c:manualLayout>
          <c:xMode val="edge"/>
          <c:yMode val="edge"/>
          <c:x val="0.65964869775893509"/>
          <c:y val="8.4268568992978576E-2"/>
          <c:w val="0.20255549996049846"/>
          <c:h val="0.1955685667496691"/>
        </c:manualLayout>
      </c:layout>
      <c:spPr>
        <a:noFill/>
        <a:ln w="3175">
          <a:noFill/>
          <a:prstDash val="solid"/>
        </a:ln>
      </c:spPr>
      <c:txPr>
        <a:bodyPr/>
        <a:lstStyle/>
        <a:p>
          <a:pPr>
            <a:defRPr i="0" u="none">
              <a:solidFill>
                <a:srgbClr val="0D2255"/>
              </a:solidFill>
            </a:defRPr>
          </a:pPr>
          <a:endParaRPr lang="en-US"/>
        </a:p>
      </c:txPr>
    </c:legend>
    <c:plotVisOnly val="1"/>
    <c:dispBlanksAs val="zero"/>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0B477-DC36-44E1-8103-F565FAEF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Lucy BIelby</cp:lastModifiedBy>
  <cp:revision>10</cp:revision>
  <cp:lastPrinted>2013-12-16T13:34:00Z</cp:lastPrinted>
  <dcterms:created xsi:type="dcterms:W3CDTF">2014-10-23T07:39:00Z</dcterms:created>
  <dcterms:modified xsi:type="dcterms:W3CDTF">2014-12-18T09:54:00Z</dcterms:modified>
</cp:coreProperties>
</file>