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7D0" w:rsidRPr="00D62A9D" w:rsidRDefault="005C37D0" w:rsidP="005C37D0">
      <w:pPr>
        <w:pStyle w:val="Heading1"/>
        <w:ind w:right="142"/>
        <w:rPr>
          <w:rFonts w:ascii="Arial" w:eastAsiaTheme="minorEastAsia" w:hAnsi="Arial" w:cs="Arial"/>
          <w:bCs/>
          <w:color w:val="1074CB"/>
          <w:sz w:val="44"/>
          <w:szCs w:val="44"/>
        </w:rPr>
      </w:pPr>
      <w:r>
        <w:rPr>
          <w:rFonts w:ascii="Arial" w:eastAsiaTheme="minorEastAsia" w:hAnsi="Arial" w:cs="Arial"/>
          <w:bCs/>
          <w:color w:val="1074CB"/>
          <w:sz w:val="44"/>
          <w:szCs w:val="44"/>
        </w:rPr>
        <w:t>UK CAR</w:t>
      </w:r>
      <w:r w:rsidRPr="00D62A9D">
        <w:rPr>
          <w:rFonts w:ascii="Arial" w:eastAsiaTheme="minorEastAsia" w:hAnsi="Arial" w:cs="Arial"/>
          <w:bCs/>
          <w:color w:val="1074CB"/>
          <w:sz w:val="44"/>
          <w:szCs w:val="44"/>
        </w:rPr>
        <w:t xml:space="preserve"> MANUFACTURING</w:t>
      </w:r>
    </w:p>
    <w:p w:rsidR="005C37D0" w:rsidRDefault="005C37D0" w:rsidP="005C37D0">
      <w:pPr>
        <w:pStyle w:val="Heading1"/>
        <w:ind w:right="142"/>
        <w:rPr>
          <w:rFonts w:ascii="Arial" w:eastAsiaTheme="minorEastAsia" w:hAnsi="Arial" w:cs="Arial"/>
          <w:b w:val="0"/>
          <w:bCs/>
          <w:color w:val="1074CB"/>
          <w:sz w:val="32"/>
          <w:szCs w:val="32"/>
        </w:rPr>
      </w:pPr>
      <w:r>
        <w:rPr>
          <w:rFonts w:ascii="Arial" w:eastAsiaTheme="minorEastAsia" w:hAnsi="Arial" w:cs="Arial"/>
          <w:b w:val="0"/>
          <w:bCs/>
          <w:color w:val="1074CB"/>
          <w:sz w:val="44"/>
          <w:szCs w:val="44"/>
        </w:rPr>
        <w:t>21</w:t>
      </w:r>
      <w:r w:rsidRPr="00486897">
        <w:rPr>
          <w:rFonts w:ascii="Arial" w:eastAsiaTheme="minorEastAsia" w:hAnsi="Arial" w:cs="Arial"/>
          <w:b w:val="0"/>
          <w:bCs/>
          <w:color w:val="1074CB"/>
          <w:szCs w:val="24"/>
        </w:rPr>
        <w:t xml:space="preserve"> </w:t>
      </w:r>
      <w:r>
        <w:rPr>
          <w:rFonts w:ascii="Arial" w:eastAsiaTheme="minorEastAsia" w:hAnsi="Arial" w:cs="Arial"/>
          <w:b w:val="0"/>
          <w:bCs/>
          <w:color w:val="1074CB"/>
          <w:sz w:val="44"/>
          <w:szCs w:val="44"/>
        </w:rPr>
        <w:t>November</w:t>
      </w:r>
      <w:r w:rsidRPr="0055683E">
        <w:rPr>
          <w:rFonts w:ascii="Arial" w:eastAsiaTheme="minorEastAsia" w:hAnsi="Arial" w:cs="Arial"/>
          <w:b w:val="0"/>
          <w:bCs/>
          <w:color w:val="1074CB"/>
          <w:szCs w:val="24"/>
        </w:rPr>
        <w:t xml:space="preserve"> </w:t>
      </w:r>
      <w:r w:rsidRPr="00D62A9D">
        <w:rPr>
          <w:rFonts w:ascii="Arial" w:eastAsiaTheme="minorEastAsia" w:hAnsi="Arial" w:cs="Arial"/>
          <w:b w:val="0"/>
          <w:bCs/>
          <w:color w:val="1074CB"/>
          <w:sz w:val="44"/>
          <w:szCs w:val="44"/>
        </w:rPr>
        <w:t>2013</w:t>
      </w:r>
      <w:r w:rsidRPr="0055683E">
        <w:rPr>
          <w:rFonts w:ascii="Arial" w:eastAsiaTheme="minorEastAsia" w:hAnsi="Arial" w:cs="Arial"/>
          <w:b w:val="0"/>
          <w:bCs/>
          <w:color w:val="1074CB"/>
          <w:szCs w:val="24"/>
        </w:rPr>
        <w:t xml:space="preserve"> </w:t>
      </w:r>
      <w:r w:rsidRPr="00D62A9D">
        <w:rPr>
          <w:rFonts w:ascii="Arial" w:eastAsiaTheme="minorEastAsia" w:hAnsi="Arial" w:cs="Arial"/>
          <w:b w:val="0"/>
          <w:bCs/>
          <w:color w:val="1074CB"/>
          <w:sz w:val="32"/>
          <w:szCs w:val="32"/>
        </w:rPr>
        <w:t xml:space="preserve">(data for </w:t>
      </w:r>
      <w:r>
        <w:rPr>
          <w:rFonts w:ascii="Arial" w:eastAsiaTheme="minorEastAsia" w:hAnsi="Arial" w:cs="Arial"/>
          <w:b w:val="0"/>
          <w:bCs/>
          <w:color w:val="1074CB"/>
          <w:sz w:val="32"/>
          <w:szCs w:val="32"/>
        </w:rPr>
        <w:t xml:space="preserve">October </w:t>
      </w:r>
      <w:r w:rsidRPr="00D62A9D">
        <w:rPr>
          <w:rFonts w:ascii="Arial" w:eastAsiaTheme="minorEastAsia" w:hAnsi="Arial" w:cs="Arial"/>
          <w:b w:val="0"/>
          <w:bCs/>
          <w:color w:val="1074CB"/>
          <w:sz w:val="32"/>
          <w:szCs w:val="32"/>
        </w:rPr>
        <w:t>2013)</w:t>
      </w:r>
    </w:p>
    <w:p w:rsidR="00222BD9" w:rsidRPr="00222BD9" w:rsidRDefault="00222BD9" w:rsidP="00222BD9">
      <w:pPr>
        <w:pStyle w:val="Heading1"/>
        <w:ind w:right="142"/>
        <w:rPr>
          <w:rFonts w:ascii="Arial" w:eastAsiaTheme="minorEastAsia" w:hAnsi="Arial" w:cs="Arial"/>
          <w:b w:val="0"/>
          <w:bCs/>
          <w:color w:val="FF0000"/>
        </w:rPr>
      </w:pPr>
      <w:r w:rsidRPr="0091592E">
        <w:rPr>
          <w:rFonts w:ascii="Arial" w:eastAsiaTheme="minorEastAsia" w:hAnsi="Arial" w:cs="Arial"/>
          <w:b w:val="0"/>
          <w:bCs/>
          <w:color w:val="FF0000"/>
          <w:sz w:val="44"/>
          <w:szCs w:val="44"/>
        </w:rPr>
        <w:t>Embargoed to 00:01 on 2</w:t>
      </w:r>
      <w:r>
        <w:rPr>
          <w:rFonts w:ascii="Arial" w:eastAsiaTheme="minorEastAsia" w:hAnsi="Arial" w:cs="Arial"/>
          <w:b w:val="0"/>
          <w:bCs/>
          <w:color w:val="FF0000"/>
          <w:sz w:val="44"/>
          <w:szCs w:val="44"/>
        </w:rPr>
        <w:t>1</w:t>
      </w:r>
      <w:r w:rsidRPr="0091592E">
        <w:rPr>
          <w:rFonts w:ascii="Arial" w:eastAsiaTheme="minorEastAsia" w:hAnsi="Arial" w:cs="Arial"/>
          <w:b w:val="0"/>
          <w:bCs/>
          <w:color w:val="FF0000"/>
          <w:szCs w:val="24"/>
        </w:rPr>
        <w:t xml:space="preserve"> </w:t>
      </w:r>
      <w:r>
        <w:rPr>
          <w:rFonts w:ascii="Arial" w:eastAsiaTheme="minorEastAsia" w:hAnsi="Arial" w:cs="Arial"/>
          <w:b w:val="0"/>
          <w:bCs/>
          <w:color w:val="FF0000"/>
          <w:sz w:val="44"/>
          <w:szCs w:val="44"/>
        </w:rPr>
        <w:t>Novem</w:t>
      </w:r>
      <w:r w:rsidRPr="0091592E">
        <w:rPr>
          <w:rFonts w:ascii="Arial" w:eastAsiaTheme="minorEastAsia" w:hAnsi="Arial" w:cs="Arial"/>
          <w:b w:val="0"/>
          <w:bCs/>
          <w:color w:val="FF0000"/>
          <w:sz w:val="44"/>
          <w:szCs w:val="44"/>
        </w:rPr>
        <w:t>ber</w:t>
      </w:r>
      <w:r w:rsidRPr="0091592E">
        <w:rPr>
          <w:rFonts w:ascii="Arial" w:eastAsiaTheme="minorEastAsia" w:hAnsi="Arial" w:cs="Arial"/>
          <w:b w:val="0"/>
          <w:bCs/>
          <w:color w:val="FF0000"/>
          <w:szCs w:val="24"/>
        </w:rPr>
        <w:t xml:space="preserve"> </w:t>
      </w:r>
      <w:r w:rsidRPr="0091592E">
        <w:rPr>
          <w:rFonts w:ascii="Arial" w:eastAsiaTheme="minorEastAsia" w:hAnsi="Arial" w:cs="Arial"/>
          <w:b w:val="0"/>
          <w:bCs/>
          <w:color w:val="FF0000"/>
          <w:sz w:val="44"/>
          <w:szCs w:val="44"/>
        </w:rPr>
        <w:t>2013</w:t>
      </w:r>
      <w:r w:rsidRPr="0091592E">
        <w:rPr>
          <w:rFonts w:ascii="Arial" w:eastAsiaTheme="minorEastAsia" w:hAnsi="Arial" w:cs="Arial"/>
          <w:b w:val="0"/>
          <w:bCs/>
          <w:color w:val="FF0000"/>
          <w:szCs w:val="24"/>
        </w:rPr>
        <w:t xml:space="preserve"> </w:t>
      </w:r>
    </w:p>
    <w:p w:rsidR="005C37D0" w:rsidRPr="002933CF" w:rsidRDefault="008D413F" w:rsidP="005C37D0">
      <w:pPr>
        <w:tabs>
          <w:tab w:val="left" w:pos="889"/>
        </w:tabs>
        <w:rPr>
          <w:rFonts w:ascii="Arial" w:eastAsiaTheme="minorEastAsia" w:hAnsi="Arial" w:cs="Arial"/>
          <w:bCs/>
          <w:color w:val="1074CB"/>
          <w:sz w:val="20"/>
        </w:rPr>
      </w:pPr>
      <w:r w:rsidRPr="008D413F">
        <w:rPr>
          <w:rFonts w:ascii="Arial" w:eastAsiaTheme="minorEastAsia" w:hAnsi="Arial" w:cs="Arial"/>
          <w:b/>
          <w:bCs/>
          <w:noProof/>
          <w:color w:val="1074CB"/>
          <w:sz w:val="20"/>
        </w:rPr>
        <w:pict>
          <v:line id="Line 4" o:spid="_x0000_s1040" style="position:absolute;z-index:251681792;visibility:visible" from=".55pt,.6pt" to="462.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" strokecolor="#1074cb"/>
        </w:pict>
      </w:r>
      <w:r w:rsidR="005C37D0">
        <w:rPr>
          <w:rFonts w:ascii="Arial" w:eastAsiaTheme="minorEastAsia" w:hAnsi="Arial" w:cs="Arial"/>
          <w:bCs/>
          <w:color w:val="1074CB"/>
          <w:sz w:val="36"/>
          <w:szCs w:val="36"/>
        </w:rPr>
        <w:t xml:space="preserve"> </w:t>
      </w:r>
    </w:p>
    <w:p w:rsidR="005C37D0" w:rsidRPr="00C23320" w:rsidRDefault="005C37D0" w:rsidP="005C37D0">
      <w:pPr>
        <w:pStyle w:val="Heading1"/>
        <w:ind w:left="0" w:right="425" w:firstLine="0"/>
        <w:rPr>
          <w:rFonts w:ascii="Arial" w:eastAsiaTheme="minorEastAsia" w:hAnsi="Arial" w:cs="Arial"/>
          <w:bCs/>
          <w:color w:val="1074CB"/>
          <w:sz w:val="36"/>
          <w:szCs w:val="36"/>
        </w:rPr>
      </w:pPr>
      <w:r>
        <w:rPr>
          <w:rFonts w:ascii="Arial" w:eastAsiaTheme="minorEastAsia" w:hAnsi="Arial" w:cs="Arial"/>
          <w:bCs/>
          <w:color w:val="1074CB"/>
          <w:sz w:val="36"/>
          <w:szCs w:val="36"/>
        </w:rPr>
        <w:t>Domestic demand supports biggest monthly increase in 2013 UK car manufacturing</w:t>
      </w:r>
    </w:p>
    <w:p w:rsidR="005C37D0" w:rsidRPr="007951F0" w:rsidRDefault="005C37D0" w:rsidP="005C37D0">
      <w:pPr>
        <w:rPr>
          <w:rFonts w:ascii="Arial" w:hAnsi="Arial" w:cs="Arial"/>
          <w:sz w:val="16"/>
          <w:szCs w:val="16"/>
        </w:rPr>
      </w:pPr>
    </w:p>
    <w:p w:rsidR="005C37D0" w:rsidRPr="00C23320" w:rsidRDefault="005C37D0" w:rsidP="005C37D0">
      <w:pPr>
        <w:pStyle w:val="ListParagraph"/>
        <w:numPr>
          <w:ilvl w:val="0"/>
          <w:numId w:val="2"/>
        </w:numPr>
        <w:tabs>
          <w:tab w:val="left" w:pos="1828"/>
        </w:tabs>
        <w:rPr>
          <w:rFonts w:ascii="Arial" w:hAnsi="Arial" w:cs="Arial"/>
          <w:sz w:val="20"/>
        </w:rPr>
      </w:pPr>
      <w:r w:rsidRPr="00C23320">
        <w:rPr>
          <w:rFonts w:ascii="Arial" w:hAnsi="Arial" w:cs="Arial"/>
          <w:sz w:val="20"/>
        </w:rPr>
        <w:t xml:space="preserve">Car output in October rose </w:t>
      </w:r>
      <w:r>
        <w:rPr>
          <w:rFonts w:ascii="Arial" w:hAnsi="Arial" w:cs="Arial"/>
          <w:sz w:val="20"/>
        </w:rPr>
        <w:t>17.4</w:t>
      </w:r>
      <w:r w:rsidRPr="00C23320">
        <w:rPr>
          <w:rFonts w:ascii="Arial" w:hAnsi="Arial" w:cs="Arial"/>
          <w:sz w:val="20"/>
        </w:rPr>
        <w:t xml:space="preserve">% to </w:t>
      </w:r>
      <w:r>
        <w:rPr>
          <w:rFonts w:ascii="Arial" w:hAnsi="Arial" w:cs="Arial"/>
          <w:sz w:val="20"/>
        </w:rPr>
        <w:t>160,854</w:t>
      </w:r>
      <w:r w:rsidRPr="00C23320">
        <w:rPr>
          <w:rFonts w:ascii="Arial" w:hAnsi="Arial" w:cs="Arial"/>
          <w:sz w:val="20"/>
        </w:rPr>
        <w:t xml:space="preserve"> units, the largest </w:t>
      </w:r>
      <w:r>
        <w:rPr>
          <w:rFonts w:ascii="Arial" w:hAnsi="Arial" w:cs="Arial"/>
          <w:sz w:val="20"/>
        </w:rPr>
        <w:t xml:space="preserve">monthly </w:t>
      </w:r>
      <w:r w:rsidRPr="00C23320">
        <w:rPr>
          <w:rFonts w:ascii="Arial" w:hAnsi="Arial" w:cs="Arial"/>
          <w:sz w:val="20"/>
        </w:rPr>
        <w:t>increase so far this year.</w:t>
      </w:r>
    </w:p>
    <w:p w:rsidR="005C37D0" w:rsidRPr="00C23320" w:rsidRDefault="005C37D0" w:rsidP="005C37D0">
      <w:pPr>
        <w:pStyle w:val="ListParagraph"/>
        <w:numPr>
          <w:ilvl w:val="0"/>
          <w:numId w:val="2"/>
        </w:numPr>
        <w:tabs>
          <w:tab w:val="left" w:pos="1828"/>
        </w:tabs>
        <w:rPr>
          <w:rFonts w:ascii="Arial" w:hAnsi="Arial" w:cs="Arial"/>
          <w:sz w:val="20"/>
        </w:rPr>
      </w:pPr>
      <w:r>
        <w:rPr>
          <w:rFonts w:ascii="Arial" w:hAnsi="Arial" w:cs="Arial"/>
          <w:sz w:val="20"/>
        </w:rPr>
        <w:t>1,286,287</w:t>
      </w:r>
      <w:r w:rsidRPr="00C23320">
        <w:rPr>
          <w:rFonts w:ascii="Arial" w:hAnsi="Arial" w:cs="Arial"/>
          <w:sz w:val="20"/>
        </w:rPr>
        <w:t xml:space="preserve"> cars produced in year-to-date, a rise of </w:t>
      </w:r>
      <w:r>
        <w:rPr>
          <w:rFonts w:ascii="Arial" w:hAnsi="Arial" w:cs="Arial"/>
          <w:sz w:val="20"/>
        </w:rPr>
        <w:t>5.4</w:t>
      </w:r>
      <w:r w:rsidRPr="00C23320">
        <w:rPr>
          <w:rFonts w:ascii="Arial" w:hAnsi="Arial" w:cs="Arial"/>
          <w:sz w:val="20"/>
        </w:rPr>
        <w:t>%.</w:t>
      </w:r>
    </w:p>
    <w:p w:rsidR="005C37D0" w:rsidRPr="00C23320" w:rsidRDefault="005C37D0" w:rsidP="005C37D0">
      <w:pPr>
        <w:pStyle w:val="ListParagraph"/>
        <w:numPr>
          <w:ilvl w:val="0"/>
          <w:numId w:val="2"/>
        </w:numPr>
        <w:tabs>
          <w:tab w:val="left" w:pos="1828"/>
        </w:tabs>
        <w:rPr>
          <w:rFonts w:ascii="Arial" w:hAnsi="Arial" w:cs="Arial"/>
          <w:sz w:val="20"/>
        </w:rPr>
      </w:pPr>
      <w:r w:rsidRPr="00C23320">
        <w:rPr>
          <w:rFonts w:ascii="Arial" w:hAnsi="Arial" w:cs="Arial"/>
          <w:sz w:val="20"/>
        </w:rPr>
        <w:t xml:space="preserve">Manufacturing for home market up </w:t>
      </w:r>
      <w:r>
        <w:rPr>
          <w:rFonts w:ascii="Arial" w:hAnsi="Arial" w:cs="Arial"/>
          <w:sz w:val="20"/>
        </w:rPr>
        <w:t xml:space="preserve">significantly at </w:t>
      </w:r>
      <w:r w:rsidRPr="00C23320">
        <w:rPr>
          <w:rFonts w:ascii="Arial" w:hAnsi="Arial" w:cs="Arial"/>
          <w:sz w:val="20"/>
        </w:rPr>
        <w:t xml:space="preserve">52.4%, while export growth </w:t>
      </w:r>
      <w:r>
        <w:rPr>
          <w:rFonts w:ascii="Arial" w:hAnsi="Arial" w:cs="Arial"/>
          <w:sz w:val="20"/>
        </w:rPr>
        <w:t>strong</w:t>
      </w:r>
      <w:r w:rsidRPr="00C23320">
        <w:rPr>
          <w:rFonts w:ascii="Arial" w:hAnsi="Arial" w:cs="Arial"/>
          <w:sz w:val="20"/>
        </w:rPr>
        <w:t xml:space="preserve"> at </w:t>
      </w:r>
      <w:r>
        <w:rPr>
          <w:rFonts w:ascii="Arial" w:hAnsi="Arial" w:cs="Arial"/>
          <w:sz w:val="20"/>
        </w:rPr>
        <w:t>11.4</w:t>
      </w:r>
      <w:r w:rsidRPr="00C23320">
        <w:rPr>
          <w:rFonts w:ascii="Arial" w:hAnsi="Arial" w:cs="Arial"/>
          <w:sz w:val="20"/>
        </w:rPr>
        <w:t>%.</w:t>
      </w:r>
    </w:p>
    <w:p w:rsidR="005C37D0" w:rsidRPr="00C23320" w:rsidRDefault="005C37D0" w:rsidP="005C37D0">
      <w:pPr>
        <w:pStyle w:val="ListParagraph"/>
        <w:numPr>
          <w:ilvl w:val="0"/>
          <w:numId w:val="2"/>
        </w:numPr>
        <w:tabs>
          <w:tab w:val="left" w:pos="1828"/>
        </w:tabs>
        <w:rPr>
          <w:rFonts w:ascii="Arial" w:hAnsi="Arial" w:cs="Arial"/>
          <w:sz w:val="20"/>
        </w:rPr>
      </w:pPr>
      <w:r>
        <w:rPr>
          <w:rFonts w:ascii="Arial" w:hAnsi="Arial" w:cs="Arial"/>
          <w:sz w:val="20"/>
        </w:rPr>
        <w:t xml:space="preserve">Around 50% of UK car exports go to Europe – after months of decline, EU demand shows signs of </w:t>
      </w:r>
      <w:proofErr w:type="gramStart"/>
      <w:r>
        <w:rPr>
          <w:rFonts w:ascii="Arial" w:hAnsi="Arial" w:cs="Arial"/>
          <w:sz w:val="20"/>
        </w:rPr>
        <w:t>improving,</w:t>
      </w:r>
      <w:proofErr w:type="gramEnd"/>
      <w:r>
        <w:rPr>
          <w:rFonts w:ascii="Arial" w:hAnsi="Arial" w:cs="Arial"/>
          <w:sz w:val="20"/>
        </w:rPr>
        <w:t xml:space="preserve"> now recording two consecutive months of growth</w:t>
      </w:r>
      <w:r w:rsidRPr="00C23320">
        <w:rPr>
          <w:rFonts w:ascii="Arial" w:hAnsi="Arial" w:cs="Arial"/>
          <w:sz w:val="20"/>
        </w:rPr>
        <w:t>.</w:t>
      </w:r>
    </w:p>
    <w:p w:rsidR="005C37D0" w:rsidRPr="007951F0" w:rsidRDefault="005C37D0" w:rsidP="005C37D0">
      <w:pPr>
        <w:tabs>
          <w:tab w:val="left" w:pos="1828"/>
        </w:tabs>
        <w:rPr>
          <w:rFonts w:ascii="Arial" w:hAnsi="Arial" w:cs="Arial"/>
          <w:sz w:val="16"/>
          <w:szCs w:val="16"/>
        </w:rPr>
      </w:pPr>
      <w:r w:rsidRPr="007951F0">
        <w:rPr>
          <w:rFonts w:ascii="Arial" w:hAnsi="Arial" w:cs="Arial"/>
          <w:sz w:val="16"/>
          <w:szCs w:val="16"/>
        </w:rPr>
        <w:tab/>
      </w:r>
    </w:p>
    <w:p w:rsidR="005C37D0" w:rsidRDefault="005C37D0" w:rsidP="005C37D0">
      <w:pPr>
        <w:spacing w:line="276" w:lineRule="auto"/>
        <w:rPr>
          <w:rFonts w:ascii="Arial" w:hAnsi="Arial" w:cs="Arial"/>
          <w:sz w:val="20"/>
        </w:rPr>
      </w:pPr>
      <w:r>
        <w:rPr>
          <w:rFonts w:ascii="Arial" w:hAnsi="Arial" w:cs="Arial"/>
          <w:sz w:val="20"/>
        </w:rPr>
        <w:t xml:space="preserve">“UK car manufacturing for the home market increased </w:t>
      </w:r>
      <w:r w:rsidR="00C1667A">
        <w:rPr>
          <w:rFonts w:ascii="Arial" w:hAnsi="Arial" w:cs="Arial"/>
          <w:sz w:val="20"/>
        </w:rPr>
        <w:t>strongly</w:t>
      </w:r>
      <w:r>
        <w:rPr>
          <w:rFonts w:ascii="Arial" w:hAnsi="Arial" w:cs="Arial"/>
          <w:sz w:val="20"/>
        </w:rPr>
        <w:t xml:space="preserve"> in October</w:t>
      </w:r>
      <w:r w:rsidR="00C1667A">
        <w:rPr>
          <w:rFonts w:ascii="Arial" w:hAnsi="Arial" w:cs="Arial"/>
          <w:sz w:val="20"/>
        </w:rPr>
        <w:t xml:space="preserve"> raising the year's performance 26.6% ahead of 2012</w:t>
      </w:r>
      <w:r>
        <w:rPr>
          <w:rFonts w:ascii="Arial" w:hAnsi="Arial" w:cs="Arial"/>
          <w:sz w:val="20"/>
        </w:rPr>
        <w:t xml:space="preserve">,” said Mike Hawes, SMMT Chief Executive. “More than </w:t>
      </w:r>
      <w:r w:rsidRPr="00D2791A">
        <w:rPr>
          <w:rFonts w:ascii="Arial" w:hAnsi="Arial" w:cs="Arial"/>
          <w:sz w:val="20"/>
        </w:rPr>
        <w:t>15 brands build 50-plus models</w:t>
      </w:r>
      <w:r>
        <w:rPr>
          <w:rFonts w:ascii="Arial" w:hAnsi="Arial" w:cs="Arial"/>
          <w:sz w:val="20"/>
        </w:rPr>
        <w:t xml:space="preserve"> of car across the UK with volume and niche offerings providing a wealth of choice for our home and export markets. With European demand showing early signs of recovery, we expect production to continue positively in the coming months.”</w:t>
      </w:r>
    </w:p>
    <w:p w:rsidR="00D6336B" w:rsidRDefault="00D6336B" w:rsidP="007951F0">
      <w:pPr>
        <w:rPr>
          <w:rFonts w:ascii="Arial" w:hAnsi="Arial" w:cs="Arial"/>
          <w:sz w:val="20"/>
        </w:rPr>
      </w:pPr>
    </w:p>
    <w:tbl>
      <w:tblPr>
        <w:tblW w:w="9227" w:type="dxa"/>
        <w:tblInd w:w="95" w:type="dxa"/>
        <w:tblBorders>
          <w:top w:val="single" w:sz="8" w:space="0" w:color="548DD4"/>
          <w:left w:val="single" w:sz="8" w:space="0" w:color="548DD4"/>
          <w:bottom w:val="single" w:sz="8" w:space="0" w:color="548DD4"/>
          <w:right w:val="single" w:sz="8" w:space="0" w:color="548DD4"/>
          <w:insideH w:val="single" w:sz="6" w:space="0" w:color="548DD4"/>
          <w:insideV w:val="single" w:sz="8" w:space="0" w:color="548DD4"/>
        </w:tblBorders>
        <w:tblLook w:val="04A0"/>
      </w:tblPr>
      <w:tblGrid>
        <w:gridCol w:w="1998"/>
        <w:gridCol w:w="1201"/>
        <w:gridCol w:w="939"/>
        <w:gridCol w:w="1262"/>
        <w:gridCol w:w="1276"/>
        <w:gridCol w:w="1275"/>
        <w:gridCol w:w="1276"/>
      </w:tblGrid>
      <w:tr w:rsidR="00252DCB" w:rsidRPr="008F55A4" w:rsidTr="00A24874">
        <w:trPr>
          <w:trHeight w:val="270"/>
        </w:trPr>
        <w:tc>
          <w:tcPr>
            <w:tcW w:w="1998" w:type="dxa"/>
            <w:shd w:val="clear" w:color="auto" w:fill="auto"/>
            <w:noWrap/>
            <w:vAlign w:val="center"/>
            <w:hideMark/>
          </w:tcPr>
          <w:p w:rsidR="00252DCB" w:rsidRPr="00252DCB" w:rsidRDefault="00252DCB" w:rsidP="007951F0">
            <w:pPr>
              <w:rPr>
                <w:rFonts w:ascii="Arial" w:eastAsia="Times New Roman" w:hAnsi="Arial" w:cs="Arial"/>
                <w:b/>
                <w:color w:val="002060"/>
                <w:sz w:val="20"/>
              </w:rPr>
            </w:pPr>
            <w:r w:rsidRPr="00252DCB">
              <w:rPr>
                <w:rFonts w:ascii="Arial" w:eastAsia="Times New Roman" w:hAnsi="Arial" w:cs="Arial"/>
                <w:b/>
                <w:color w:val="002060"/>
                <w:sz w:val="20"/>
              </w:rPr>
              <w:t>Car manufacturing</w:t>
            </w:r>
          </w:p>
        </w:tc>
        <w:tc>
          <w:tcPr>
            <w:tcW w:w="1201" w:type="dxa"/>
            <w:shd w:val="clear" w:color="auto" w:fill="auto"/>
            <w:noWrap/>
            <w:vAlign w:val="center"/>
            <w:hideMark/>
          </w:tcPr>
          <w:p w:rsidR="00252DCB" w:rsidRPr="00252DCB" w:rsidRDefault="004C6507" w:rsidP="007951F0">
            <w:pPr>
              <w:jc w:val="right"/>
              <w:rPr>
                <w:rFonts w:ascii="Arial" w:hAnsi="Arial" w:cs="Arial"/>
                <w:b/>
                <w:color w:val="002060"/>
                <w:sz w:val="20"/>
              </w:rPr>
            </w:pPr>
            <w:r>
              <w:rPr>
                <w:rFonts w:ascii="Arial" w:hAnsi="Arial" w:cs="Arial"/>
                <w:b/>
                <w:color w:val="002060"/>
                <w:sz w:val="20"/>
              </w:rPr>
              <w:t>Oct-</w:t>
            </w:r>
            <w:r w:rsidR="00252DCB" w:rsidRPr="00252DCB">
              <w:rPr>
                <w:rFonts w:ascii="Arial" w:hAnsi="Arial" w:cs="Arial"/>
                <w:b/>
                <w:color w:val="002060"/>
                <w:sz w:val="20"/>
              </w:rPr>
              <w:t>12</w:t>
            </w:r>
          </w:p>
        </w:tc>
        <w:tc>
          <w:tcPr>
            <w:tcW w:w="939" w:type="dxa"/>
            <w:shd w:val="clear" w:color="auto" w:fill="auto"/>
            <w:noWrap/>
            <w:vAlign w:val="center"/>
            <w:hideMark/>
          </w:tcPr>
          <w:p w:rsidR="00252DCB" w:rsidRPr="00252DCB" w:rsidRDefault="004C6507" w:rsidP="007951F0">
            <w:pPr>
              <w:jc w:val="right"/>
              <w:rPr>
                <w:rFonts w:ascii="Arial" w:hAnsi="Arial" w:cs="Arial"/>
                <w:b/>
                <w:color w:val="002060"/>
                <w:sz w:val="20"/>
              </w:rPr>
            </w:pPr>
            <w:r>
              <w:rPr>
                <w:rFonts w:ascii="Arial" w:hAnsi="Arial" w:cs="Arial"/>
                <w:b/>
                <w:color w:val="002060"/>
                <w:sz w:val="20"/>
              </w:rPr>
              <w:t>Oct</w:t>
            </w:r>
            <w:r w:rsidR="00252DCB" w:rsidRPr="00252DCB">
              <w:rPr>
                <w:rFonts w:ascii="Arial" w:hAnsi="Arial" w:cs="Arial"/>
                <w:b/>
                <w:color w:val="002060"/>
                <w:sz w:val="20"/>
              </w:rPr>
              <w:t>-13</w:t>
            </w:r>
          </w:p>
        </w:tc>
        <w:tc>
          <w:tcPr>
            <w:tcW w:w="1262" w:type="dxa"/>
            <w:shd w:val="clear" w:color="auto" w:fill="auto"/>
            <w:noWrap/>
            <w:vAlign w:val="center"/>
            <w:hideMark/>
          </w:tcPr>
          <w:p w:rsidR="00252DCB" w:rsidRPr="00252DCB" w:rsidRDefault="00252DCB" w:rsidP="007951F0">
            <w:pPr>
              <w:jc w:val="right"/>
              <w:rPr>
                <w:rFonts w:ascii="Arial" w:hAnsi="Arial" w:cs="Arial"/>
                <w:b/>
                <w:color w:val="002060"/>
                <w:sz w:val="20"/>
              </w:rPr>
            </w:pPr>
            <w:r w:rsidRPr="00252DCB">
              <w:rPr>
                <w:rFonts w:ascii="Arial" w:hAnsi="Arial" w:cs="Arial"/>
                <w:b/>
                <w:color w:val="002060"/>
                <w:sz w:val="20"/>
              </w:rPr>
              <w:t xml:space="preserve">% Change </w:t>
            </w:r>
          </w:p>
        </w:tc>
        <w:tc>
          <w:tcPr>
            <w:tcW w:w="1276" w:type="dxa"/>
            <w:shd w:val="clear" w:color="auto" w:fill="auto"/>
            <w:noWrap/>
            <w:vAlign w:val="center"/>
            <w:hideMark/>
          </w:tcPr>
          <w:p w:rsidR="00252DCB" w:rsidRPr="00252DCB" w:rsidRDefault="00252DCB" w:rsidP="007951F0">
            <w:pPr>
              <w:jc w:val="right"/>
              <w:rPr>
                <w:rFonts w:ascii="Arial" w:hAnsi="Arial" w:cs="Arial"/>
                <w:b/>
                <w:color w:val="002060"/>
                <w:sz w:val="20"/>
              </w:rPr>
            </w:pPr>
            <w:r w:rsidRPr="00252DCB">
              <w:rPr>
                <w:rFonts w:ascii="Arial" w:hAnsi="Arial" w:cs="Arial"/>
                <w:b/>
                <w:color w:val="002060"/>
                <w:sz w:val="20"/>
              </w:rPr>
              <w:t>YTD-12</w:t>
            </w:r>
          </w:p>
        </w:tc>
        <w:tc>
          <w:tcPr>
            <w:tcW w:w="1275" w:type="dxa"/>
            <w:shd w:val="clear" w:color="auto" w:fill="auto"/>
            <w:noWrap/>
            <w:vAlign w:val="center"/>
            <w:hideMark/>
          </w:tcPr>
          <w:p w:rsidR="00252DCB" w:rsidRPr="00252DCB" w:rsidRDefault="00252DCB" w:rsidP="007951F0">
            <w:pPr>
              <w:jc w:val="right"/>
              <w:rPr>
                <w:rFonts w:ascii="Arial" w:hAnsi="Arial" w:cs="Arial"/>
                <w:b/>
                <w:color w:val="002060"/>
                <w:sz w:val="20"/>
              </w:rPr>
            </w:pPr>
            <w:r w:rsidRPr="00252DCB">
              <w:rPr>
                <w:rFonts w:ascii="Arial" w:hAnsi="Arial" w:cs="Arial"/>
                <w:b/>
                <w:color w:val="002060"/>
                <w:sz w:val="20"/>
              </w:rPr>
              <w:t>YTD-13</w:t>
            </w:r>
          </w:p>
        </w:tc>
        <w:tc>
          <w:tcPr>
            <w:tcW w:w="1276" w:type="dxa"/>
            <w:shd w:val="clear" w:color="auto" w:fill="auto"/>
            <w:noWrap/>
            <w:vAlign w:val="center"/>
            <w:hideMark/>
          </w:tcPr>
          <w:p w:rsidR="00252DCB" w:rsidRPr="00252DCB" w:rsidRDefault="00252DCB" w:rsidP="007951F0">
            <w:pPr>
              <w:jc w:val="right"/>
              <w:rPr>
                <w:rFonts w:ascii="Arial" w:hAnsi="Arial" w:cs="Arial"/>
                <w:b/>
                <w:color w:val="002060"/>
                <w:sz w:val="20"/>
              </w:rPr>
            </w:pPr>
            <w:r w:rsidRPr="00252DCB">
              <w:rPr>
                <w:rFonts w:ascii="Arial" w:hAnsi="Arial" w:cs="Arial"/>
                <w:b/>
                <w:color w:val="002060"/>
                <w:sz w:val="20"/>
              </w:rPr>
              <w:t>% Change</w:t>
            </w:r>
          </w:p>
        </w:tc>
      </w:tr>
      <w:tr w:rsidR="004C6507" w:rsidRPr="008F55A4" w:rsidTr="00A24874">
        <w:trPr>
          <w:trHeight w:val="270"/>
        </w:trPr>
        <w:tc>
          <w:tcPr>
            <w:tcW w:w="1998" w:type="dxa"/>
            <w:shd w:val="clear" w:color="auto" w:fill="auto"/>
            <w:noWrap/>
            <w:vAlign w:val="center"/>
            <w:hideMark/>
          </w:tcPr>
          <w:p w:rsidR="004C6507" w:rsidRPr="00252DCB" w:rsidRDefault="004C6507" w:rsidP="007951F0">
            <w:pPr>
              <w:jc w:val="right"/>
              <w:rPr>
                <w:rFonts w:ascii="Arial" w:eastAsia="Times New Roman" w:hAnsi="Arial" w:cs="Arial"/>
                <w:b/>
                <w:color w:val="002060"/>
                <w:sz w:val="20"/>
              </w:rPr>
            </w:pPr>
            <w:r w:rsidRPr="00252DCB">
              <w:rPr>
                <w:rFonts w:ascii="Arial" w:eastAsia="Times New Roman" w:hAnsi="Arial" w:cs="Arial"/>
                <w:b/>
                <w:color w:val="002060"/>
                <w:sz w:val="20"/>
              </w:rPr>
              <w:t>T</w:t>
            </w:r>
            <w:r w:rsidRPr="004C6507">
              <w:rPr>
                <w:rFonts w:ascii="Arial Bold" w:eastAsia="Times New Roman" w:hAnsi="Arial Bold" w:cs="Arial"/>
                <w:b/>
                <w:color w:val="002060"/>
                <w:sz w:val="20"/>
              </w:rPr>
              <w:t>ota</w:t>
            </w:r>
            <w:r w:rsidRPr="00252DCB">
              <w:rPr>
                <w:rFonts w:ascii="Arial" w:eastAsia="Times New Roman" w:hAnsi="Arial" w:cs="Arial"/>
                <w:b/>
                <w:color w:val="002060"/>
                <w:sz w:val="20"/>
              </w:rPr>
              <w:t>l</w:t>
            </w:r>
          </w:p>
        </w:tc>
        <w:tc>
          <w:tcPr>
            <w:tcW w:w="1201" w:type="dxa"/>
            <w:shd w:val="clear" w:color="auto" w:fill="auto"/>
            <w:noWrap/>
            <w:vAlign w:val="center"/>
            <w:hideMark/>
          </w:tcPr>
          <w:p w:rsidR="004C6507" w:rsidRPr="004C6507" w:rsidRDefault="004C6507" w:rsidP="007951F0">
            <w:pPr>
              <w:jc w:val="right"/>
              <w:rPr>
                <w:rFonts w:ascii="Arial Bold" w:hAnsi="Arial Bold" w:cs="Arial"/>
                <w:b/>
                <w:color w:val="002060"/>
                <w:sz w:val="20"/>
              </w:rPr>
            </w:pPr>
            <w:r w:rsidRPr="004C6507">
              <w:rPr>
                <w:rFonts w:ascii="Arial Bold" w:hAnsi="Arial Bold" w:cs="Arial"/>
                <w:b/>
                <w:color w:val="002060"/>
                <w:sz w:val="20"/>
              </w:rPr>
              <w:t>137,028</w:t>
            </w:r>
          </w:p>
        </w:tc>
        <w:tc>
          <w:tcPr>
            <w:tcW w:w="939" w:type="dxa"/>
            <w:shd w:val="clear" w:color="auto" w:fill="auto"/>
            <w:noWrap/>
            <w:vAlign w:val="center"/>
            <w:hideMark/>
          </w:tcPr>
          <w:p w:rsidR="004C6507" w:rsidRPr="004C6507" w:rsidRDefault="004C6507" w:rsidP="007951F0">
            <w:pPr>
              <w:jc w:val="right"/>
              <w:rPr>
                <w:rFonts w:ascii="Arial Bold" w:hAnsi="Arial Bold" w:cs="Arial"/>
                <w:b/>
                <w:color w:val="002060"/>
                <w:sz w:val="20"/>
              </w:rPr>
            </w:pPr>
            <w:r w:rsidRPr="004C6507">
              <w:rPr>
                <w:rFonts w:ascii="Arial Bold" w:hAnsi="Arial Bold" w:cs="Arial"/>
                <w:b/>
                <w:color w:val="002060"/>
                <w:sz w:val="20"/>
              </w:rPr>
              <w:t>160,854</w:t>
            </w:r>
          </w:p>
        </w:tc>
        <w:tc>
          <w:tcPr>
            <w:tcW w:w="1262" w:type="dxa"/>
            <w:shd w:val="clear" w:color="auto" w:fill="auto"/>
            <w:noWrap/>
            <w:vAlign w:val="center"/>
            <w:hideMark/>
          </w:tcPr>
          <w:p w:rsidR="004C6507" w:rsidRPr="004C6507" w:rsidRDefault="004C6507" w:rsidP="007951F0">
            <w:pPr>
              <w:jc w:val="right"/>
              <w:rPr>
                <w:rFonts w:ascii="Arial Bold" w:hAnsi="Arial Bold" w:cs="Arial"/>
                <w:b/>
                <w:color w:val="002060"/>
                <w:sz w:val="18"/>
                <w:szCs w:val="18"/>
              </w:rPr>
            </w:pPr>
            <w:r w:rsidRPr="004C6507">
              <w:rPr>
                <w:rFonts w:ascii="Arial Bold" w:hAnsi="Arial Bold" w:cs="Arial"/>
                <w:b/>
                <w:color w:val="002060"/>
                <w:sz w:val="18"/>
                <w:szCs w:val="18"/>
              </w:rPr>
              <w:t>17.4%</w:t>
            </w:r>
          </w:p>
        </w:tc>
        <w:tc>
          <w:tcPr>
            <w:tcW w:w="1276" w:type="dxa"/>
            <w:shd w:val="clear" w:color="auto" w:fill="auto"/>
            <w:noWrap/>
            <w:vAlign w:val="center"/>
            <w:hideMark/>
          </w:tcPr>
          <w:p w:rsidR="004C6507" w:rsidRPr="004C6507" w:rsidRDefault="004C6507" w:rsidP="007951F0">
            <w:pPr>
              <w:jc w:val="right"/>
              <w:rPr>
                <w:rFonts w:ascii="Arial Bold" w:hAnsi="Arial Bold" w:cs="Arial"/>
                <w:b/>
                <w:color w:val="002060"/>
                <w:sz w:val="20"/>
              </w:rPr>
            </w:pPr>
            <w:r w:rsidRPr="004C6507">
              <w:rPr>
                <w:rFonts w:ascii="Arial Bold" w:hAnsi="Arial Bold" w:cs="Arial"/>
                <w:b/>
                <w:color w:val="002060"/>
                <w:sz w:val="20"/>
              </w:rPr>
              <w:t>1,220,341</w:t>
            </w:r>
          </w:p>
        </w:tc>
        <w:tc>
          <w:tcPr>
            <w:tcW w:w="1275" w:type="dxa"/>
            <w:shd w:val="clear" w:color="auto" w:fill="auto"/>
            <w:noWrap/>
            <w:vAlign w:val="center"/>
            <w:hideMark/>
          </w:tcPr>
          <w:p w:rsidR="004C6507" w:rsidRPr="004C6507" w:rsidRDefault="004C6507" w:rsidP="007951F0">
            <w:pPr>
              <w:jc w:val="right"/>
              <w:rPr>
                <w:rFonts w:ascii="Arial Bold" w:hAnsi="Arial Bold" w:cs="Arial"/>
                <w:b/>
                <w:color w:val="002060"/>
                <w:sz w:val="20"/>
              </w:rPr>
            </w:pPr>
            <w:r w:rsidRPr="004C6507">
              <w:rPr>
                <w:rFonts w:ascii="Arial Bold" w:hAnsi="Arial Bold" w:cs="Arial"/>
                <w:b/>
                <w:color w:val="002060"/>
                <w:sz w:val="20"/>
              </w:rPr>
              <w:t>1,286,287</w:t>
            </w:r>
          </w:p>
        </w:tc>
        <w:tc>
          <w:tcPr>
            <w:tcW w:w="1276" w:type="dxa"/>
            <w:shd w:val="clear" w:color="auto" w:fill="auto"/>
            <w:noWrap/>
            <w:vAlign w:val="center"/>
            <w:hideMark/>
          </w:tcPr>
          <w:p w:rsidR="004C6507" w:rsidRPr="004C6507" w:rsidRDefault="004C6507" w:rsidP="007951F0">
            <w:pPr>
              <w:jc w:val="right"/>
              <w:rPr>
                <w:rFonts w:ascii="Arial Bold" w:hAnsi="Arial Bold" w:cs="Arial"/>
                <w:b/>
                <w:color w:val="002060"/>
                <w:sz w:val="18"/>
                <w:szCs w:val="18"/>
              </w:rPr>
            </w:pPr>
            <w:r w:rsidRPr="004C6507">
              <w:rPr>
                <w:rFonts w:ascii="Arial Bold" w:hAnsi="Arial Bold" w:cs="Arial"/>
                <w:b/>
                <w:color w:val="002060"/>
                <w:sz w:val="18"/>
                <w:szCs w:val="18"/>
              </w:rPr>
              <w:t>5.4%</w:t>
            </w:r>
          </w:p>
        </w:tc>
      </w:tr>
      <w:tr w:rsidR="004C6507" w:rsidRPr="008F55A4" w:rsidTr="00A24874">
        <w:trPr>
          <w:trHeight w:val="270"/>
        </w:trPr>
        <w:tc>
          <w:tcPr>
            <w:tcW w:w="1998" w:type="dxa"/>
            <w:shd w:val="clear" w:color="auto" w:fill="auto"/>
            <w:noWrap/>
            <w:vAlign w:val="center"/>
            <w:hideMark/>
          </w:tcPr>
          <w:p w:rsidR="004C6507" w:rsidRPr="00252DCB" w:rsidRDefault="004C6507" w:rsidP="007951F0">
            <w:pPr>
              <w:jc w:val="right"/>
              <w:rPr>
                <w:rFonts w:ascii="Arial" w:eastAsia="Times New Roman" w:hAnsi="Arial" w:cs="Arial"/>
                <w:color w:val="002060"/>
                <w:sz w:val="20"/>
              </w:rPr>
            </w:pPr>
            <w:r w:rsidRPr="00252DCB">
              <w:rPr>
                <w:rFonts w:ascii="Arial" w:eastAsia="Times New Roman" w:hAnsi="Arial" w:cs="Arial"/>
                <w:color w:val="002060"/>
                <w:sz w:val="20"/>
              </w:rPr>
              <w:t>Home</w:t>
            </w:r>
          </w:p>
        </w:tc>
        <w:tc>
          <w:tcPr>
            <w:tcW w:w="1201" w:type="dxa"/>
            <w:shd w:val="clear" w:color="auto" w:fill="auto"/>
            <w:noWrap/>
            <w:vAlign w:val="center"/>
            <w:hideMark/>
          </w:tcPr>
          <w:p w:rsidR="004C6507" w:rsidRPr="004C6507" w:rsidRDefault="004C6507" w:rsidP="007951F0">
            <w:pPr>
              <w:jc w:val="right"/>
              <w:rPr>
                <w:rFonts w:ascii="Arial" w:hAnsi="Arial" w:cs="Arial"/>
                <w:color w:val="002060"/>
                <w:sz w:val="20"/>
              </w:rPr>
            </w:pPr>
            <w:r w:rsidRPr="004C6507">
              <w:rPr>
                <w:rFonts w:ascii="Arial" w:hAnsi="Arial" w:cs="Arial"/>
                <w:color w:val="002060"/>
                <w:sz w:val="20"/>
              </w:rPr>
              <w:t>20,129</w:t>
            </w:r>
          </w:p>
        </w:tc>
        <w:tc>
          <w:tcPr>
            <w:tcW w:w="939" w:type="dxa"/>
            <w:shd w:val="clear" w:color="auto" w:fill="auto"/>
            <w:noWrap/>
            <w:vAlign w:val="center"/>
            <w:hideMark/>
          </w:tcPr>
          <w:p w:rsidR="004C6507" w:rsidRPr="004C6507" w:rsidRDefault="004C6507" w:rsidP="007951F0">
            <w:pPr>
              <w:jc w:val="right"/>
              <w:rPr>
                <w:rFonts w:ascii="Arial" w:hAnsi="Arial" w:cs="Arial"/>
                <w:color w:val="002060"/>
                <w:sz w:val="20"/>
              </w:rPr>
            </w:pPr>
            <w:r w:rsidRPr="004C6507">
              <w:rPr>
                <w:rFonts w:ascii="Arial" w:hAnsi="Arial" w:cs="Arial"/>
                <w:color w:val="002060"/>
                <w:sz w:val="20"/>
              </w:rPr>
              <w:t>30,672</w:t>
            </w:r>
          </w:p>
        </w:tc>
        <w:tc>
          <w:tcPr>
            <w:tcW w:w="1262" w:type="dxa"/>
            <w:shd w:val="clear" w:color="auto" w:fill="auto"/>
            <w:noWrap/>
            <w:vAlign w:val="center"/>
            <w:hideMark/>
          </w:tcPr>
          <w:p w:rsidR="004C6507" w:rsidRPr="004C6507" w:rsidRDefault="004C6507" w:rsidP="007951F0">
            <w:pPr>
              <w:jc w:val="right"/>
              <w:rPr>
                <w:rFonts w:ascii="Arial" w:hAnsi="Arial" w:cs="Arial"/>
                <w:color w:val="002060"/>
                <w:sz w:val="18"/>
                <w:szCs w:val="18"/>
              </w:rPr>
            </w:pPr>
            <w:r w:rsidRPr="004C6507">
              <w:rPr>
                <w:rFonts w:ascii="Arial" w:hAnsi="Arial" w:cs="Arial"/>
                <w:color w:val="002060"/>
                <w:sz w:val="18"/>
                <w:szCs w:val="18"/>
              </w:rPr>
              <w:t>52.4%</w:t>
            </w:r>
          </w:p>
        </w:tc>
        <w:tc>
          <w:tcPr>
            <w:tcW w:w="1276" w:type="dxa"/>
            <w:shd w:val="clear" w:color="auto" w:fill="auto"/>
            <w:noWrap/>
            <w:vAlign w:val="center"/>
            <w:hideMark/>
          </w:tcPr>
          <w:p w:rsidR="004C6507" w:rsidRPr="004C6507" w:rsidRDefault="004C6507" w:rsidP="007951F0">
            <w:pPr>
              <w:jc w:val="right"/>
              <w:rPr>
                <w:rFonts w:ascii="Arial" w:hAnsi="Arial" w:cs="Arial"/>
                <w:color w:val="002060"/>
                <w:sz w:val="20"/>
              </w:rPr>
            </w:pPr>
            <w:r w:rsidRPr="004C6507">
              <w:rPr>
                <w:rFonts w:ascii="Arial" w:hAnsi="Arial" w:cs="Arial"/>
                <w:color w:val="002060"/>
                <w:sz w:val="20"/>
              </w:rPr>
              <w:t>214,577</w:t>
            </w:r>
          </w:p>
        </w:tc>
        <w:tc>
          <w:tcPr>
            <w:tcW w:w="1275" w:type="dxa"/>
            <w:shd w:val="clear" w:color="auto" w:fill="auto"/>
            <w:noWrap/>
            <w:vAlign w:val="center"/>
            <w:hideMark/>
          </w:tcPr>
          <w:p w:rsidR="004C6507" w:rsidRPr="004C6507" w:rsidRDefault="004C6507" w:rsidP="007951F0">
            <w:pPr>
              <w:jc w:val="right"/>
              <w:rPr>
                <w:rFonts w:ascii="Arial" w:hAnsi="Arial" w:cs="Arial"/>
                <w:color w:val="002060"/>
                <w:sz w:val="20"/>
              </w:rPr>
            </w:pPr>
            <w:r w:rsidRPr="004C6507">
              <w:rPr>
                <w:rFonts w:ascii="Arial" w:hAnsi="Arial" w:cs="Arial"/>
                <w:color w:val="002060"/>
                <w:sz w:val="20"/>
              </w:rPr>
              <w:t>271,611</w:t>
            </w:r>
          </w:p>
        </w:tc>
        <w:tc>
          <w:tcPr>
            <w:tcW w:w="1276" w:type="dxa"/>
            <w:shd w:val="clear" w:color="auto" w:fill="auto"/>
            <w:noWrap/>
            <w:vAlign w:val="center"/>
            <w:hideMark/>
          </w:tcPr>
          <w:p w:rsidR="004C6507" w:rsidRPr="004C6507" w:rsidRDefault="004C6507" w:rsidP="007951F0">
            <w:pPr>
              <w:jc w:val="right"/>
              <w:rPr>
                <w:rFonts w:ascii="Arial" w:hAnsi="Arial" w:cs="Arial"/>
                <w:color w:val="002060"/>
                <w:sz w:val="18"/>
                <w:szCs w:val="18"/>
              </w:rPr>
            </w:pPr>
            <w:r w:rsidRPr="004C6507">
              <w:rPr>
                <w:rFonts w:ascii="Arial" w:hAnsi="Arial" w:cs="Arial"/>
                <w:color w:val="002060"/>
                <w:sz w:val="18"/>
                <w:szCs w:val="18"/>
              </w:rPr>
              <w:t>26.6%</w:t>
            </w:r>
          </w:p>
        </w:tc>
      </w:tr>
      <w:tr w:rsidR="004C6507" w:rsidRPr="008F55A4" w:rsidTr="00A24874">
        <w:trPr>
          <w:trHeight w:val="270"/>
        </w:trPr>
        <w:tc>
          <w:tcPr>
            <w:tcW w:w="1998" w:type="dxa"/>
            <w:shd w:val="clear" w:color="auto" w:fill="auto"/>
            <w:noWrap/>
            <w:vAlign w:val="center"/>
            <w:hideMark/>
          </w:tcPr>
          <w:p w:rsidR="004C6507" w:rsidRPr="00252DCB" w:rsidRDefault="004C6507" w:rsidP="007951F0">
            <w:pPr>
              <w:jc w:val="right"/>
              <w:rPr>
                <w:rFonts w:ascii="Arial" w:eastAsia="Times New Roman" w:hAnsi="Arial" w:cs="Arial"/>
                <w:color w:val="002060"/>
                <w:sz w:val="20"/>
              </w:rPr>
            </w:pPr>
            <w:r w:rsidRPr="00252DCB">
              <w:rPr>
                <w:rFonts w:ascii="Arial" w:eastAsia="Times New Roman" w:hAnsi="Arial" w:cs="Arial"/>
                <w:color w:val="002060"/>
                <w:sz w:val="20"/>
              </w:rPr>
              <w:t>Export</w:t>
            </w:r>
          </w:p>
        </w:tc>
        <w:tc>
          <w:tcPr>
            <w:tcW w:w="1201" w:type="dxa"/>
            <w:shd w:val="clear" w:color="auto" w:fill="auto"/>
            <w:noWrap/>
            <w:vAlign w:val="center"/>
            <w:hideMark/>
          </w:tcPr>
          <w:p w:rsidR="004C6507" w:rsidRPr="004C6507" w:rsidRDefault="004C6507" w:rsidP="007951F0">
            <w:pPr>
              <w:jc w:val="right"/>
              <w:rPr>
                <w:rFonts w:ascii="Arial" w:hAnsi="Arial" w:cs="Arial"/>
                <w:color w:val="002060"/>
                <w:sz w:val="20"/>
              </w:rPr>
            </w:pPr>
            <w:r w:rsidRPr="004C6507">
              <w:rPr>
                <w:rFonts w:ascii="Arial" w:hAnsi="Arial" w:cs="Arial"/>
                <w:color w:val="002060"/>
                <w:sz w:val="20"/>
              </w:rPr>
              <w:t>116,899</w:t>
            </w:r>
          </w:p>
        </w:tc>
        <w:tc>
          <w:tcPr>
            <w:tcW w:w="939" w:type="dxa"/>
            <w:shd w:val="clear" w:color="auto" w:fill="auto"/>
            <w:noWrap/>
            <w:vAlign w:val="center"/>
            <w:hideMark/>
          </w:tcPr>
          <w:p w:rsidR="004C6507" w:rsidRPr="004C6507" w:rsidRDefault="004C6507" w:rsidP="007951F0">
            <w:pPr>
              <w:jc w:val="right"/>
              <w:rPr>
                <w:rFonts w:ascii="Arial" w:hAnsi="Arial" w:cs="Arial"/>
                <w:color w:val="002060"/>
                <w:sz w:val="20"/>
              </w:rPr>
            </w:pPr>
            <w:r w:rsidRPr="004C6507">
              <w:rPr>
                <w:rFonts w:ascii="Arial" w:hAnsi="Arial" w:cs="Arial"/>
                <w:color w:val="002060"/>
                <w:sz w:val="20"/>
              </w:rPr>
              <w:t>130,182</w:t>
            </w:r>
          </w:p>
        </w:tc>
        <w:tc>
          <w:tcPr>
            <w:tcW w:w="1262" w:type="dxa"/>
            <w:shd w:val="clear" w:color="auto" w:fill="auto"/>
            <w:noWrap/>
            <w:vAlign w:val="center"/>
            <w:hideMark/>
          </w:tcPr>
          <w:p w:rsidR="004C6507" w:rsidRPr="004C6507" w:rsidRDefault="004C6507" w:rsidP="007951F0">
            <w:pPr>
              <w:jc w:val="right"/>
              <w:rPr>
                <w:rFonts w:ascii="Arial" w:hAnsi="Arial" w:cs="Arial"/>
                <w:color w:val="002060"/>
                <w:sz w:val="18"/>
                <w:szCs w:val="18"/>
              </w:rPr>
            </w:pPr>
            <w:r w:rsidRPr="004C6507">
              <w:rPr>
                <w:rFonts w:ascii="Arial" w:hAnsi="Arial" w:cs="Arial"/>
                <w:color w:val="002060"/>
                <w:sz w:val="18"/>
                <w:szCs w:val="18"/>
              </w:rPr>
              <w:t>11.4%</w:t>
            </w:r>
          </w:p>
        </w:tc>
        <w:tc>
          <w:tcPr>
            <w:tcW w:w="1276" w:type="dxa"/>
            <w:shd w:val="clear" w:color="auto" w:fill="auto"/>
            <w:noWrap/>
            <w:vAlign w:val="center"/>
            <w:hideMark/>
          </w:tcPr>
          <w:p w:rsidR="004C6507" w:rsidRPr="004C6507" w:rsidRDefault="004C6507" w:rsidP="007951F0">
            <w:pPr>
              <w:jc w:val="right"/>
              <w:rPr>
                <w:rFonts w:ascii="Arial" w:hAnsi="Arial" w:cs="Arial"/>
                <w:color w:val="002060"/>
                <w:sz w:val="20"/>
              </w:rPr>
            </w:pPr>
            <w:r w:rsidRPr="004C6507">
              <w:rPr>
                <w:rFonts w:ascii="Arial" w:hAnsi="Arial" w:cs="Arial"/>
                <w:color w:val="002060"/>
                <w:sz w:val="20"/>
              </w:rPr>
              <w:t>1,005,764</w:t>
            </w:r>
          </w:p>
        </w:tc>
        <w:tc>
          <w:tcPr>
            <w:tcW w:w="1275" w:type="dxa"/>
            <w:shd w:val="clear" w:color="auto" w:fill="auto"/>
            <w:noWrap/>
            <w:vAlign w:val="center"/>
            <w:hideMark/>
          </w:tcPr>
          <w:p w:rsidR="004C6507" w:rsidRPr="004C6507" w:rsidRDefault="004C6507" w:rsidP="007951F0">
            <w:pPr>
              <w:jc w:val="right"/>
              <w:rPr>
                <w:rFonts w:ascii="Arial" w:hAnsi="Arial" w:cs="Arial"/>
                <w:color w:val="002060"/>
                <w:sz w:val="20"/>
              </w:rPr>
            </w:pPr>
            <w:r w:rsidRPr="004C6507">
              <w:rPr>
                <w:rFonts w:ascii="Arial" w:hAnsi="Arial" w:cs="Arial"/>
                <w:color w:val="002060"/>
                <w:sz w:val="20"/>
              </w:rPr>
              <w:t>1,014,676</w:t>
            </w:r>
          </w:p>
        </w:tc>
        <w:tc>
          <w:tcPr>
            <w:tcW w:w="1276" w:type="dxa"/>
            <w:shd w:val="clear" w:color="auto" w:fill="auto"/>
            <w:noWrap/>
            <w:vAlign w:val="center"/>
            <w:hideMark/>
          </w:tcPr>
          <w:p w:rsidR="004C6507" w:rsidRPr="004C6507" w:rsidRDefault="004C6507" w:rsidP="007951F0">
            <w:pPr>
              <w:jc w:val="right"/>
              <w:rPr>
                <w:rFonts w:ascii="Arial" w:hAnsi="Arial" w:cs="Arial"/>
                <w:color w:val="002060"/>
                <w:sz w:val="18"/>
                <w:szCs w:val="18"/>
              </w:rPr>
            </w:pPr>
            <w:r w:rsidRPr="004C6507">
              <w:rPr>
                <w:rFonts w:ascii="Arial" w:hAnsi="Arial" w:cs="Arial"/>
                <w:color w:val="002060"/>
                <w:sz w:val="18"/>
                <w:szCs w:val="18"/>
              </w:rPr>
              <w:t>0.9%</w:t>
            </w:r>
          </w:p>
        </w:tc>
      </w:tr>
      <w:tr w:rsidR="004C6507" w:rsidRPr="008F55A4" w:rsidTr="00A24874">
        <w:trPr>
          <w:trHeight w:val="270"/>
        </w:trPr>
        <w:tc>
          <w:tcPr>
            <w:tcW w:w="1998" w:type="dxa"/>
            <w:shd w:val="clear" w:color="auto" w:fill="auto"/>
            <w:noWrap/>
            <w:vAlign w:val="center"/>
            <w:hideMark/>
          </w:tcPr>
          <w:p w:rsidR="004C6507" w:rsidRPr="00252DCB" w:rsidRDefault="004C6507" w:rsidP="007951F0">
            <w:pPr>
              <w:jc w:val="right"/>
              <w:rPr>
                <w:rFonts w:ascii="Arial" w:eastAsia="Times New Roman" w:hAnsi="Arial" w:cs="Arial"/>
                <w:color w:val="002060"/>
                <w:sz w:val="20"/>
              </w:rPr>
            </w:pPr>
            <w:r w:rsidRPr="00252DCB">
              <w:rPr>
                <w:rFonts w:ascii="Arial" w:eastAsia="Times New Roman" w:hAnsi="Arial" w:cs="Arial"/>
                <w:color w:val="002060"/>
                <w:sz w:val="20"/>
              </w:rPr>
              <w:t>% export</w:t>
            </w:r>
          </w:p>
        </w:tc>
        <w:tc>
          <w:tcPr>
            <w:tcW w:w="1201" w:type="dxa"/>
            <w:shd w:val="clear" w:color="auto" w:fill="auto"/>
            <w:noWrap/>
            <w:vAlign w:val="center"/>
            <w:hideMark/>
          </w:tcPr>
          <w:p w:rsidR="004C6507" w:rsidRPr="004C6507" w:rsidRDefault="004C6507" w:rsidP="007951F0">
            <w:pPr>
              <w:jc w:val="right"/>
              <w:rPr>
                <w:rFonts w:ascii="Arial" w:hAnsi="Arial" w:cs="Arial"/>
                <w:color w:val="002060"/>
                <w:sz w:val="20"/>
              </w:rPr>
            </w:pPr>
            <w:r w:rsidRPr="004C6507">
              <w:rPr>
                <w:rFonts w:ascii="Arial" w:hAnsi="Arial" w:cs="Arial"/>
                <w:color w:val="002060"/>
                <w:sz w:val="20"/>
              </w:rPr>
              <w:t>85.3%</w:t>
            </w:r>
          </w:p>
        </w:tc>
        <w:tc>
          <w:tcPr>
            <w:tcW w:w="939" w:type="dxa"/>
            <w:shd w:val="clear" w:color="auto" w:fill="auto"/>
            <w:noWrap/>
            <w:vAlign w:val="center"/>
            <w:hideMark/>
          </w:tcPr>
          <w:p w:rsidR="004C6507" w:rsidRPr="004C6507" w:rsidRDefault="004C6507" w:rsidP="007951F0">
            <w:pPr>
              <w:jc w:val="right"/>
              <w:rPr>
                <w:rFonts w:ascii="Arial" w:hAnsi="Arial" w:cs="Arial"/>
                <w:color w:val="002060"/>
                <w:sz w:val="20"/>
              </w:rPr>
            </w:pPr>
            <w:r w:rsidRPr="004C6507">
              <w:rPr>
                <w:rFonts w:ascii="Arial" w:hAnsi="Arial" w:cs="Arial"/>
                <w:color w:val="002060"/>
                <w:sz w:val="20"/>
              </w:rPr>
              <w:t>80.9%</w:t>
            </w:r>
          </w:p>
        </w:tc>
        <w:tc>
          <w:tcPr>
            <w:tcW w:w="1262" w:type="dxa"/>
            <w:shd w:val="clear" w:color="auto" w:fill="auto"/>
            <w:noWrap/>
            <w:vAlign w:val="center"/>
            <w:hideMark/>
          </w:tcPr>
          <w:p w:rsidR="004C6507" w:rsidRPr="004C6507" w:rsidRDefault="004C6507" w:rsidP="007951F0">
            <w:pPr>
              <w:jc w:val="right"/>
              <w:rPr>
                <w:rFonts w:ascii="Arial" w:hAnsi="Arial" w:cs="Arial"/>
                <w:color w:val="002060"/>
                <w:sz w:val="20"/>
              </w:rPr>
            </w:pPr>
            <w:r w:rsidRPr="004C6507">
              <w:rPr>
                <w:rFonts w:ascii="Arial" w:hAnsi="Arial" w:cs="Arial"/>
                <w:color w:val="002060"/>
                <w:sz w:val="20"/>
              </w:rPr>
              <w:t> </w:t>
            </w:r>
          </w:p>
        </w:tc>
        <w:tc>
          <w:tcPr>
            <w:tcW w:w="1276" w:type="dxa"/>
            <w:shd w:val="clear" w:color="auto" w:fill="auto"/>
            <w:noWrap/>
            <w:vAlign w:val="center"/>
            <w:hideMark/>
          </w:tcPr>
          <w:p w:rsidR="004C6507" w:rsidRPr="004C6507" w:rsidRDefault="004C6507" w:rsidP="007951F0">
            <w:pPr>
              <w:jc w:val="right"/>
              <w:rPr>
                <w:rFonts w:ascii="Arial" w:hAnsi="Arial" w:cs="Arial"/>
                <w:color w:val="002060"/>
                <w:sz w:val="20"/>
              </w:rPr>
            </w:pPr>
            <w:r w:rsidRPr="004C6507">
              <w:rPr>
                <w:rFonts w:ascii="Arial" w:hAnsi="Arial" w:cs="Arial"/>
                <w:color w:val="002060"/>
                <w:sz w:val="20"/>
              </w:rPr>
              <w:t>82.4%</w:t>
            </w:r>
          </w:p>
        </w:tc>
        <w:tc>
          <w:tcPr>
            <w:tcW w:w="1275" w:type="dxa"/>
            <w:shd w:val="clear" w:color="auto" w:fill="auto"/>
            <w:noWrap/>
            <w:vAlign w:val="center"/>
            <w:hideMark/>
          </w:tcPr>
          <w:p w:rsidR="004C6507" w:rsidRPr="004C6507" w:rsidRDefault="004C6507" w:rsidP="007951F0">
            <w:pPr>
              <w:jc w:val="right"/>
              <w:rPr>
                <w:rFonts w:ascii="Arial" w:hAnsi="Arial" w:cs="Arial"/>
                <w:color w:val="002060"/>
                <w:sz w:val="20"/>
              </w:rPr>
            </w:pPr>
            <w:r w:rsidRPr="004C6507">
              <w:rPr>
                <w:rFonts w:ascii="Arial" w:hAnsi="Arial" w:cs="Arial"/>
                <w:color w:val="002060"/>
                <w:sz w:val="20"/>
              </w:rPr>
              <w:t>78.9%</w:t>
            </w:r>
          </w:p>
        </w:tc>
        <w:tc>
          <w:tcPr>
            <w:tcW w:w="1276" w:type="dxa"/>
            <w:shd w:val="clear" w:color="auto" w:fill="auto"/>
            <w:noWrap/>
            <w:vAlign w:val="center"/>
            <w:hideMark/>
          </w:tcPr>
          <w:p w:rsidR="004C6507" w:rsidRPr="004C6507" w:rsidRDefault="004C6507" w:rsidP="007951F0">
            <w:pPr>
              <w:jc w:val="right"/>
              <w:rPr>
                <w:rFonts w:ascii="Arial" w:hAnsi="Arial" w:cs="Arial"/>
                <w:color w:val="002060"/>
                <w:sz w:val="20"/>
              </w:rPr>
            </w:pPr>
            <w:r w:rsidRPr="004C6507">
              <w:rPr>
                <w:rFonts w:ascii="Arial" w:hAnsi="Arial" w:cs="Arial"/>
                <w:color w:val="002060"/>
                <w:sz w:val="20"/>
              </w:rPr>
              <w:t> </w:t>
            </w:r>
          </w:p>
        </w:tc>
      </w:tr>
    </w:tbl>
    <w:p w:rsidR="00C80E70" w:rsidRDefault="00D92B21" w:rsidP="007951F0">
      <w:pPr>
        <w:keepNext/>
        <w:ind w:left="720"/>
        <w:jc w:val="both"/>
        <w:rPr>
          <w:rFonts w:ascii="Arial" w:hAnsi="Arial" w:cs="Arial"/>
          <w:b/>
          <w:color w:val="0D2255"/>
          <w:sz w:val="20"/>
        </w:rPr>
      </w:pPr>
      <w:r>
        <w:rPr>
          <w:rFonts w:ascii="Arial" w:hAnsi="Arial" w:cs="Arial"/>
          <w:b/>
          <w:color w:val="0D2255"/>
          <w:sz w:val="20"/>
        </w:rPr>
        <w:br/>
      </w:r>
      <w:r w:rsidR="00C80E70" w:rsidRPr="00D62A9D">
        <w:rPr>
          <w:rFonts w:ascii="Arial" w:hAnsi="Arial" w:cs="Arial"/>
          <w:b/>
          <w:color w:val="0D2255"/>
          <w:sz w:val="20"/>
        </w:rPr>
        <w:t>Car output rolling year total</w:t>
      </w:r>
      <w:r w:rsidR="00C80E70">
        <w:rPr>
          <w:rFonts w:ascii="Arial" w:hAnsi="Arial" w:cs="Arial"/>
          <w:b/>
          <w:color w:val="0D2255"/>
          <w:sz w:val="20"/>
        </w:rPr>
        <w:tab/>
      </w:r>
      <w:r w:rsidR="00C80E70">
        <w:rPr>
          <w:rFonts w:ascii="Arial" w:hAnsi="Arial" w:cs="Arial"/>
          <w:b/>
          <w:color w:val="0D2255"/>
          <w:sz w:val="20"/>
        </w:rPr>
        <w:tab/>
        <w:t xml:space="preserve">      </w:t>
      </w:r>
      <w:r w:rsidR="00EC65AF">
        <w:rPr>
          <w:rFonts w:ascii="Arial" w:hAnsi="Arial" w:cs="Arial"/>
          <w:b/>
          <w:color w:val="0D2255"/>
          <w:sz w:val="20"/>
        </w:rPr>
        <w:tab/>
      </w:r>
      <w:r w:rsidR="00C80E70">
        <w:rPr>
          <w:rFonts w:ascii="Arial" w:hAnsi="Arial" w:cs="Arial"/>
          <w:b/>
          <w:color w:val="0D2255"/>
          <w:sz w:val="20"/>
        </w:rPr>
        <w:t xml:space="preserve">Car </w:t>
      </w:r>
      <w:r w:rsidR="00EC65AF">
        <w:rPr>
          <w:rFonts w:ascii="Arial" w:hAnsi="Arial" w:cs="Arial"/>
          <w:b/>
          <w:color w:val="0D2255"/>
          <w:sz w:val="20"/>
        </w:rPr>
        <w:t>output year-to-date, 2011-2013</w:t>
      </w:r>
    </w:p>
    <w:p w:rsidR="00D561FB" w:rsidRDefault="008D413F" w:rsidP="007951F0">
      <w:pPr>
        <w:tabs>
          <w:tab w:val="right" w:pos="9332"/>
        </w:tabs>
        <w:rPr>
          <w:rFonts w:ascii="Arial" w:hAnsi="Arial" w:cs="Arial"/>
          <w:sz w:val="16"/>
          <w:szCs w:val="16"/>
        </w:rPr>
      </w:pPr>
      <w:r w:rsidRPr="008D413F">
        <w:rPr>
          <w:rFonts w:ascii="Arial" w:hAnsi="Arial" w:cs="Arial"/>
          <w:b/>
          <w:noProof/>
          <w:color w:val="0D2255"/>
          <w:sz w:val="20"/>
          <w:lang w:val="en-US" w:eastAsia="zh-TW"/>
        </w:rPr>
        <w:pict>
          <v:shapetype id="_x0000_t202" coordsize="21600,21600" o:spt="202" path="m,l,21600r21600,l21600,xe">
            <v:stroke joinstyle="miter"/>
            <v:path gradientshapeok="t" o:connecttype="rect"/>
          </v:shapetype>
          <v:shape id="_x0000_s1034" type="#_x0000_t202" style="position:absolute;margin-left:-3pt;margin-top:6.45pt;width:213.6pt;height:195.2pt;z-index:251676672;mso-width-relative:margin;mso-height-relative:margin" stroked="f">
            <v:textbox style="mso-next-textbox:#_x0000_s1034">
              <w:txbxContent>
                <w:p w:rsidR="00310DB2" w:rsidRPr="00D561FB" w:rsidRDefault="00310DB2" w:rsidP="00D561FB">
                  <w:r w:rsidRPr="004C6507">
                    <w:rPr>
                      <w:noProof/>
                    </w:rPr>
                    <w:drawing>
                      <wp:inline distT="0" distB="0" distL="0" distR="0">
                        <wp:extent cx="2806811" cy="2433099"/>
                        <wp:effectExtent l="0" t="0" r="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v:textbox>
          </v:shape>
        </w:pict>
      </w:r>
      <w:r>
        <w:rPr>
          <w:rFonts w:ascii="Arial" w:hAnsi="Arial" w:cs="Arial"/>
          <w:noProof/>
          <w:sz w:val="16"/>
          <w:szCs w:val="16"/>
        </w:rPr>
        <w:pict>
          <v:shape id="_x0000_s1035" type="#_x0000_t202" style="position:absolute;margin-left:218pt;margin-top:3pt;width:236.75pt;height:214.75pt;z-index:251677696;mso-width-relative:margin;mso-height-relative:margin" stroked="f">
            <v:textbox>
              <w:txbxContent>
                <w:p w:rsidR="00310DB2" w:rsidRPr="00D561FB" w:rsidRDefault="00310DB2" w:rsidP="00D561FB">
                  <w:r w:rsidRPr="004C6507">
                    <w:rPr>
                      <w:noProof/>
                    </w:rPr>
                    <w:drawing>
                      <wp:inline distT="0" distB="0" distL="0" distR="0">
                        <wp:extent cx="3021495" cy="2433099"/>
                        <wp:effectExtent l="0" t="0" r="0"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v:textbox>
          </v:shape>
        </w:pict>
      </w:r>
    </w:p>
    <w:p w:rsidR="00D561FB" w:rsidRDefault="00D561FB" w:rsidP="007951F0">
      <w:pPr>
        <w:tabs>
          <w:tab w:val="right" w:pos="9332"/>
        </w:tabs>
        <w:rPr>
          <w:rFonts w:ascii="Arial" w:hAnsi="Arial" w:cs="Arial"/>
          <w:sz w:val="16"/>
          <w:szCs w:val="16"/>
        </w:rPr>
      </w:pPr>
    </w:p>
    <w:p w:rsidR="00D561FB" w:rsidRDefault="00D561FB" w:rsidP="007951F0">
      <w:pPr>
        <w:tabs>
          <w:tab w:val="right" w:pos="9332"/>
        </w:tabs>
        <w:rPr>
          <w:rFonts w:ascii="Arial" w:hAnsi="Arial" w:cs="Arial"/>
          <w:sz w:val="16"/>
          <w:szCs w:val="16"/>
        </w:rPr>
      </w:pPr>
    </w:p>
    <w:p w:rsidR="00D561FB" w:rsidRDefault="00D561FB" w:rsidP="007951F0">
      <w:pPr>
        <w:tabs>
          <w:tab w:val="right" w:pos="9332"/>
        </w:tabs>
        <w:rPr>
          <w:rFonts w:ascii="Arial" w:hAnsi="Arial" w:cs="Arial"/>
          <w:sz w:val="16"/>
          <w:szCs w:val="16"/>
        </w:rPr>
      </w:pPr>
    </w:p>
    <w:p w:rsidR="00D561FB" w:rsidRDefault="00D561FB" w:rsidP="007951F0">
      <w:pPr>
        <w:tabs>
          <w:tab w:val="right" w:pos="9332"/>
        </w:tabs>
        <w:rPr>
          <w:rFonts w:ascii="Arial" w:hAnsi="Arial" w:cs="Arial"/>
          <w:sz w:val="16"/>
          <w:szCs w:val="16"/>
        </w:rPr>
      </w:pPr>
    </w:p>
    <w:p w:rsidR="00C80E70" w:rsidRDefault="00D92B21" w:rsidP="007951F0">
      <w:pPr>
        <w:tabs>
          <w:tab w:val="right" w:pos="9332"/>
        </w:tabs>
        <w:rPr>
          <w:rFonts w:ascii="Arial" w:hAnsi="Arial" w:cs="Arial"/>
          <w:sz w:val="16"/>
          <w:szCs w:val="16"/>
        </w:rPr>
      </w:pPr>
      <w:r>
        <w:rPr>
          <w:rFonts w:ascii="Arial" w:hAnsi="Arial" w:cs="Arial"/>
          <w:sz w:val="16"/>
          <w:szCs w:val="16"/>
        </w:rPr>
        <w:tab/>
      </w:r>
    </w:p>
    <w:p w:rsidR="007951F0" w:rsidRDefault="007951F0">
      <w:pPr>
        <w:spacing w:line="276" w:lineRule="auto"/>
        <w:rPr>
          <w:rFonts w:ascii="Arial" w:hAnsi="Arial" w:cs="Arial"/>
          <w:sz w:val="16"/>
          <w:szCs w:val="16"/>
        </w:rPr>
      </w:pPr>
      <w:r>
        <w:rPr>
          <w:rFonts w:ascii="Arial" w:hAnsi="Arial" w:cs="Arial"/>
          <w:sz w:val="16"/>
          <w:szCs w:val="16"/>
        </w:rPr>
        <w:br w:type="page"/>
      </w:r>
    </w:p>
    <w:p w:rsidR="00C80E70" w:rsidRPr="00C80E70" w:rsidRDefault="00C80E70" w:rsidP="007951F0">
      <w:pPr>
        <w:pStyle w:val="Heading1"/>
        <w:ind w:left="0" w:right="142" w:firstLine="0"/>
        <w:rPr>
          <w:rFonts w:ascii="Arial" w:eastAsiaTheme="minorEastAsia" w:hAnsi="Arial" w:cs="Arial"/>
          <w:bCs/>
          <w:color w:val="1074CB"/>
          <w:sz w:val="38"/>
          <w:szCs w:val="38"/>
        </w:rPr>
      </w:pPr>
      <w:r w:rsidRPr="00C80E70">
        <w:rPr>
          <w:rFonts w:ascii="Arial" w:eastAsiaTheme="minorEastAsia" w:hAnsi="Arial" w:cs="Arial"/>
          <w:bCs/>
          <w:color w:val="1074CB"/>
          <w:sz w:val="38"/>
          <w:szCs w:val="38"/>
        </w:rPr>
        <w:lastRenderedPageBreak/>
        <w:t>UK COMMERCIAL VEHICLE MANUFACTURING</w:t>
      </w:r>
    </w:p>
    <w:p w:rsidR="00C80E70" w:rsidRDefault="00A24874" w:rsidP="007951F0">
      <w:pPr>
        <w:pStyle w:val="Heading1"/>
        <w:ind w:right="142"/>
        <w:rPr>
          <w:rFonts w:ascii="Arial" w:eastAsiaTheme="minorEastAsia" w:hAnsi="Arial" w:cs="Arial"/>
          <w:b w:val="0"/>
          <w:bCs/>
          <w:color w:val="1074CB"/>
          <w:sz w:val="32"/>
          <w:szCs w:val="32"/>
        </w:rPr>
      </w:pPr>
      <w:r>
        <w:rPr>
          <w:rFonts w:ascii="Arial" w:eastAsiaTheme="minorEastAsia" w:hAnsi="Arial" w:cs="Arial"/>
          <w:b w:val="0"/>
          <w:bCs/>
          <w:color w:val="1074CB"/>
          <w:sz w:val="44"/>
          <w:szCs w:val="44"/>
        </w:rPr>
        <w:t>21</w:t>
      </w:r>
      <w:r w:rsidRPr="00486897">
        <w:rPr>
          <w:rFonts w:ascii="Arial" w:eastAsiaTheme="minorEastAsia" w:hAnsi="Arial" w:cs="Arial"/>
          <w:b w:val="0"/>
          <w:bCs/>
          <w:color w:val="1074CB"/>
          <w:szCs w:val="24"/>
        </w:rPr>
        <w:t xml:space="preserve"> </w:t>
      </w:r>
      <w:r>
        <w:rPr>
          <w:rFonts w:ascii="Arial" w:eastAsiaTheme="minorEastAsia" w:hAnsi="Arial" w:cs="Arial"/>
          <w:b w:val="0"/>
          <w:bCs/>
          <w:color w:val="1074CB"/>
          <w:sz w:val="44"/>
          <w:szCs w:val="44"/>
        </w:rPr>
        <w:t>November</w:t>
      </w:r>
      <w:r w:rsidRPr="0055683E">
        <w:rPr>
          <w:rFonts w:ascii="Arial" w:eastAsiaTheme="minorEastAsia" w:hAnsi="Arial" w:cs="Arial"/>
          <w:b w:val="0"/>
          <w:bCs/>
          <w:color w:val="1074CB"/>
          <w:szCs w:val="24"/>
        </w:rPr>
        <w:t xml:space="preserve"> </w:t>
      </w:r>
      <w:r w:rsidRPr="00D62A9D">
        <w:rPr>
          <w:rFonts w:ascii="Arial" w:eastAsiaTheme="minorEastAsia" w:hAnsi="Arial" w:cs="Arial"/>
          <w:b w:val="0"/>
          <w:bCs/>
          <w:color w:val="1074CB"/>
          <w:sz w:val="44"/>
          <w:szCs w:val="44"/>
        </w:rPr>
        <w:t>2013</w:t>
      </w:r>
      <w:r w:rsidRPr="0055683E">
        <w:rPr>
          <w:rFonts w:ascii="Arial" w:eastAsiaTheme="minorEastAsia" w:hAnsi="Arial" w:cs="Arial"/>
          <w:b w:val="0"/>
          <w:bCs/>
          <w:color w:val="1074CB"/>
          <w:szCs w:val="24"/>
        </w:rPr>
        <w:t xml:space="preserve"> </w:t>
      </w:r>
      <w:r w:rsidRPr="00D62A9D">
        <w:rPr>
          <w:rFonts w:ascii="Arial" w:eastAsiaTheme="minorEastAsia" w:hAnsi="Arial" w:cs="Arial"/>
          <w:b w:val="0"/>
          <w:bCs/>
          <w:color w:val="1074CB"/>
          <w:sz w:val="32"/>
          <w:szCs w:val="32"/>
        </w:rPr>
        <w:t xml:space="preserve">(data for </w:t>
      </w:r>
      <w:r>
        <w:rPr>
          <w:rFonts w:ascii="Arial" w:eastAsiaTheme="minorEastAsia" w:hAnsi="Arial" w:cs="Arial"/>
          <w:b w:val="0"/>
          <w:bCs/>
          <w:color w:val="1074CB"/>
          <w:sz w:val="32"/>
          <w:szCs w:val="32"/>
        </w:rPr>
        <w:t xml:space="preserve">October </w:t>
      </w:r>
      <w:r w:rsidRPr="00D62A9D">
        <w:rPr>
          <w:rFonts w:ascii="Arial" w:eastAsiaTheme="minorEastAsia" w:hAnsi="Arial" w:cs="Arial"/>
          <w:b w:val="0"/>
          <w:bCs/>
          <w:color w:val="1074CB"/>
          <w:sz w:val="32"/>
          <w:szCs w:val="32"/>
        </w:rPr>
        <w:t>2013)</w:t>
      </w:r>
    </w:p>
    <w:p w:rsidR="00222BD9" w:rsidRPr="00222BD9" w:rsidRDefault="00222BD9" w:rsidP="00222BD9">
      <w:pPr>
        <w:pStyle w:val="Heading1"/>
        <w:ind w:right="142"/>
        <w:rPr>
          <w:rFonts w:ascii="Arial" w:eastAsiaTheme="minorEastAsia" w:hAnsi="Arial" w:cs="Arial"/>
          <w:b w:val="0"/>
          <w:bCs/>
          <w:color w:val="FF0000"/>
        </w:rPr>
      </w:pPr>
      <w:r w:rsidRPr="0091592E">
        <w:rPr>
          <w:rFonts w:ascii="Arial" w:eastAsiaTheme="minorEastAsia" w:hAnsi="Arial" w:cs="Arial"/>
          <w:b w:val="0"/>
          <w:bCs/>
          <w:color w:val="FF0000"/>
          <w:sz w:val="44"/>
          <w:szCs w:val="44"/>
        </w:rPr>
        <w:t>Embargoed to 00:01 on 2</w:t>
      </w:r>
      <w:r>
        <w:rPr>
          <w:rFonts w:ascii="Arial" w:eastAsiaTheme="minorEastAsia" w:hAnsi="Arial" w:cs="Arial"/>
          <w:b w:val="0"/>
          <w:bCs/>
          <w:color w:val="FF0000"/>
          <w:sz w:val="44"/>
          <w:szCs w:val="44"/>
        </w:rPr>
        <w:t>1</w:t>
      </w:r>
      <w:r w:rsidRPr="0091592E">
        <w:rPr>
          <w:rFonts w:ascii="Arial" w:eastAsiaTheme="minorEastAsia" w:hAnsi="Arial" w:cs="Arial"/>
          <w:b w:val="0"/>
          <w:bCs/>
          <w:color w:val="FF0000"/>
          <w:szCs w:val="24"/>
        </w:rPr>
        <w:t xml:space="preserve"> </w:t>
      </w:r>
      <w:r>
        <w:rPr>
          <w:rFonts w:ascii="Arial" w:eastAsiaTheme="minorEastAsia" w:hAnsi="Arial" w:cs="Arial"/>
          <w:b w:val="0"/>
          <w:bCs/>
          <w:color w:val="FF0000"/>
          <w:sz w:val="44"/>
          <w:szCs w:val="44"/>
        </w:rPr>
        <w:t>Novem</w:t>
      </w:r>
      <w:r w:rsidRPr="0091592E">
        <w:rPr>
          <w:rFonts w:ascii="Arial" w:eastAsiaTheme="minorEastAsia" w:hAnsi="Arial" w:cs="Arial"/>
          <w:b w:val="0"/>
          <w:bCs/>
          <w:color w:val="FF0000"/>
          <w:sz w:val="44"/>
          <w:szCs w:val="44"/>
        </w:rPr>
        <w:t>ber</w:t>
      </w:r>
      <w:r w:rsidRPr="0091592E">
        <w:rPr>
          <w:rFonts w:ascii="Arial" w:eastAsiaTheme="minorEastAsia" w:hAnsi="Arial" w:cs="Arial"/>
          <w:b w:val="0"/>
          <w:bCs/>
          <w:color w:val="FF0000"/>
          <w:szCs w:val="24"/>
        </w:rPr>
        <w:t xml:space="preserve"> </w:t>
      </w:r>
      <w:r w:rsidRPr="0091592E">
        <w:rPr>
          <w:rFonts w:ascii="Arial" w:eastAsiaTheme="minorEastAsia" w:hAnsi="Arial" w:cs="Arial"/>
          <w:b w:val="0"/>
          <w:bCs/>
          <w:color w:val="FF0000"/>
          <w:sz w:val="44"/>
          <w:szCs w:val="44"/>
        </w:rPr>
        <w:t>2013</w:t>
      </w:r>
      <w:r w:rsidRPr="0091592E">
        <w:rPr>
          <w:rFonts w:ascii="Arial" w:eastAsiaTheme="minorEastAsia" w:hAnsi="Arial" w:cs="Arial"/>
          <w:b w:val="0"/>
          <w:bCs/>
          <w:color w:val="FF0000"/>
          <w:szCs w:val="24"/>
        </w:rPr>
        <w:t xml:space="preserve"> </w:t>
      </w:r>
    </w:p>
    <w:p w:rsidR="00C80E70" w:rsidRPr="007B7D91" w:rsidRDefault="008D413F" w:rsidP="007951F0">
      <w:r w:rsidRPr="008D413F">
        <w:rPr>
          <w:rFonts w:ascii="Arial" w:eastAsiaTheme="minorEastAsia" w:hAnsi="Arial" w:cs="Arial"/>
          <w:b/>
          <w:bCs/>
          <w:noProof/>
          <w:color w:val="1074CB"/>
          <w:sz w:val="20"/>
        </w:rPr>
        <w:pict>
          <v:line id="Line 2" o:spid="_x0000_s1028" style="position:absolute;z-index:251666432;visibility:visible" from=".55pt,3.7pt" to="464.5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" strokecolor="#1074cb"/>
        </w:pict>
      </w:r>
    </w:p>
    <w:p w:rsidR="00C80E70" w:rsidRDefault="006F56DF" w:rsidP="007951F0">
      <w:pPr>
        <w:pStyle w:val="Heading1"/>
        <w:ind w:left="0" w:right="425" w:firstLine="0"/>
        <w:rPr>
          <w:rFonts w:ascii="Arial" w:eastAsiaTheme="minorEastAsia" w:hAnsi="Arial" w:cs="Arial"/>
          <w:bCs/>
          <w:color w:val="1074CB"/>
          <w:sz w:val="36"/>
          <w:szCs w:val="36"/>
        </w:rPr>
      </w:pPr>
      <w:r>
        <w:rPr>
          <w:rFonts w:ascii="Arial" w:eastAsiaTheme="minorEastAsia" w:hAnsi="Arial" w:cs="Arial"/>
          <w:bCs/>
          <w:color w:val="1074CB"/>
          <w:sz w:val="36"/>
          <w:szCs w:val="36"/>
        </w:rPr>
        <w:t>CV manufacturing slide continues in October</w:t>
      </w:r>
    </w:p>
    <w:p w:rsidR="00C80E70" w:rsidRPr="00C80E70" w:rsidRDefault="00C80E70" w:rsidP="00C80E70">
      <w:pPr>
        <w:rPr>
          <w:sz w:val="10"/>
          <w:szCs w:val="10"/>
        </w:rPr>
      </w:pPr>
    </w:p>
    <w:p w:rsidR="00494E5E" w:rsidRDefault="006F56DF" w:rsidP="005407A6">
      <w:pPr>
        <w:numPr>
          <w:ilvl w:val="0"/>
          <w:numId w:val="3"/>
        </w:numPr>
        <w:spacing w:line="276" w:lineRule="auto"/>
        <w:rPr>
          <w:rFonts w:ascii="Arial" w:hAnsi="Arial" w:cs="Arial"/>
          <w:sz w:val="20"/>
        </w:rPr>
      </w:pPr>
      <w:r>
        <w:rPr>
          <w:rFonts w:ascii="Arial" w:hAnsi="Arial" w:cs="Arial"/>
          <w:sz w:val="20"/>
        </w:rPr>
        <w:t>7,825 commercial vehicles (CV) produced in October, a decline of 33.8%.</w:t>
      </w:r>
    </w:p>
    <w:p w:rsidR="00A67F90" w:rsidRDefault="006F56DF" w:rsidP="00A67F90">
      <w:pPr>
        <w:numPr>
          <w:ilvl w:val="0"/>
          <w:numId w:val="3"/>
        </w:numPr>
        <w:spacing w:line="276" w:lineRule="auto"/>
        <w:rPr>
          <w:rFonts w:ascii="Arial" w:hAnsi="Arial" w:cs="Arial"/>
          <w:sz w:val="20"/>
        </w:rPr>
      </w:pPr>
      <w:r>
        <w:rPr>
          <w:rFonts w:ascii="Arial" w:hAnsi="Arial" w:cs="Arial"/>
          <w:sz w:val="20"/>
        </w:rPr>
        <w:t>Output for 2013-to-date down 19.9% to 75,484 units.</w:t>
      </w:r>
    </w:p>
    <w:p w:rsidR="00222BD9" w:rsidRDefault="00222BD9" w:rsidP="00222BD9">
      <w:pPr>
        <w:pStyle w:val="ListParagraph"/>
        <w:numPr>
          <w:ilvl w:val="0"/>
          <w:numId w:val="3"/>
        </w:numPr>
        <w:spacing w:line="276" w:lineRule="auto"/>
        <w:contextualSpacing w:val="0"/>
        <w:rPr>
          <w:rFonts w:ascii="Arial" w:hAnsi="Arial" w:cs="Arial"/>
          <w:sz w:val="20"/>
        </w:rPr>
      </w:pPr>
      <w:r>
        <w:rPr>
          <w:rFonts w:ascii="Arial" w:hAnsi="Arial" w:cs="Arial"/>
          <w:sz w:val="20"/>
        </w:rPr>
        <w:t>Bus and truck manufacturing is bright spot, but overall outlook remains gloomy for the rest of the year.</w:t>
      </w:r>
    </w:p>
    <w:p w:rsidR="006F56DF" w:rsidRDefault="006F56DF" w:rsidP="006F56DF">
      <w:pPr>
        <w:spacing w:line="276" w:lineRule="auto"/>
        <w:rPr>
          <w:rFonts w:ascii="Arial" w:hAnsi="Arial" w:cs="Arial"/>
          <w:sz w:val="20"/>
        </w:rPr>
      </w:pPr>
    </w:p>
    <w:p w:rsidR="00241258" w:rsidRDefault="00241258" w:rsidP="005E7061">
      <w:pPr>
        <w:spacing w:line="360" w:lineRule="auto"/>
        <w:rPr>
          <w:rFonts w:ascii="Arial" w:hAnsi="Arial" w:cs="Arial"/>
          <w:sz w:val="20"/>
        </w:rPr>
      </w:pPr>
      <w:r>
        <w:rPr>
          <w:rFonts w:ascii="Arial" w:hAnsi="Arial" w:cs="Arial"/>
          <w:sz w:val="20"/>
        </w:rPr>
        <w:t xml:space="preserve">“The downward trend in CV production continued in October, </w:t>
      </w:r>
      <w:r w:rsidR="00C1667A">
        <w:rPr>
          <w:rFonts w:ascii="Arial" w:hAnsi="Arial" w:cs="Arial"/>
          <w:sz w:val="20"/>
        </w:rPr>
        <w:t xml:space="preserve">given continually low levels of demand across </w:t>
      </w:r>
      <w:r>
        <w:rPr>
          <w:rFonts w:ascii="Arial" w:hAnsi="Arial" w:cs="Arial"/>
          <w:sz w:val="20"/>
        </w:rPr>
        <w:t xml:space="preserve">the EU combined </w:t>
      </w:r>
      <w:r w:rsidR="00C1667A">
        <w:rPr>
          <w:rFonts w:ascii="Arial" w:hAnsi="Arial" w:cs="Arial"/>
          <w:sz w:val="20"/>
        </w:rPr>
        <w:t>and structural and model changes in the UK</w:t>
      </w:r>
      <w:r>
        <w:rPr>
          <w:rFonts w:ascii="Arial" w:hAnsi="Arial" w:cs="Arial"/>
          <w:sz w:val="20"/>
        </w:rPr>
        <w:t>,” said Mike Hawes, SMMT Chief Executive. “Despite some areas of good news, with UK bus and truck manufacturing growing in the month, the domestic CV manufacturing outlook remains negative for the rest of the year.”</w:t>
      </w:r>
    </w:p>
    <w:p w:rsidR="00CE230C" w:rsidRDefault="00CE230C" w:rsidP="00C80E70">
      <w:pPr>
        <w:spacing w:line="276" w:lineRule="auto"/>
        <w:rPr>
          <w:rFonts w:ascii="Arial" w:hAnsi="Arial" w:cs="Arial"/>
          <w:sz w:val="20"/>
        </w:rPr>
      </w:pPr>
    </w:p>
    <w:tbl>
      <w:tblPr>
        <w:tblStyle w:val="TableGrid"/>
        <w:tblW w:w="946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6" w:space="0" w:color="4F81BD" w:themeColor="accent1"/>
          <w:insideV w:val="single" w:sz="6" w:space="0" w:color="4F81BD" w:themeColor="accent1"/>
        </w:tblBorders>
        <w:tblLook w:val="04A0"/>
      </w:tblPr>
      <w:tblGrid>
        <w:gridCol w:w="2093"/>
        <w:gridCol w:w="1276"/>
        <w:gridCol w:w="1134"/>
        <w:gridCol w:w="1275"/>
        <w:gridCol w:w="1276"/>
        <w:gridCol w:w="1134"/>
        <w:gridCol w:w="1276"/>
      </w:tblGrid>
      <w:tr w:rsidR="00252DCB" w:rsidRPr="00761183" w:rsidTr="00A24874">
        <w:trPr>
          <w:trHeight w:val="270"/>
        </w:trPr>
        <w:tc>
          <w:tcPr>
            <w:tcW w:w="2093" w:type="dxa"/>
            <w:noWrap/>
            <w:vAlign w:val="center"/>
            <w:hideMark/>
          </w:tcPr>
          <w:p w:rsidR="00252DCB" w:rsidRPr="00252DCB" w:rsidRDefault="00252DCB" w:rsidP="00505C8C">
            <w:pPr>
              <w:spacing w:line="276" w:lineRule="auto"/>
              <w:rPr>
                <w:rFonts w:ascii="Arial" w:hAnsi="Arial" w:cs="Arial"/>
                <w:b/>
                <w:color w:val="002060"/>
                <w:sz w:val="20"/>
              </w:rPr>
            </w:pPr>
            <w:r w:rsidRPr="00252DCB">
              <w:rPr>
                <w:rFonts w:ascii="Arial" w:hAnsi="Arial" w:cs="Arial"/>
                <w:b/>
                <w:color w:val="002060"/>
                <w:sz w:val="20"/>
              </w:rPr>
              <w:t>CV manufacturing</w:t>
            </w:r>
          </w:p>
        </w:tc>
        <w:tc>
          <w:tcPr>
            <w:tcW w:w="1276" w:type="dxa"/>
            <w:noWrap/>
            <w:vAlign w:val="center"/>
            <w:hideMark/>
          </w:tcPr>
          <w:p w:rsidR="00252DCB" w:rsidRPr="00252DCB" w:rsidRDefault="004C6507" w:rsidP="00A24874">
            <w:pPr>
              <w:jc w:val="right"/>
              <w:rPr>
                <w:rFonts w:ascii="Arial" w:hAnsi="Arial" w:cs="Arial"/>
                <w:b/>
                <w:color w:val="002060"/>
                <w:sz w:val="20"/>
              </w:rPr>
            </w:pPr>
            <w:r>
              <w:rPr>
                <w:rFonts w:ascii="Arial" w:hAnsi="Arial" w:cs="Arial"/>
                <w:b/>
                <w:color w:val="002060"/>
                <w:sz w:val="20"/>
              </w:rPr>
              <w:t>Oct</w:t>
            </w:r>
            <w:r w:rsidR="00252DCB" w:rsidRPr="00252DCB">
              <w:rPr>
                <w:rFonts w:ascii="Arial" w:hAnsi="Arial" w:cs="Arial"/>
                <w:b/>
                <w:color w:val="002060"/>
                <w:sz w:val="20"/>
              </w:rPr>
              <w:t>-12</w:t>
            </w:r>
          </w:p>
        </w:tc>
        <w:tc>
          <w:tcPr>
            <w:tcW w:w="1134" w:type="dxa"/>
            <w:noWrap/>
            <w:vAlign w:val="center"/>
            <w:hideMark/>
          </w:tcPr>
          <w:p w:rsidR="00252DCB" w:rsidRPr="00252DCB" w:rsidRDefault="004C6507" w:rsidP="00A24874">
            <w:pPr>
              <w:jc w:val="right"/>
              <w:rPr>
                <w:rFonts w:ascii="Arial" w:hAnsi="Arial" w:cs="Arial"/>
                <w:b/>
                <w:color w:val="002060"/>
                <w:sz w:val="20"/>
              </w:rPr>
            </w:pPr>
            <w:r>
              <w:rPr>
                <w:rFonts w:ascii="Arial" w:hAnsi="Arial" w:cs="Arial"/>
                <w:b/>
                <w:color w:val="002060"/>
                <w:sz w:val="20"/>
              </w:rPr>
              <w:t>Oct</w:t>
            </w:r>
            <w:r w:rsidR="00252DCB" w:rsidRPr="00252DCB">
              <w:rPr>
                <w:rFonts w:ascii="Arial" w:hAnsi="Arial" w:cs="Arial"/>
                <w:b/>
                <w:color w:val="002060"/>
                <w:sz w:val="20"/>
              </w:rPr>
              <w:t>-13</w:t>
            </w:r>
          </w:p>
        </w:tc>
        <w:tc>
          <w:tcPr>
            <w:tcW w:w="1275" w:type="dxa"/>
            <w:noWrap/>
            <w:vAlign w:val="center"/>
            <w:hideMark/>
          </w:tcPr>
          <w:p w:rsidR="00252DCB" w:rsidRPr="00252DCB" w:rsidRDefault="00252DCB" w:rsidP="00A24874">
            <w:pPr>
              <w:jc w:val="right"/>
              <w:rPr>
                <w:rFonts w:ascii="Arial" w:hAnsi="Arial" w:cs="Arial"/>
                <w:b/>
                <w:color w:val="002060"/>
                <w:sz w:val="20"/>
              </w:rPr>
            </w:pPr>
            <w:r w:rsidRPr="00252DCB">
              <w:rPr>
                <w:rFonts w:ascii="Arial" w:hAnsi="Arial" w:cs="Arial"/>
                <w:b/>
                <w:color w:val="002060"/>
                <w:sz w:val="20"/>
              </w:rPr>
              <w:t xml:space="preserve">% Change </w:t>
            </w:r>
          </w:p>
        </w:tc>
        <w:tc>
          <w:tcPr>
            <w:tcW w:w="1276" w:type="dxa"/>
            <w:noWrap/>
            <w:vAlign w:val="center"/>
            <w:hideMark/>
          </w:tcPr>
          <w:p w:rsidR="00252DCB" w:rsidRPr="00252DCB" w:rsidRDefault="00252DCB" w:rsidP="00A24874">
            <w:pPr>
              <w:jc w:val="right"/>
              <w:rPr>
                <w:rFonts w:ascii="Arial" w:hAnsi="Arial" w:cs="Arial"/>
                <w:b/>
                <w:color w:val="002060"/>
                <w:sz w:val="20"/>
              </w:rPr>
            </w:pPr>
            <w:r w:rsidRPr="00252DCB">
              <w:rPr>
                <w:rFonts w:ascii="Arial" w:hAnsi="Arial" w:cs="Arial"/>
                <w:b/>
                <w:color w:val="002060"/>
                <w:sz w:val="20"/>
              </w:rPr>
              <w:t>YTD-12</w:t>
            </w:r>
          </w:p>
        </w:tc>
        <w:tc>
          <w:tcPr>
            <w:tcW w:w="1134" w:type="dxa"/>
            <w:noWrap/>
            <w:vAlign w:val="center"/>
            <w:hideMark/>
          </w:tcPr>
          <w:p w:rsidR="00252DCB" w:rsidRPr="00252DCB" w:rsidRDefault="00252DCB" w:rsidP="00A24874">
            <w:pPr>
              <w:jc w:val="right"/>
              <w:rPr>
                <w:rFonts w:ascii="Arial" w:hAnsi="Arial" w:cs="Arial"/>
                <w:b/>
                <w:color w:val="002060"/>
                <w:sz w:val="20"/>
              </w:rPr>
            </w:pPr>
            <w:r w:rsidRPr="00252DCB">
              <w:rPr>
                <w:rFonts w:ascii="Arial" w:hAnsi="Arial" w:cs="Arial"/>
                <w:b/>
                <w:color w:val="002060"/>
                <w:sz w:val="20"/>
              </w:rPr>
              <w:t>YTD-13</w:t>
            </w:r>
          </w:p>
        </w:tc>
        <w:tc>
          <w:tcPr>
            <w:tcW w:w="1276" w:type="dxa"/>
            <w:noWrap/>
            <w:vAlign w:val="center"/>
            <w:hideMark/>
          </w:tcPr>
          <w:p w:rsidR="00252DCB" w:rsidRPr="00252DCB" w:rsidRDefault="00252DCB" w:rsidP="00A24874">
            <w:pPr>
              <w:jc w:val="right"/>
              <w:rPr>
                <w:rFonts w:ascii="Arial" w:hAnsi="Arial" w:cs="Arial"/>
                <w:b/>
                <w:color w:val="002060"/>
                <w:sz w:val="20"/>
              </w:rPr>
            </w:pPr>
            <w:r w:rsidRPr="00252DCB">
              <w:rPr>
                <w:rFonts w:ascii="Arial" w:hAnsi="Arial" w:cs="Arial"/>
                <w:b/>
                <w:color w:val="002060"/>
                <w:sz w:val="20"/>
              </w:rPr>
              <w:t>% Change</w:t>
            </w:r>
          </w:p>
        </w:tc>
      </w:tr>
      <w:tr w:rsidR="004C6507" w:rsidRPr="00761183" w:rsidTr="00A24874">
        <w:trPr>
          <w:trHeight w:val="270"/>
        </w:trPr>
        <w:tc>
          <w:tcPr>
            <w:tcW w:w="2093" w:type="dxa"/>
            <w:noWrap/>
            <w:vAlign w:val="center"/>
            <w:hideMark/>
          </w:tcPr>
          <w:p w:rsidR="004C6507" w:rsidRPr="00252DCB" w:rsidRDefault="004C6507" w:rsidP="00505C8C">
            <w:pPr>
              <w:spacing w:line="276" w:lineRule="auto"/>
              <w:jc w:val="right"/>
              <w:rPr>
                <w:rFonts w:ascii="Arial" w:hAnsi="Arial" w:cs="Arial"/>
                <w:b/>
                <w:color w:val="002060"/>
                <w:sz w:val="20"/>
              </w:rPr>
            </w:pPr>
            <w:r w:rsidRPr="00252DCB">
              <w:rPr>
                <w:rFonts w:ascii="Arial" w:hAnsi="Arial" w:cs="Arial"/>
                <w:b/>
                <w:color w:val="002060"/>
                <w:sz w:val="20"/>
              </w:rPr>
              <w:t>Total</w:t>
            </w:r>
          </w:p>
        </w:tc>
        <w:tc>
          <w:tcPr>
            <w:tcW w:w="1276" w:type="dxa"/>
            <w:noWrap/>
            <w:vAlign w:val="center"/>
            <w:hideMark/>
          </w:tcPr>
          <w:p w:rsidR="004C6507" w:rsidRPr="004C6507" w:rsidRDefault="004C6507" w:rsidP="00A24874">
            <w:pPr>
              <w:jc w:val="right"/>
              <w:rPr>
                <w:rFonts w:ascii="Arial" w:hAnsi="Arial" w:cs="Arial"/>
                <w:b/>
                <w:color w:val="002060"/>
                <w:sz w:val="20"/>
              </w:rPr>
            </w:pPr>
            <w:r w:rsidRPr="004C6507">
              <w:rPr>
                <w:rFonts w:ascii="Arial" w:hAnsi="Arial" w:cs="Arial"/>
                <w:b/>
                <w:color w:val="002060"/>
                <w:sz w:val="20"/>
              </w:rPr>
              <w:t>11,899</w:t>
            </w:r>
          </w:p>
        </w:tc>
        <w:tc>
          <w:tcPr>
            <w:tcW w:w="1134" w:type="dxa"/>
            <w:noWrap/>
            <w:vAlign w:val="center"/>
            <w:hideMark/>
          </w:tcPr>
          <w:p w:rsidR="004C6507" w:rsidRPr="004C6507" w:rsidRDefault="004C6507" w:rsidP="00A24874">
            <w:pPr>
              <w:jc w:val="right"/>
              <w:rPr>
                <w:rFonts w:ascii="Arial" w:hAnsi="Arial" w:cs="Arial"/>
                <w:b/>
                <w:color w:val="002060"/>
                <w:sz w:val="20"/>
              </w:rPr>
            </w:pPr>
            <w:r w:rsidRPr="004C6507">
              <w:rPr>
                <w:rFonts w:ascii="Arial" w:hAnsi="Arial" w:cs="Arial"/>
                <w:b/>
                <w:color w:val="002060"/>
                <w:sz w:val="20"/>
              </w:rPr>
              <w:t>7,875</w:t>
            </w:r>
          </w:p>
        </w:tc>
        <w:tc>
          <w:tcPr>
            <w:tcW w:w="1275" w:type="dxa"/>
            <w:noWrap/>
            <w:vAlign w:val="center"/>
            <w:hideMark/>
          </w:tcPr>
          <w:p w:rsidR="004C6507" w:rsidRPr="004C6507" w:rsidRDefault="004C6507" w:rsidP="00A24874">
            <w:pPr>
              <w:jc w:val="right"/>
              <w:rPr>
                <w:rFonts w:ascii="Arial" w:hAnsi="Arial" w:cs="Arial"/>
                <w:b/>
                <w:color w:val="002060"/>
                <w:sz w:val="18"/>
                <w:szCs w:val="18"/>
              </w:rPr>
            </w:pPr>
            <w:r w:rsidRPr="004C6507">
              <w:rPr>
                <w:rFonts w:ascii="Arial" w:hAnsi="Arial" w:cs="Arial"/>
                <w:b/>
                <w:color w:val="002060"/>
                <w:sz w:val="18"/>
                <w:szCs w:val="18"/>
              </w:rPr>
              <w:t>-33.8%</w:t>
            </w:r>
          </w:p>
        </w:tc>
        <w:tc>
          <w:tcPr>
            <w:tcW w:w="1276" w:type="dxa"/>
            <w:noWrap/>
            <w:vAlign w:val="center"/>
            <w:hideMark/>
          </w:tcPr>
          <w:p w:rsidR="004C6507" w:rsidRPr="004C6507" w:rsidRDefault="004C6507" w:rsidP="00A24874">
            <w:pPr>
              <w:jc w:val="right"/>
              <w:rPr>
                <w:rFonts w:ascii="Arial" w:hAnsi="Arial" w:cs="Arial"/>
                <w:b/>
                <w:color w:val="002060"/>
                <w:sz w:val="20"/>
              </w:rPr>
            </w:pPr>
            <w:r w:rsidRPr="004C6507">
              <w:rPr>
                <w:rFonts w:ascii="Arial" w:hAnsi="Arial" w:cs="Arial"/>
                <w:b/>
                <w:color w:val="002060"/>
                <w:sz w:val="20"/>
              </w:rPr>
              <w:t>94,214</w:t>
            </w:r>
          </w:p>
        </w:tc>
        <w:tc>
          <w:tcPr>
            <w:tcW w:w="1134" w:type="dxa"/>
            <w:noWrap/>
            <w:vAlign w:val="center"/>
            <w:hideMark/>
          </w:tcPr>
          <w:p w:rsidR="004C6507" w:rsidRPr="004C6507" w:rsidRDefault="004C6507" w:rsidP="00A24874">
            <w:pPr>
              <w:jc w:val="right"/>
              <w:rPr>
                <w:rFonts w:ascii="Arial" w:hAnsi="Arial" w:cs="Arial"/>
                <w:b/>
                <w:color w:val="002060"/>
                <w:sz w:val="20"/>
              </w:rPr>
            </w:pPr>
            <w:r w:rsidRPr="004C6507">
              <w:rPr>
                <w:rFonts w:ascii="Arial" w:hAnsi="Arial" w:cs="Arial"/>
                <w:b/>
                <w:color w:val="002060"/>
                <w:sz w:val="20"/>
              </w:rPr>
              <w:t>75,484</w:t>
            </w:r>
          </w:p>
        </w:tc>
        <w:tc>
          <w:tcPr>
            <w:tcW w:w="1276" w:type="dxa"/>
            <w:noWrap/>
            <w:vAlign w:val="center"/>
            <w:hideMark/>
          </w:tcPr>
          <w:p w:rsidR="004C6507" w:rsidRPr="004C6507" w:rsidRDefault="004C6507" w:rsidP="00A24874">
            <w:pPr>
              <w:jc w:val="right"/>
              <w:rPr>
                <w:rFonts w:ascii="Arial" w:hAnsi="Arial" w:cs="Arial"/>
                <w:b/>
                <w:color w:val="002060"/>
                <w:sz w:val="18"/>
                <w:szCs w:val="18"/>
              </w:rPr>
            </w:pPr>
            <w:r w:rsidRPr="004C6507">
              <w:rPr>
                <w:rFonts w:ascii="Arial" w:hAnsi="Arial" w:cs="Arial"/>
                <w:b/>
                <w:color w:val="002060"/>
                <w:sz w:val="18"/>
                <w:szCs w:val="18"/>
              </w:rPr>
              <w:t>-19.9%</w:t>
            </w:r>
          </w:p>
        </w:tc>
      </w:tr>
      <w:tr w:rsidR="004C6507" w:rsidRPr="00761183" w:rsidTr="00A24874">
        <w:trPr>
          <w:trHeight w:val="270"/>
        </w:trPr>
        <w:tc>
          <w:tcPr>
            <w:tcW w:w="2093" w:type="dxa"/>
            <w:noWrap/>
            <w:vAlign w:val="center"/>
            <w:hideMark/>
          </w:tcPr>
          <w:p w:rsidR="004C6507" w:rsidRPr="00252DCB" w:rsidRDefault="004C6507" w:rsidP="00505C8C">
            <w:pPr>
              <w:spacing w:line="276" w:lineRule="auto"/>
              <w:jc w:val="right"/>
              <w:rPr>
                <w:rFonts w:ascii="Arial" w:hAnsi="Arial" w:cs="Arial"/>
                <w:color w:val="002060"/>
                <w:sz w:val="20"/>
              </w:rPr>
            </w:pPr>
            <w:r w:rsidRPr="00252DCB">
              <w:rPr>
                <w:rFonts w:ascii="Arial" w:hAnsi="Arial" w:cs="Arial"/>
                <w:color w:val="002060"/>
                <w:sz w:val="20"/>
              </w:rPr>
              <w:t>Home</w:t>
            </w:r>
          </w:p>
        </w:tc>
        <w:tc>
          <w:tcPr>
            <w:tcW w:w="1276" w:type="dxa"/>
            <w:noWrap/>
            <w:vAlign w:val="center"/>
            <w:hideMark/>
          </w:tcPr>
          <w:p w:rsidR="004C6507" w:rsidRPr="004C6507" w:rsidRDefault="004C6507" w:rsidP="00A24874">
            <w:pPr>
              <w:jc w:val="right"/>
              <w:rPr>
                <w:rFonts w:ascii="Arial" w:hAnsi="Arial" w:cs="Arial"/>
                <w:color w:val="002060"/>
                <w:sz w:val="20"/>
              </w:rPr>
            </w:pPr>
            <w:r w:rsidRPr="004C6507">
              <w:rPr>
                <w:rFonts w:ascii="Arial" w:hAnsi="Arial" w:cs="Arial"/>
                <w:color w:val="002060"/>
                <w:sz w:val="20"/>
              </w:rPr>
              <w:t>5,243</w:t>
            </w:r>
          </w:p>
        </w:tc>
        <w:tc>
          <w:tcPr>
            <w:tcW w:w="1134" w:type="dxa"/>
            <w:noWrap/>
            <w:vAlign w:val="center"/>
            <w:hideMark/>
          </w:tcPr>
          <w:p w:rsidR="004C6507" w:rsidRPr="004C6507" w:rsidRDefault="004C6507" w:rsidP="00A24874">
            <w:pPr>
              <w:jc w:val="right"/>
              <w:rPr>
                <w:rFonts w:ascii="Arial" w:hAnsi="Arial" w:cs="Arial"/>
                <w:color w:val="002060"/>
                <w:sz w:val="20"/>
              </w:rPr>
            </w:pPr>
            <w:r w:rsidRPr="004C6507">
              <w:rPr>
                <w:rFonts w:ascii="Arial" w:hAnsi="Arial" w:cs="Arial"/>
                <w:color w:val="002060"/>
                <w:sz w:val="20"/>
              </w:rPr>
              <w:t>3,752</w:t>
            </w:r>
          </w:p>
        </w:tc>
        <w:tc>
          <w:tcPr>
            <w:tcW w:w="1275" w:type="dxa"/>
            <w:noWrap/>
            <w:vAlign w:val="center"/>
            <w:hideMark/>
          </w:tcPr>
          <w:p w:rsidR="004C6507" w:rsidRPr="004C6507" w:rsidRDefault="004C6507" w:rsidP="00A24874">
            <w:pPr>
              <w:jc w:val="right"/>
              <w:rPr>
                <w:rFonts w:ascii="Arial" w:hAnsi="Arial" w:cs="Arial"/>
                <w:color w:val="002060"/>
                <w:sz w:val="18"/>
                <w:szCs w:val="18"/>
              </w:rPr>
            </w:pPr>
            <w:r w:rsidRPr="004C6507">
              <w:rPr>
                <w:rFonts w:ascii="Arial" w:hAnsi="Arial" w:cs="Arial"/>
                <w:color w:val="002060"/>
                <w:sz w:val="18"/>
                <w:szCs w:val="18"/>
              </w:rPr>
              <w:t>-28.4%</w:t>
            </w:r>
          </w:p>
        </w:tc>
        <w:tc>
          <w:tcPr>
            <w:tcW w:w="1276" w:type="dxa"/>
            <w:noWrap/>
            <w:vAlign w:val="center"/>
            <w:hideMark/>
          </w:tcPr>
          <w:p w:rsidR="004C6507" w:rsidRPr="004C6507" w:rsidRDefault="004C6507" w:rsidP="00A24874">
            <w:pPr>
              <w:jc w:val="right"/>
              <w:rPr>
                <w:rFonts w:ascii="Arial" w:hAnsi="Arial" w:cs="Arial"/>
                <w:color w:val="002060"/>
                <w:sz w:val="20"/>
              </w:rPr>
            </w:pPr>
            <w:r w:rsidRPr="004C6507">
              <w:rPr>
                <w:rFonts w:ascii="Arial" w:hAnsi="Arial" w:cs="Arial"/>
                <w:color w:val="002060"/>
                <w:sz w:val="20"/>
              </w:rPr>
              <w:t>39,662</w:t>
            </w:r>
          </w:p>
        </w:tc>
        <w:tc>
          <w:tcPr>
            <w:tcW w:w="1134" w:type="dxa"/>
            <w:noWrap/>
            <w:vAlign w:val="center"/>
            <w:hideMark/>
          </w:tcPr>
          <w:p w:rsidR="004C6507" w:rsidRPr="004C6507" w:rsidRDefault="004C6507" w:rsidP="00A24874">
            <w:pPr>
              <w:jc w:val="right"/>
              <w:rPr>
                <w:rFonts w:ascii="Arial" w:hAnsi="Arial" w:cs="Arial"/>
                <w:color w:val="002060"/>
                <w:sz w:val="20"/>
              </w:rPr>
            </w:pPr>
            <w:r w:rsidRPr="004C6507">
              <w:rPr>
                <w:rFonts w:ascii="Arial" w:hAnsi="Arial" w:cs="Arial"/>
                <w:color w:val="002060"/>
                <w:sz w:val="20"/>
              </w:rPr>
              <w:t>35,074</w:t>
            </w:r>
          </w:p>
        </w:tc>
        <w:tc>
          <w:tcPr>
            <w:tcW w:w="1276" w:type="dxa"/>
            <w:noWrap/>
            <w:vAlign w:val="center"/>
            <w:hideMark/>
          </w:tcPr>
          <w:p w:rsidR="004C6507" w:rsidRPr="004C6507" w:rsidRDefault="004C6507" w:rsidP="00A24874">
            <w:pPr>
              <w:jc w:val="right"/>
              <w:rPr>
                <w:rFonts w:ascii="Arial" w:hAnsi="Arial" w:cs="Arial"/>
                <w:color w:val="002060"/>
                <w:sz w:val="18"/>
                <w:szCs w:val="18"/>
              </w:rPr>
            </w:pPr>
            <w:r w:rsidRPr="004C6507">
              <w:rPr>
                <w:rFonts w:ascii="Arial" w:hAnsi="Arial" w:cs="Arial"/>
                <w:color w:val="002060"/>
                <w:sz w:val="18"/>
                <w:szCs w:val="18"/>
              </w:rPr>
              <w:t>-11.6%</w:t>
            </w:r>
          </w:p>
        </w:tc>
      </w:tr>
      <w:tr w:rsidR="004C6507" w:rsidRPr="00761183" w:rsidTr="00A24874">
        <w:trPr>
          <w:trHeight w:val="270"/>
        </w:trPr>
        <w:tc>
          <w:tcPr>
            <w:tcW w:w="2093" w:type="dxa"/>
            <w:noWrap/>
            <w:vAlign w:val="center"/>
            <w:hideMark/>
          </w:tcPr>
          <w:p w:rsidR="004C6507" w:rsidRPr="00252DCB" w:rsidRDefault="004C6507" w:rsidP="00505C8C">
            <w:pPr>
              <w:spacing w:line="276" w:lineRule="auto"/>
              <w:jc w:val="right"/>
              <w:rPr>
                <w:rFonts w:ascii="Arial" w:hAnsi="Arial" w:cs="Arial"/>
                <w:color w:val="002060"/>
                <w:sz w:val="20"/>
              </w:rPr>
            </w:pPr>
            <w:r w:rsidRPr="00252DCB">
              <w:rPr>
                <w:rFonts w:ascii="Arial" w:hAnsi="Arial" w:cs="Arial"/>
                <w:color w:val="002060"/>
                <w:sz w:val="20"/>
              </w:rPr>
              <w:t>Export</w:t>
            </w:r>
          </w:p>
        </w:tc>
        <w:tc>
          <w:tcPr>
            <w:tcW w:w="1276" w:type="dxa"/>
            <w:noWrap/>
            <w:vAlign w:val="center"/>
            <w:hideMark/>
          </w:tcPr>
          <w:p w:rsidR="004C6507" w:rsidRPr="004C6507" w:rsidRDefault="004C6507" w:rsidP="00A24874">
            <w:pPr>
              <w:jc w:val="right"/>
              <w:rPr>
                <w:rFonts w:ascii="Arial" w:hAnsi="Arial" w:cs="Arial"/>
                <w:color w:val="002060"/>
                <w:sz w:val="20"/>
              </w:rPr>
            </w:pPr>
            <w:r w:rsidRPr="004C6507">
              <w:rPr>
                <w:rFonts w:ascii="Arial" w:hAnsi="Arial" w:cs="Arial"/>
                <w:color w:val="002060"/>
                <w:sz w:val="20"/>
              </w:rPr>
              <w:t>6,656</w:t>
            </w:r>
          </w:p>
        </w:tc>
        <w:tc>
          <w:tcPr>
            <w:tcW w:w="1134" w:type="dxa"/>
            <w:noWrap/>
            <w:vAlign w:val="center"/>
            <w:hideMark/>
          </w:tcPr>
          <w:p w:rsidR="004C6507" w:rsidRPr="004C6507" w:rsidRDefault="004C6507" w:rsidP="00A24874">
            <w:pPr>
              <w:jc w:val="right"/>
              <w:rPr>
                <w:rFonts w:ascii="Arial" w:hAnsi="Arial" w:cs="Arial"/>
                <w:color w:val="002060"/>
                <w:sz w:val="20"/>
              </w:rPr>
            </w:pPr>
            <w:r w:rsidRPr="004C6507">
              <w:rPr>
                <w:rFonts w:ascii="Arial" w:hAnsi="Arial" w:cs="Arial"/>
                <w:color w:val="002060"/>
                <w:sz w:val="20"/>
              </w:rPr>
              <w:t>4,123</w:t>
            </w:r>
          </w:p>
        </w:tc>
        <w:tc>
          <w:tcPr>
            <w:tcW w:w="1275" w:type="dxa"/>
            <w:noWrap/>
            <w:vAlign w:val="center"/>
            <w:hideMark/>
          </w:tcPr>
          <w:p w:rsidR="004C6507" w:rsidRPr="004C6507" w:rsidRDefault="004C6507" w:rsidP="00A24874">
            <w:pPr>
              <w:jc w:val="right"/>
              <w:rPr>
                <w:rFonts w:ascii="Arial" w:hAnsi="Arial" w:cs="Arial"/>
                <w:color w:val="002060"/>
                <w:sz w:val="18"/>
                <w:szCs w:val="18"/>
              </w:rPr>
            </w:pPr>
            <w:r w:rsidRPr="004C6507">
              <w:rPr>
                <w:rFonts w:ascii="Arial" w:hAnsi="Arial" w:cs="Arial"/>
                <w:color w:val="002060"/>
                <w:sz w:val="18"/>
                <w:szCs w:val="18"/>
              </w:rPr>
              <w:t>-38.1%</w:t>
            </w:r>
          </w:p>
        </w:tc>
        <w:tc>
          <w:tcPr>
            <w:tcW w:w="1276" w:type="dxa"/>
            <w:noWrap/>
            <w:vAlign w:val="center"/>
            <w:hideMark/>
          </w:tcPr>
          <w:p w:rsidR="004C6507" w:rsidRPr="004C6507" w:rsidRDefault="004C6507" w:rsidP="00A24874">
            <w:pPr>
              <w:jc w:val="right"/>
              <w:rPr>
                <w:rFonts w:ascii="Arial" w:hAnsi="Arial" w:cs="Arial"/>
                <w:color w:val="002060"/>
                <w:sz w:val="20"/>
              </w:rPr>
            </w:pPr>
            <w:r w:rsidRPr="004C6507">
              <w:rPr>
                <w:rFonts w:ascii="Arial" w:hAnsi="Arial" w:cs="Arial"/>
                <w:color w:val="002060"/>
                <w:sz w:val="20"/>
              </w:rPr>
              <w:t>54,552</w:t>
            </w:r>
          </w:p>
        </w:tc>
        <w:tc>
          <w:tcPr>
            <w:tcW w:w="1134" w:type="dxa"/>
            <w:noWrap/>
            <w:vAlign w:val="center"/>
            <w:hideMark/>
          </w:tcPr>
          <w:p w:rsidR="004C6507" w:rsidRPr="004C6507" w:rsidRDefault="004C6507" w:rsidP="00A24874">
            <w:pPr>
              <w:jc w:val="right"/>
              <w:rPr>
                <w:rFonts w:ascii="Arial" w:hAnsi="Arial" w:cs="Arial"/>
                <w:color w:val="002060"/>
                <w:sz w:val="20"/>
              </w:rPr>
            </w:pPr>
            <w:r w:rsidRPr="004C6507">
              <w:rPr>
                <w:rFonts w:ascii="Arial" w:hAnsi="Arial" w:cs="Arial"/>
                <w:color w:val="002060"/>
                <w:sz w:val="20"/>
              </w:rPr>
              <w:t>40,410</w:t>
            </w:r>
          </w:p>
        </w:tc>
        <w:tc>
          <w:tcPr>
            <w:tcW w:w="1276" w:type="dxa"/>
            <w:noWrap/>
            <w:vAlign w:val="center"/>
            <w:hideMark/>
          </w:tcPr>
          <w:p w:rsidR="004C6507" w:rsidRPr="004C6507" w:rsidRDefault="004C6507" w:rsidP="00A24874">
            <w:pPr>
              <w:jc w:val="right"/>
              <w:rPr>
                <w:rFonts w:ascii="Arial" w:hAnsi="Arial" w:cs="Arial"/>
                <w:color w:val="002060"/>
                <w:sz w:val="18"/>
                <w:szCs w:val="18"/>
              </w:rPr>
            </w:pPr>
            <w:r w:rsidRPr="004C6507">
              <w:rPr>
                <w:rFonts w:ascii="Arial" w:hAnsi="Arial" w:cs="Arial"/>
                <w:color w:val="002060"/>
                <w:sz w:val="18"/>
                <w:szCs w:val="18"/>
              </w:rPr>
              <w:t>-25.9%</w:t>
            </w:r>
          </w:p>
        </w:tc>
      </w:tr>
      <w:tr w:rsidR="004C6507" w:rsidRPr="00761183" w:rsidTr="00A24874">
        <w:trPr>
          <w:trHeight w:val="270"/>
        </w:trPr>
        <w:tc>
          <w:tcPr>
            <w:tcW w:w="2093" w:type="dxa"/>
            <w:noWrap/>
            <w:vAlign w:val="center"/>
            <w:hideMark/>
          </w:tcPr>
          <w:p w:rsidR="004C6507" w:rsidRPr="00252DCB" w:rsidRDefault="004C6507" w:rsidP="00505C8C">
            <w:pPr>
              <w:spacing w:line="276" w:lineRule="auto"/>
              <w:jc w:val="right"/>
              <w:rPr>
                <w:rFonts w:ascii="Arial" w:hAnsi="Arial" w:cs="Arial"/>
                <w:color w:val="002060"/>
                <w:sz w:val="20"/>
              </w:rPr>
            </w:pPr>
            <w:r w:rsidRPr="00252DCB">
              <w:rPr>
                <w:rFonts w:ascii="Arial" w:hAnsi="Arial" w:cs="Arial"/>
                <w:color w:val="002060"/>
                <w:sz w:val="20"/>
              </w:rPr>
              <w:t>% export</w:t>
            </w:r>
          </w:p>
        </w:tc>
        <w:tc>
          <w:tcPr>
            <w:tcW w:w="1276" w:type="dxa"/>
            <w:noWrap/>
            <w:vAlign w:val="center"/>
            <w:hideMark/>
          </w:tcPr>
          <w:p w:rsidR="004C6507" w:rsidRPr="004C6507" w:rsidRDefault="004C6507" w:rsidP="00A24874">
            <w:pPr>
              <w:jc w:val="right"/>
              <w:rPr>
                <w:rFonts w:ascii="Arial" w:hAnsi="Arial" w:cs="Arial"/>
                <w:color w:val="002060"/>
                <w:sz w:val="20"/>
              </w:rPr>
            </w:pPr>
            <w:r w:rsidRPr="004C6507">
              <w:rPr>
                <w:rFonts w:ascii="Arial" w:hAnsi="Arial" w:cs="Arial"/>
                <w:color w:val="002060"/>
                <w:sz w:val="20"/>
              </w:rPr>
              <w:t>55.9%</w:t>
            </w:r>
          </w:p>
        </w:tc>
        <w:tc>
          <w:tcPr>
            <w:tcW w:w="1134" w:type="dxa"/>
            <w:noWrap/>
            <w:vAlign w:val="center"/>
            <w:hideMark/>
          </w:tcPr>
          <w:p w:rsidR="004C6507" w:rsidRPr="004C6507" w:rsidRDefault="004C6507" w:rsidP="00A24874">
            <w:pPr>
              <w:jc w:val="right"/>
              <w:rPr>
                <w:rFonts w:ascii="Arial" w:hAnsi="Arial" w:cs="Arial"/>
                <w:color w:val="002060"/>
                <w:sz w:val="20"/>
              </w:rPr>
            </w:pPr>
            <w:r w:rsidRPr="004C6507">
              <w:rPr>
                <w:rFonts w:ascii="Arial" w:hAnsi="Arial" w:cs="Arial"/>
                <w:color w:val="002060"/>
                <w:sz w:val="20"/>
              </w:rPr>
              <w:t>52.4%</w:t>
            </w:r>
          </w:p>
        </w:tc>
        <w:tc>
          <w:tcPr>
            <w:tcW w:w="1275" w:type="dxa"/>
            <w:noWrap/>
            <w:vAlign w:val="center"/>
            <w:hideMark/>
          </w:tcPr>
          <w:p w:rsidR="004C6507" w:rsidRPr="004C6507" w:rsidRDefault="004C6507" w:rsidP="00A24874">
            <w:pPr>
              <w:jc w:val="right"/>
              <w:rPr>
                <w:rFonts w:ascii="Arial" w:hAnsi="Arial" w:cs="Arial"/>
                <w:color w:val="002060"/>
                <w:sz w:val="20"/>
              </w:rPr>
            </w:pPr>
            <w:r w:rsidRPr="004C6507">
              <w:rPr>
                <w:rFonts w:ascii="Arial" w:hAnsi="Arial" w:cs="Arial"/>
                <w:color w:val="002060"/>
                <w:sz w:val="20"/>
              </w:rPr>
              <w:t> </w:t>
            </w:r>
          </w:p>
        </w:tc>
        <w:tc>
          <w:tcPr>
            <w:tcW w:w="1276" w:type="dxa"/>
            <w:noWrap/>
            <w:vAlign w:val="center"/>
            <w:hideMark/>
          </w:tcPr>
          <w:p w:rsidR="004C6507" w:rsidRPr="004C6507" w:rsidRDefault="004C6507" w:rsidP="00A24874">
            <w:pPr>
              <w:jc w:val="right"/>
              <w:rPr>
                <w:rFonts w:ascii="Arial" w:hAnsi="Arial" w:cs="Arial"/>
                <w:color w:val="002060"/>
                <w:sz w:val="20"/>
              </w:rPr>
            </w:pPr>
            <w:r w:rsidRPr="004C6507">
              <w:rPr>
                <w:rFonts w:ascii="Arial" w:hAnsi="Arial" w:cs="Arial"/>
                <w:color w:val="002060"/>
                <w:sz w:val="20"/>
              </w:rPr>
              <w:t>57.9%</w:t>
            </w:r>
          </w:p>
        </w:tc>
        <w:tc>
          <w:tcPr>
            <w:tcW w:w="1134" w:type="dxa"/>
            <w:noWrap/>
            <w:vAlign w:val="center"/>
            <w:hideMark/>
          </w:tcPr>
          <w:p w:rsidR="004C6507" w:rsidRPr="004C6507" w:rsidRDefault="004C6507" w:rsidP="00A24874">
            <w:pPr>
              <w:jc w:val="right"/>
              <w:rPr>
                <w:rFonts w:ascii="Arial" w:hAnsi="Arial" w:cs="Arial"/>
                <w:color w:val="002060"/>
                <w:sz w:val="20"/>
              </w:rPr>
            </w:pPr>
            <w:r w:rsidRPr="004C6507">
              <w:rPr>
                <w:rFonts w:ascii="Arial" w:hAnsi="Arial" w:cs="Arial"/>
                <w:color w:val="002060"/>
                <w:sz w:val="20"/>
              </w:rPr>
              <w:t>53.5%</w:t>
            </w:r>
          </w:p>
        </w:tc>
        <w:tc>
          <w:tcPr>
            <w:tcW w:w="1276" w:type="dxa"/>
            <w:noWrap/>
            <w:vAlign w:val="center"/>
            <w:hideMark/>
          </w:tcPr>
          <w:p w:rsidR="004C6507" w:rsidRPr="004C6507" w:rsidRDefault="004C6507" w:rsidP="00A24874">
            <w:pPr>
              <w:jc w:val="right"/>
              <w:rPr>
                <w:rFonts w:ascii="Arial" w:hAnsi="Arial" w:cs="Arial"/>
                <w:color w:val="002060"/>
                <w:sz w:val="20"/>
              </w:rPr>
            </w:pPr>
            <w:r w:rsidRPr="004C6507">
              <w:rPr>
                <w:rFonts w:ascii="Arial" w:hAnsi="Arial" w:cs="Arial"/>
                <w:color w:val="002060"/>
                <w:sz w:val="20"/>
              </w:rPr>
              <w:t> </w:t>
            </w:r>
          </w:p>
        </w:tc>
      </w:tr>
    </w:tbl>
    <w:p w:rsidR="0055683E" w:rsidRDefault="0055683E" w:rsidP="00C80E70">
      <w:pPr>
        <w:rPr>
          <w:rFonts w:ascii="Arial" w:hAnsi="Arial" w:cs="Arial"/>
          <w:b/>
          <w:color w:val="0D2255"/>
          <w:sz w:val="20"/>
        </w:rPr>
      </w:pPr>
    </w:p>
    <w:p w:rsidR="00C80E70" w:rsidRDefault="00C80E70" w:rsidP="00C80E70">
      <w:r>
        <w:rPr>
          <w:rFonts w:ascii="Arial" w:hAnsi="Arial" w:cs="Arial"/>
          <w:b/>
          <w:color w:val="0D2255"/>
          <w:sz w:val="20"/>
        </w:rPr>
        <w:t xml:space="preserve">CV </w:t>
      </w:r>
      <w:r w:rsidRPr="00D62A9D">
        <w:rPr>
          <w:rFonts w:ascii="Arial" w:hAnsi="Arial" w:cs="Arial"/>
          <w:b/>
          <w:color w:val="0D2255"/>
          <w:sz w:val="20"/>
        </w:rPr>
        <w:t>output rolling year total</w:t>
      </w:r>
      <w:r>
        <w:rPr>
          <w:rFonts w:ascii="Arial" w:hAnsi="Arial" w:cs="Arial"/>
          <w:b/>
          <w:color w:val="0D2255"/>
          <w:sz w:val="20"/>
        </w:rPr>
        <w:tab/>
      </w:r>
      <w:r>
        <w:rPr>
          <w:rFonts w:ascii="Arial" w:hAnsi="Arial" w:cs="Arial"/>
          <w:b/>
          <w:color w:val="0D2255"/>
          <w:sz w:val="20"/>
        </w:rPr>
        <w:tab/>
        <w:t xml:space="preserve">       </w:t>
      </w:r>
      <w:r w:rsidR="00EC65AF">
        <w:rPr>
          <w:rFonts w:ascii="Arial" w:hAnsi="Arial" w:cs="Arial"/>
          <w:b/>
          <w:color w:val="0D2255"/>
          <w:sz w:val="20"/>
        </w:rPr>
        <w:tab/>
      </w:r>
      <w:r w:rsidR="00505C8C">
        <w:rPr>
          <w:rFonts w:ascii="Arial" w:hAnsi="Arial" w:cs="Arial"/>
          <w:b/>
          <w:color w:val="0D2255"/>
          <w:sz w:val="20"/>
        </w:rPr>
        <w:t xml:space="preserve">         </w:t>
      </w:r>
      <w:r>
        <w:rPr>
          <w:rFonts w:ascii="Arial" w:hAnsi="Arial" w:cs="Arial"/>
          <w:b/>
          <w:color w:val="0D2255"/>
          <w:sz w:val="20"/>
        </w:rPr>
        <w:t xml:space="preserve">CV </w:t>
      </w:r>
      <w:r w:rsidR="00EC65AF">
        <w:rPr>
          <w:rFonts w:ascii="Arial" w:hAnsi="Arial" w:cs="Arial"/>
          <w:b/>
          <w:color w:val="0D2255"/>
          <w:sz w:val="20"/>
        </w:rPr>
        <w:t>output year-to-date, 2011-2013</w:t>
      </w:r>
    </w:p>
    <w:p w:rsidR="00C80E70" w:rsidRDefault="008D413F" w:rsidP="00C80E70">
      <w:r w:rsidRPr="008D413F">
        <w:rPr>
          <w:rFonts w:ascii="Arial" w:hAnsi="Arial" w:cs="Arial"/>
          <w:noProof/>
          <w:sz w:val="20"/>
        </w:rPr>
        <w:pict>
          <v:shape id="_x0000_s1038" type="#_x0000_t202" style="position:absolute;margin-left:220.1pt;margin-top:2pt;width:213.6pt;height:214.75pt;z-index:251679744;mso-width-relative:margin;mso-height-relative:margin" stroked="f">
            <v:textbox>
              <w:txbxContent>
                <w:p w:rsidR="00310DB2" w:rsidRPr="00D561FB" w:rsidRDefault="00310DB2" w:rsidP="00D561FB">
                  <w:r w:rsidRPr="004C6507">
                    <w:rPr>
                      <w:noProof/>
                    </w:rPr>
                    <w:drawing>
                      <wp:inline distT="0" distB="0" distL="0" distR="0">
                        <wp:extent cx="2946787" cy="2727298"/>
                        <wp:effectExtent l="0" t="0" r="0" b="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v:textbox>
          </v:shape>
        </w:pict>
      </w:r>
      <w:r>
        <w:rPr>
          <w:noProof/>
        </w:rPr>
        <w:pict>
          <v:shape id="_x0000_s1037" type="#_x0000_t202" style="position:absolute;margin-left:-6.5pt;margin-top:2pt;width:213.6pt;height:214.75pt;z-index:251678720;mso-width-relative:margin;mso-height-relative:margin" stroked="f">
            <v:textbox>
              <w:txbxContent>
                <w:p w:rsidR="00310DB2" w:rsidRPr="00D561FB" w:rsidRDefault="00310DB2" w:rsidP="00D561FB">
                  <w:r w:rsidRPr="004C6507">
                    <w:rPr>
                      <w:noProof/>
                    </w:rPr>
                    <w:drawing>
                      <wp:inline distT="0" distB="0" distL="0" distR="0">
                        <wp:extent cx="2743200" cy="2814762"/>
                        <wp:effectExtent l="0" t="0" r="0" b="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v:textbox>
          </v:shape>
        </w:pict>
      </w:r>
    </w:p>
    <w:p w:rsidR="00505C8C" w:rsidRDefault="00505C8C" w:rsidP="00C80E70">
      <w:pPr>
        <w:pStyle w:val="Heading1"/>
        <w:ind w:left="0" w:right="142" w:firstLine="0"/>
        <w:rPr>
          <w:rFonts w:ascii="Arial" w:eastAsiaTheme="minorEastAsia" w:hAnsi="Arial" w:cs="Arial"/>
          <w:bCs/>
          <w:color w:val="1074CB"/>
          <w:sz w:val="20"/>
        </w:rPr>
      </w:pPr>
      <w:bookmarkStart w:id="0" w:name="_GoBack"/>
      <w:bookmarkEnd w:id="0"/>
    </w:p>
    <w:p w:rsidR="00D561FB" w:rsidRDefault="00D561FB" w:rsidP="00D561FB"/>
    <w:p w:rsidR="00D561FB" w:rsidRDefault="00D561FB" w:rsidP="00D561FB"/>
    <w:p w:rsidR="00D561FB" w:rsidRDefault="00D561FB" w:rsidP="00D561FB"/>
    <w:p w:rsidR="00D561FB" w:rsidRDefault="00D561FB" w:rsidP="00D561FB"/>
    <w:p w:rsidR="00D561FB" w:rsidRDefault="00D561FB" w:rsidP="00D561FB"/>
    <w:p w:rsidR="00D561FB" w:rsidRDefault="00D561FB" w:rsidP="00D561FB"/>
    <w:p w:rsidR="00D561FB" w:rsidRDefault="00D561FB" w:rsidP="00D561FB"/>
    <w:p w:rsidR="00D561FB" w:rsidRDefault="00D561FB" w:rsidP="00D561FB"/>
    <w:p w:rsidR="00D561FB" w:rsidRDefault="00D561FB" w:rsidP="00D561FB"/>
    <w:p w:rsidR="00D561FB" w:rsidRDefault="00D561FB" w:rsidP="00D561FB"/>
    <w:p w:rsidR="00D561FB" w:rsidRDefault="00D561FB" w:rsidP="00D561FB"/>
    <w:p w:rsidR="00D561FB" w:rsidRDefault="00D561FB" w:rsidP="00D561FB"/>
    <w:p w:rsidR="00D561FB" w:rsidRPr="00D561FB" w:rsidRDefault="00D561FB" w:rsidP="00D561FB"/>
    <w:p w:rsidR="00C80E70" w:rsidRPr="00D62A9D" w:rsidRDefault="00C80E70" w:rsidP="00C80E70">
      <w:pPr>
        <w:pStyle w:val="Heading1"/>
        <w:ind w:left="0" w:right="142" w:firstLine="0"/>
        <w:rPr>
          <w:rFonts w:ascii="Arial" w:eastAsiaTheme="minorEastAsia" w:hAnsi="Arial" w:cs="Arial"/>
          <w:bCs/>
          <w:color w:val="1074CB"/>
          <w:sz w:val="44"/>
          <w:szCs w:val="44"/>
        </w:rPr>
      </w:pPr>
      <w:r>
        <w:rPr>
          <w:rFonts w:ascii="Arial" w:eastAsiaTheme="minorEastAsia" w:hAnsi="Arial" w:cs="Arial"/>
          <w:bCs/>
          <w:color w:val="1074CB"/>
          <w:sz w:val="44"/>
          <w:szCs w:val="44"/>
        </w:rPr>
        <w:lastRenderedPageBreak/>
        <w:t>UK ENGINE</w:t>
      </w:r>
      <w:r w:rsidRPr="00D62A9D">
        <w:rPr>
          <w:rFonts w:ascii="Arial" w:eastAsiaTheme="minorEastAsia" w:hAnsi="Arial" w:cs="Arial"/>
          <w:bCs/>
          <w:color w:val="1074CB"/>
          <w:sz w:val="44"/>
          <w:szCs w:val="44"/>
        </w:rPr>
        <w:t xml:space="preserve"> MANUFACTURING</w:t>
      </w:r>
    </w:p>
    <w:p w:rsidR="00C80E70" w:rsidRDefault="00A24874" w:rsidP="00A24874">
      <w:pPr>
        <w:pStyle w:val="Heading1"/>
        <w:ind w:right="142"/>
        <w:rPr>
          <w:rFonts w:ascii="Arial" w:eastAsiaTheme="minorEastAsia" w:hAnsi="Arial" w:cs="Arial"/>
          <w:b w:val="0"/>
          <w:bCs/>
          <w:color w:val="1074CB"/>
          <w:sz w:val="32"/>
          <w:szCs w:val="32"/>
        </w:rPr>
      </w:pPr>
      <w:r>
        <w:rPr>
          <w:rFonts w:ascii="Arial" w:eastAsiaTheme="minorEastAsia" w:hAnsi="Arial" w:cs="Arial"/>
          <w:b w:val="0"/>
          <w:bCs/>
          <w:color w:val="1074CB"/>
          <w:sz w:val="44"/>
          <w:szCs w:val="44"/>
        </w:rPr>
        <w:t>21</w:t>
      </w:r>
      <w:r w:rsidRPr="00486897">
        <w:rPr>
          <w:rFonts w:ascii="Arial" w:eastAsiaTheme="minorEastAsia" w:hAnsi="Arial" w:cs="Arial"/>
          <w:b w:val="0"/>
          <w:bCs/>
          <w:color w:val="1074CB"/>
          <w:szCs w:val="24"/>
        </w:rPr>
        <w:t xml:space="preserve"> </w:t>
      </w:r>
      <w:r>
        <w:rPr>
          <w:rFonts w:ascii="Arial" w:eastAsiaTheme="minorEastAsia" w:hAnsi="Arial" w:cs="Arial"/>
          <w:b w:val="0"/>
          <w:bCs/>
          <w:color w:val="1074CB"/>
          <w:sz w:val="44"/>
          <w:szCs w:val="44"/>
        </w:rPr>
        <w:t>November</w:t>
      </w:r>
      <w:r w:rsidRPr="0055683E">
        <w:rPr>
          <w:rFonts w:ascii="Arial" w:eastAsiaTheme="minorEastAsia" w:hAnsi="Arial" w:cs="Arial"/>
          <w:b w:val="0"/>
          <w:bCs/>
          <w:color w:val="1074CB"/>
          <w:szCs w:val="24"/>
        </w:rPr>
        <w:t xml:space="preserve"> </w:t>
      </w:r>
      <w:r w:rsidRPr="00D62A9D">
        <w:rPr>
          <w:rFonts w:ascii="Arial" w:eastAsiaTheme="minorEastAsia" w:hAnsi="Arial" w:cs="Arial"/>
          <w:b w:val="0"/>
          <w:bCs/>
          <w:color w:val="1074CB"/>
          <w:sz w:val="44"/>
          <w:szCs w:val="44"/>
        </w:rPr>
        <w:t>2013</w:t>
      </w:r>
      <w:r w:rsidRPr="0055683E">
        <w:rPr>
          <w:rFonts w:ascii="Arial" w:eastAsiaTheme="minorEastAsia" w:hAnsi="Arial" w:cs="Arial"/>
          <w:b w:val="0"/>
          <w:bCs/>
          <w:color w:val="1074CB"/>
          <w:szCs w:val="24"/>
        </w:rPr>
        <w:t xml:space="preserve"> </w:t>
      </w:r>
      <w:r w:rsidRPr="00D62A9D">
        <w:rPr>
          <w:rFonts w:ascii="Arial" w:eastAsiaTheme="minorEastAsia" w:hAnsi="Arial" w:cs="Arial"/>
          <w:b w:val="0"/>
          <w:bCs/>
          <w:color w:val="1074CB"/>
          <w:sz w:val="32"/>
          <w:szCs w:val="32"/>
        </w:rPr>
        <w:t xml:space="preserve">(data for </w:t>
      </w:r>
      <w:r>
        <w:rPr>
          <w:rFonts w:ascii="Arial" w:eastAsiaTheme="minorEastAsia" w:hAnsi="Arial" w:cs="Arial"/>
          <w:b w:val="0"/>
          <w:bCs/>
          <w:color w:val="1074CB"/>
          <w:sz w:val="32"/>
          <w:szCs w:val="32"/>
        </w:rPr>
        <w:t xml:space="preserve">October </w:t>
      </w:r>
      <w:r w:rsidRPr="00D62A9D">
        <w:rPr>
          <w:rFonts w:ascii="Arial" w:eastAsiaTheme="minorEastAsia" w:hAnsi="Arial" w:cs="Arial"/>
          <w:b w:val="0"/>
          <w:bCs/>
          <w:color w:val="1074CB"/>
          <w:sz w:val="32"/>
          <w:szCs w:val="32"/>
        </w:rPr>
        <w:t>2013)</w:t>
      </w:r>
    </w:p>
    <w:p w:rsidR="00222BD9" w:rsidRPr="00222BD9" w:rsidRDefault="00222BD9" w:rsidP="00222BD9">
      <w:pPr>
        <w:pStyle w:val="Heading1"/>
        <w:ind w:right="142"/>
        <w:rPr>
          <w:rFonts w:ascii="Arial" w:eastAsiaTheme="minorEastAsia" w:hAnsi="Arial" w:cs="Arial"/>
          <w:b w:val="0"/>
          <w:bCs/>
          <w:color w:val="FF0000"/>
        </w:rPr>
      </w:pPr>
      <w:r w:rsidRPr="0091592E">
        <w:rPr>
          <w:rFonts w:ascii="Arial" w:eastAsiaTheme="minorEastAsia" w:hAnsi="Arial" w:cs="Arial"/>
          <w:b w:val="0"/>
          <w:bCs/>
          <w:color w:val="FF0000"/>
          <w:sz w:val="44"/>
          <w:szCs w:val="44"/>
        </w:rPr>
        <w:t>Embargoed to 00:01 on 2</w:t>
      </w:r>
      <w:r>
        <w:rPr>
          <w:rFonts w:ascii="Arial" w:eastAsiaTheme="minorEastAsia" w:hAnsi="Arial" w:cs="Arial"/>
          <w:b w:val="0"/>
          <w:bCs/>
          <w:color w:val="FF0000"/>
          <w:sz w:val="44"/>
          <w:szCs w:val="44"/>
        </w:rPr>
        <w:t>1</w:t>
      </w:r>
      <w:r w:rsidRPr="0091592E">
        <w:rPr>
          <w:rFonts w:ascii="Arial" w:eastAsiaTheme="minorEastAsia" w:hAnsi="Arial" w:cs="Arial"/>
          <w:b w:val="0"/>
          <w:bCs/>
          <w:color w:val="FF0000"/>
          <w:szCs w:val="24"/>
        </w:rPr>
        <w:t xml:space="preserve"> </w:t>
      </w:r>
      <w:r>
        <w:rPr>
          <w:rFonts w:ascii="Arial" w:eastAsiaTheme="minorEastAsia" w:hAnsi="Arial" w:cs="Arial"/>
          <w:b w:val="0"/>
          <w:bCs/>
          <w:color w:val="FF0000"/>
          <w:sz w:val="44"/>
          <w:szCs w:val="44"/>
        </w:rPr>
        <w:t>Novem</w:t>
      </w:r>
      <w:r w:rsidRPr="0091592E">
        <w:rPr>
          <w:rFonts w:ascii="Arial" w:eastAsiaTheme="minorEastAsia" w:hAnsi="Arial" w:cs="Arial"/>
          <w:b w:val="0"/>
          <w:bCs/>
          <w:color w:val="FF0000"/>
          <w:sz w:val="44"/>
          <w:szCs w:val="44"/>
        </w:rPr>
        <w:t>ber</w:t>
      </w:r>
      <w:r w:rsidRPr="0091592E">
        <w:rPr>
          <w:rFonts w:ascii="Arial" w:eastAsiaTheme="minorEastAsia" w:hAnsi="Arial" w:cs="Arial"/>
          <w:b w:val="0"/>
          <w:bCs/>
          <w:color w:val="FF0000"/>
          <w:szCs w:val="24"/>
        </w:rPr>
        <w:t xml:space="preserve"> </w:t>
      </w:r>
      <w:r w:rsidRPr="0091592E">
        <w:rPr>
          <w:rFonts w:ascii="Arial" w:eastAsiaTheme="minorEastAsia" w:hAnsi="Arial" w:cs="Arial"/>
          <w:b w:val="0"/>
          <w:bCs/>
          <w:color w:val="FF0000"/>
          <w:sz w:val="44"/>
          <w:szCs w:val="44"/>
        </w:rPr>
        <w:t>2013</w:t>
      </w:r>
      <w:r w:rsidRPr="0091592E">
        <w:rPr>
          <w:rFonts w:ascii="Arial" w:eastAsiaTheme="minorEastAsia" w:hAnsi="Arial" w:cs="Arial"/>
          <w:b w:val="0"/>
          <w:bCs/>
          <w:color w:val="FF0000"/>
          <w:szCs w:val="24"/>
        </w:rPr>
        <w:t xml:space="preserve"> </w:t>
      </w:r>
    </w:p>
    <w:p w:rsidR="00C80E70" w:rsidRPr="007B7D91" w:rsidRDefault="008D413F" w:rsidP="00C80E70">
      <w:r w:rsidRPr="008D413F">
        <w:rPr>
          <w:rFonts w:ascii="Arial" w:eastAsiaTheme="minorEastAsia" w:hAnsi="Arial" w:cs="Arial"/>
          <w:b/>
          <w:bCs/>
          <w:noProof/>
          <w:color w:val="1074CB"/>
          <w:sz w:val="20"/>
        </w:rPr>
        <w:pict>
          <v:line id="Line 3" o:spid="_x0000_s1027" style="position:absolute;z-index:251659264;visibility:visible" from=".55pt,3.7pt" to="460.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" strokecolor="#1074cb"/>
        </w:pict>
      </w:r>
    </w:p>
    <w:p w:rsidR="00924274" w:rsidRPr="00924274" w:rsidRDefault="00DB5B79" w:rsidP="00924274">
      <w:pPr>
        <w:pStyle w:val="Heading1"/>
        <w:tabs>
          <w:tab w:val="right" w:pos="8907"/>
        </w:tabs>
        <w:ind w:left="0" w:right="425" w:firstLine="0"/>
        <w:rPr>
          <w:rFonts w:ascii="Arial" w:eastAsiaTheme="minorEastAsia" w:hAnsi="Arial" w:cs="Arial"/>
          <w:bCs/>
          <w:color w:val="1074CB"/>
          <w:sz w:val="36"/>
          <w:szCs w:val="36"/>
        </w:rPr>
      </w:pPr>
      <w:r>
        <w:rPr>
          <w:rFonts w:ascii="Arial" w:eastAsiaTheme="minorEastAsia" w:hAnsi="Arial" w:cs="Arial"/>
          <w:bCs/>
          <w:color w:val="1074CB"/>
          <w:sz w:val="36"/>
          <w:szCs w:val="36"/>
        </w:rPr>
        <w:t xml:space="preserve">Strong October </w:t>
      </w:r>
      <w:r w:rsidR="00C1667A">
        <w:rPr>
          <w:rFonts w:ascii="Arial" w:eastAsiaTheme="minorEastAsia" w:hAnsi="Arial" w:cs="Arial"/>
          <w:bCs/>
          <w:color w:val="1074CB"/>
          <w:sz w:val="36"/>
          <w:szCs w:val="36"/>
        </w:rPr>
        <w:t>drives engine production over</w:t>
      </w:r>
      <w:r w:rsidR="00310DB2">
        <w:rPr>
          <w:rFonts w:ascii="Arial" w:eastAsiaTheme="minorEastAsia" w:hAnsi="Arial" w:cs="Arial"/>
          <w:bCs/>
          <w:color w:val="1074CB"/>
          <w:sz w:val="36"/>
          <w:szCs w:val="36"/>
        </w:rPr>
        <w:t xml:space="preserve"> two</w:t>
      </w:r>
      <w:r w:rsidR="00565BD5">
        <w:rPr>
          <w:rFonts w:ascii="Arial" w:eastAsiaTheme="minorEastAsia" w:hAnsi="Arial" w:cs="Arial"/>
          <w:bCs/>
          <w:color w:val="1074CB"/>
          <w:sz w:val="36"/>
          <w:szCs w:val="36"/>
        </w:rPr>
        <w:t xml:space="preserve"> million units for the year</w:t>
      </w:r>
    </w:p>
    <w:p w:rsidR="00C80E70" w:rsidRDefault="00C80E70" w:rsidP="00C80E70">
      <w:pPr>
        <w:spacing w:line="276" w:lineRule="auto"/>
        <w:rPr>
          <w:rFonts w:ascii="Verdana" w:hAnsi="Verdana"/>
          <w:sz w:val="20"/>
        </w:rPr>
      </w:pPr>
    </w:p>
    <w:p w:rsidR="00494E5E" w:rsidRDefault="00C80E70" w:rsidP="00924274">
      <w:pPr>
        <w:pStyle w:val="ListParagraph"/>
        <w:numPr>
          <w:ilvl w:val="0"/>
          <w:numId w:val="1"/>
        </w:numPr>
        <w:spacing w:line="360" w:lineRule="auto"/>
        <w:rPr>
          <w:rFonts w:ascii="Arial" w:hAnsi="Arial" w:cs="Arial"/>
          <w:sz w:val="20"/>
        </w:rPr>
      </w:pPr>
      <w:r w:rsidRPr="00300A48">
        <w:rPr>
          <w:rFonts w:ascii="Arial" w:hAnsi="Arial" w:cs="Arial"/>
          <w:sz w:val="20"/>
        </w:rPr>
        <w:t>U</w:t>
      </w:r>
      <w:r w:rsidR="00467D20">
        <w:rPr>
          <w:rFonts w:ascii="Arial" w:hAnsi="Arial" w:cs="Arial"/>
          <w:sz w:val="20"/>
        </w:rPr>
        <w:t xml:space="preserve">K engine </w:t>
      </w:r>
      <w:r w:rsidR="00616A5E">
        <w:rPr>
          <w:rFonts w:ascii="Arial" w:hAnsi="Arial" w:cs="Arial"/>
          <w:sz w:val="20"/>
        </w:rPr>
        <w:t>output grows</w:t>
      </w:r>
      <w:r w:rsidR="00DB5B79">
        <w:rPr>
          <w:rFonts w:ascii="Arial" w:hAnsi="Arial" w:cs="Arial"/>
          <w:sz w:val="20"/>
        </w:rPr>
        <w:t xml:space="preserve"> 6.5% in October to 254,480 units.</w:t>
      </w:r>
    </w:p>
    <w:p w:rsidR="00C80E70" w:rsidRPr="00300A48" w:rsidRDefault="00616A5E" w:rsidP="00924274">
      <w:pPr>
        <w:pStyle w:val="ListParagraph"/>
        <w:numPr>
          <w:ilvl w:val="0"/>
          <w:numId w:val="1"/>
        </w:numPr>
        <w:spacing w:line="360" w:lineRule="auto"/>
        <w:rPr>
          <w:rFonts w:ascii="Arial" w:hAnsi="Arial" w:cs="Arial"/>
          <w:sz w:val="20"/>
        </w:rPr>
      </w:pPr>
      <w:r>
        <w:rPr>
          <w:rFonts w:ascii="Arial" w:hAnsi="Arial" w:cs="Arial"/>
          <w:sz w:val="20"/>
        </w:rPr>
        <w:t>2,172,775 engines built in 2013, representing a steady 2.4% growth.</w:t>
      </w:r>
    </w:p>
    <w:p w:rsidR="00C80E70" w:rsidRPr="00924274" w:rsidRDefault="00616A5E" w:rsidP="00924274">
      <w:pPr>
        <w:numPr>
          <w:ilvl w:val="0"/>
          <w:numId w:val="1"/>
        </w:numPr>
        <w:spacing w:line="360" w:lineRule="auto"/>
        <w:rPr>
          <w:rFonts w:ascii="Arial" w:hAnsi="Arial" w:cs="Arial"/>
          <w:sz w:val="20"/>
        </w:rPr>
      </w:pPr>
      <w:r>
        <w:rPr>
          <w:rFonts w:ascii="Arial" w:hAnsi="Arial" w:cs="Arial"/>
          <w:sz w:val="20"/>
        </w:rPr>
        <w:t>Production for domestic market fuels growth, while exports remain steady</w:t>
      </w:r>
      <w:r w:rsidR="00004B3B">
        <w:rPr>
          <w:rFonts w:ascii="Arial" w:hAnsi="Arial" w:cs="Arial"/>
          <w:sz w:val="20"/>
        </w:rPr>
        <w:t xml:space="preserve"> in month and year-to-date</w:t>
      </w:r>
      <w:r>
        <w:rPr>
          <w:rFonts w:ascii="Arial" w:hAnsi="Arial" w:cs="Arial"/>
          <w:sz w:val="20"/>
        </w:rPr>
        <w:t>.</w:t>
      </w:r>
    </w:p>
    <w:p w:rsidR="00C80E70" w:rsidRDefault="00C80E70" w:rsidP="00C80E70">
      <w:pPr>
        <w:ind w:left="360"/>
        <w:rPr>
          <w:rFonts w:ascii="Arial" w:hAnsi="Arial" w:cs="Arial"/>
          <w:sz w:val="20"/>
        </w:rPr>
      </w:pPr>
    </w:p>
    <w:tbl>
      <w:tblPr>
        <w:tblW w:w="9453" w:type="dxa"/>
        <w:tblInd w:w="95" w:type="dxa"/>
        <w:tblBorders>
          <w:top w:val="single" w:sz="8" w:space="0" w:color="548DD4"/>
          <w:left w:val="single" w:sz="8" w:space="0" w:color="548DD4"/>
          <w:bottom w:val="single" w:sz="8" w:space="0" w:color="548DD4"/>
          <w:right w:val="single" w:sz="8" w:space="0" w:color="548DD4"/>
          <w:insideH w:val="single" w:sz="6" w:space="0" w:color="548DD4"/>
          <w:insideV w:val="single" w:sz="6" w:space="0" w:color="548DD4"/>
        </w:tblBorders>
        <w:tblLook w:val="04A0"/>
      </w:tblPr>
      <w:tblGrid>
        <w:gridCol w:w="2565"/>
        <w:gridCol w:w="992"/>
        <w:gridCol w:w="992"/>
        <w:gridCol w:w="1276"/>
        <w:gridCol w:w="1134"/>
        <w:gridCol w:w="1140"/>
        <w:gridCol w:w="1354"/>
      </w:tblGrid>
      <w:tr w:rsidR="00252DCB" w:rsidRPr="00761183" w:rsidTr="00A24874">
        <w:trPr>
          <w:trHeight w:val="270"/>
        </w:trPr>
        <w:tc>
          <w:tcPr>
            <w:tcW w:w="2565" w:type="dxa"/>
            <w:shd w:val="clear" w:color="auto" w:fill="auto"/>
            <w:noWrap/>
            <w:vAlign w:val="center"/>
            <w:hideMark/>
          </w:tcPr>
          <w:p w:rsidR="00252DCB" w:rsidRPr="00252DCB" w:rsidRDefault="00252DCB" w:rsidP="00924274">
            <w:pPr>
              <w:rPr>
                <w:rFonts w:ascii="Arial" w:eastAsia="Times New Roman" w:hAnsi="Arial" w:cs="Arial"/>
                <w:b/>
                <w:color w:val="002060"/>
                <w:sz w:val="20"/>
              </w:rPr>
            </w:pPr>
            <w:r w:rsidRPr="00252DCB">
              <w:rPr>
                <w:rFonts w:ascii="Arial" w:eastAsia="Times New Roman" w:hAnsi="Arial" w:cs="Arial"/>
                <w:b/>
                <w:color w:val="002060"/>
                <w:sz w:val="20"/>
              </w:rPr>
              <w:t>Engine manufacturing</w:t>
            </w:r>
          </w:p>
        </w:tc>
        <w:tc>
          <w:tcPr>
            <w:tcW w:w="992" w:type="dxa"/>
            <w:shd w:val="clear" w:color="auto" w:fill="auto"/>
            <w:noWrap/>
            <w:vAlign w:val="center"/>
            <w:hideMark/>
          </w:tcPr>
          <w:p w:rsidR="00252DCB" w:rsidRPr="00252DCB" w:rsidRDefault="004C6507" w:rsidP="00A24874">
            <w:pPr>
              <w:jc w:val="right"/>
              <w:rPr>
                <w:rFonts w:ascii="Arial" w:hAnsi="Arial" w:cs="Arial"/>
                <w:b/>
                <w:color w:val="002060"/>
                <w:sz w:val="20"/>
              </w:rPr>
            </w:pPr>
            <w:r>
              <w:rPr>
                <w:rFonts w:ascii="Arial" w:hAnsi="Arial" w:cs="Arial"/>
                <w:b/>
                <w:color w:val="002060"/>
                <w:sz w:val="20"/>
              </w:rPr>
              <w:t>Oct</w:t>
            </w:r>
            <w:r w:rsidR="00252DCB" w:rsidRPr="00252DCB">
              <w:rPr>
                <w:rFonts w:ascii="Arial" w:hAnsi="Arial" w:cs="Arial"/>
                <w:b/>
                <w:color w:val="002060"/>
                <w:sz w:val="20"/>
              </w:rPr>
              <w:t>-12</w:t>
            </w:r>
          </w:p>
        </w:tc>
        <w:tc>
          <w:tcPr>
            <w:tcW w:w="992" w:type="dxa"/>
            <w:shd w:val="clear" w:color="auto" w:fill="auto"/>
            <w:noWrap/>
            <w:vAlign w:val="center"/>
            <w:hideMark/>
          </w:tcPr>
          <w:p w:rsidR="00252DCB" w:rsidRPr="00252DCB" w:rsidRDefault="004C6507" w:rsidP="00A24874">
            <w:pPr>
              <w:jc w:val="right"/>
              <w:rPr>
                <w:rFonts w:ascii="Arial" w:hAnsi="Arial" w:cs="Arial"/>
                <w:b/>
                <w:color w:val="002060"/>
                <w:sz w:val="20"/>
              </w:rPr>
            </w:pPr>
            <w:r>
              <w:rPr>
                <w:rFonts w:ascii="Arial" w:hAnsi="Arial" w:cs="Arial"/>
                <w:b/>
                <w:color w:val="002060"/>
                <w:sz w:val="20"/>
              </w:rPr>
              <w:t>Oct</w:t>
            </w:r>
            <w:r w:rsidR="00252DCB" w:rsidRPr="00252DCB">
              <w:rPr>
                <w:rFonts w:ascii="Arial" w:hAnsi="Arial" w:cs="Arial"/>
                <w:b/>
                <w:color w:val="002060"/>
                <w:sz w:val="20"/>
              </w:rPr>
              <w:t>-13</w:t>
            </w:r>
          </w:p>
        </w:tc>
        <w:tc>
          <w:tcPr>
            <w:tcW w:w="1276" w:type="dxa"/>
            <w:shd w:val="clear" w:color="auto" w:fill="auto"/>
            <w:noWrap/>
            <w:vAlign w:val="center"/>
            <w:hideMark/>
          </w:tcPr>
          <w:p w:rsidR="00252DCB" w:rsidRPr="00252DCB" w:rsidRDefault="00252DCB" w:rsidP="00A24874">
            <w:pPr>
              <w:jc w:val="right"/>
              <w:rPr>
                <w:rFonts w:ascii="Arial" w:hAnsi="Arial" w:cs="Arial"/>
                <w:b/>
                <w:color w:val="002060"/>
                <w:sz w:val="20"/>
              </w:rPr>
            </w:pPr>
            <w:r w:rsidRPr="00252DCB">
              <w:rPr>
                <w:rFonts w:ascii="Arial" w:hAnsi="Arial" w:cs="Arial"/>
                <w:b/>
                <w:color w:val="002060"/>
                <w:sz w:val="20"/>
              </w:rPr>
              <w:t xml:space="preserve">% Change </w:t>
            </w:r>
          </w:p>
        </w:tc>
        <w:tc>
          <w:tcPr>
            <w:tcW w:w="1134" w:type="dxa"/>
            <w:shd w:val="clear" w:color="auto" w:fill="auto"/>
            <w:noWrap/>
            <w:vAlign w:val="center"/>
            <w:hideMark/>
          </w:tcPr>
          <w:p w:rsidR="00252DCB" w:rsidRPr="00252DCB" w:rsidRDefault="00252DCB" w:rsidP="00A24874">
            <w:pPr>
              <w:jc w:val="right"/>
              <w:rPr>
                <w:rFonts w:ascii="Arial" w:hAnsi="Arial" w:cs="Arial"/>
                <w:b/>
                <w:color w:val="002060"/>
                <w:sz w:val="20"/>
              </w:rPr>
            </w:pPr>
            <w:r w:rsidRPr="00252DCB">
              <w:rPr>
                <w:rFonts w:ascii="Arial" w:hAnsi="Arial" w:cs="Arial"/>
                <w:b/>
                <w:color w:val="002060"/>
                <w:sz w:val="20"/>
              </w:rPr>
              <w:t>YTD-12</w:t>
            </w:r>
          </w:p>
        </w:tc>
        <w:tc>
          <w:tcPr>
            <w:tcW w:w="1140" w:type="dxa"/>
            <w:shd w:val="clear" w:color="auto" w:fill="auto"/>
            <w:noWrap/>
            <w:vAlign w:val="center"/>
            <w:hideMark/>
          </w:tcPr>
          <w:p w:rsidR="00252DCB" w:rsidRPr="00252DCB" w:rsidRDefault="00252DCB" w:rsidP="00A24874">
            <w:pPr>
              <w:jc w:val="right"/>
              <w:rPr>
                <w:rFonts w:ascii="Arial" w:hAnsi="Arial" w:cs="Arial"/>
                <w:b/>
                <w:color w:val="002060"/>
                <w:sz w:val="20"/>
              </w:rPr>
            </w:pPr>
            <w:r w:rsidRPr="00252DCB">
              <w:rPr>
                <w:rFonts w:ascii="Arial" w:hAnsi="Arial" w:cs="Arial"/>
                <w:b/>
                <w:color w:val="002060"/>
                <w:sz w:val="20"/>
              </w:rPr>
              <w:t>YTD-13</w:t>
            </w:r>
          </w:p>
        </w:tc>
        <w:tc>
          <w:tcPr>
            <w:tcW w:w="1354" w:type="dxa"/>
            <w:shd w:val="clear" w:color="auto" w:fill="auto"/>
            <w:noWrap/>
            <w:vAlign w:val="center"/>
            <w:hideMark/>
          </w:tcPr>
          <w:p w:rsidR="00252DCB" w:rsidRPr="00252DCB" w:rsidRDefault="00252DCB" w:rsidP="00A24874">
            <w:pPr>
              <w:jc w:val="right"/>
              <w:rPr>
                <w:rFonts w:ascii="Arial" w:hAnsi="Arial" w:cs="Arial"/>
                <w:b/>
                <w:color w:val="002060"/>
                <w:sz w:val="20"/>
              </w:rPr>
            </w:pPr>
            <w:r w:rsidRPr="00252DCB">
              <w:rPr>
                <w:rFonts w:ascii="Arial" w:hAnsi="Arial" w:cs="Arial"/>
                <w:b/>
                <w:color w:val="002060"/>
                <w:sz w:val="20"/>
              </w:rPr>
              <w:t>% Change</w:t>
            </w:r>
          </w:p>
        </w:tc>
      </w:tr>
      <w:tr w:rsidR="004C6507" w:rsidRPr="00761183" w:rsidTr="00A24874">
        <w:trPr>
          <w:trHeight w:val="270"/>
        </w:trPr>
        <w:tc>
          <w:tcPr>
            <w:tcW w:w="2565" w:type="dxa"/>
            <w:shd w:val="clear" w:color="auto" w:fill="auto"/>
            <w:noWrap/>
            <w:vAlign w:val="bottom"/>
            <w:hideMark/>
          </w:tcPr>
          <w:p w:rsidR="004C6507" w:rsidRPr="00252DCB" w:rsidRDefault="004C6507" w:rsidP="00761183">
            <w:pPr>
              <w:jc w:val="right"/>
              <w:rPr>
                <w:rFonts w:ascii="Arial" w:eastAsia="Times New Roman" w:hAnsi="Arial" w:cs="Arial"/>
                <w:b/>
                <w:color w:val="002060"/>
                <w:sz w:val="20"/>
              </w:rPr>
            </w:pPr>
            <w:r w:rsidRPr="00252DCB">
              <w:rPr>
                <w:rFonts w:ascii="Arial" w:eastAsia="Times New Roman" w:hAnsi="Arial" w:cs="Arial"/>
                <w:b/>
                <w:color w:val="002060"/>
                <w:sz w:val="20"/>
              </w:rPr>
              <w:t>Total</w:t>
            </w:r>
          </w:p>
        </w:tc>
        <w:tc>
          <w:tcPr>
            <w:tcW w:w="992" w:type="dxa"/>
            <w:shd w:val="clear" w:color="auto" w:fill="auto"/>
            <w:noWrap/>
            <w:vAlign w:val="center"/>
            <w:hideMark/>
          </w:tcPr>
          <w:p w:rsidR="004C6507" w:rsidRPr="004C6507" w:rsidRDefault="004C6507" w:rsidP="00A24874">
            <w:pPr>
              <w:jc w:val="right"/>
              <w:rPr>
                <w:rFonts w:ascii="Arial" w:hAnsi="Arial" w:cs="Arial"/>
                <w:b/>
                <w:color w:val="002060"/>
                <w:sz w:val="20"/>
              </w:rPr>
            </w:pPr>
            <w:r w:rsidRPr="004C6507">
              <w:rPr>
                <w:rFonts w:ascii="Arial" w:hAnsi="Arial" w:cs="Arial"/>
                <w:b/>
                <w:color w:val="002060"/>
                <w:sz w:val="20"/>
              </w:rPr>
              <w:t>239,011</w:t>
            </w:r>
          </w:p>
        </w:tc>
        <w:tc>
          <w:tcPr>
            <w:tcW w:w="992" w:type="dxa"/>
            <w:shd w:val="clear" w:color="auto" w:fill="auto"/>
            <w:noWrap/>
            <w:vAlign w:val="center"/>
            <w:hideMark/>
          </w:tcPr>
          <w:p w:rsidR="004C6507" w:rsidRPr="004C6507" w:rsidRDefault="004C6507" w:rsidP="00A24874">
            <w:pPr>
              <w:jc w:val="right"/>
              <w:rPr>
                <w:rFonts w:ascii="Arial" w:hAnsi="Arial" w:cs="Arial"/>
                <w:b/>
                <w:color w:val="002060"/>
                <w:sz w:val="20"/>
              </w:rPr>
            </w:pPr>
            <w:r w:rsidRPr="004C6507">
              <w:rPr>
                <w:rFonts w:ascii="Arial" w:hAnsi="Arial" w:cs="Arial"/>
                <w:b/>
                <w:color w:val="002060"/>
                <w:sz w:val="20"/>
              </w:rPr>
              <w:t>254,480</w:t>
            </w:r>
          </w:p>
        </w:tc>
        <w:tc>
          <w:tcPr>
            <w:tcW w:w="1276" w:type="dxa"/>
            <w:shd w:val="clear" w:color="auto" w:fill="auto"/>
            <w:noWrap/>
            <w:vAlign w:val="center"/>
            <w:hideMark/>
          </w:tcPr>
          <w:p w:rsidR="004C6507" w:rsidRPr="004C6507" w:rsidRDefault="004C6507" w:rsidP="00A24874">
            <w:pPr>
              <w:jc w:val="right"/>
              <w:rPr>
                <w:rFonts w:ascii="Arial" w:hAnsi="Arial" w:cs="Arial"/>
                <w:b/>
                <w:color w:val="002060"/>
                <w:sz w:val="18"/>
                <w:szCs w:val="18"/>
              </w:rPr>
            </w:pPr>
            <w:r w:rsidRPr="004C6507">
              <w:rPr>
                <w:rFonts w:ascii="Arial" w:hAnsi="Arial" w:cs="Arial"/>
                <w:b/>
                <w:color w:val="002060"/>
                <w:sz w:val="18"/>
                <w:szCs w:val="18"/>
              </w:rPr>
              <w:t>6.5%</w:t>
            </w:r>
          </w:p>
        </w:tc>
        <w:tc>
          <w:tcPr>
            <w:tcW w:w="1134" w:type="dxa"/>
            <w:shd w:val="clear" w:color="auto" w:fill="auto"/>
            <w:noWrap/>
            <w:vAlign w:val="center"/>
            <w:hideMark/>
          </w:tcPr>
          <w:p w:rsidR="004C6507" w:rsidRPr="004C6507" w:rsidRDefault="004C6507" w:rsidP="00A24874">
            <w:pPr>
              <w:jc w:val="right"/>
              <w:rPr>
                <w:rFonts w:ascii="Arial" w:hAnsi="Arial" w:cs="Arial"/>
                <w:b/>
                <w:color w:val="002060"/>
                <w:sz w:val="20"/>
              </w:rPr>
            </w:pPr>
            <w:r w:rsidRPr="004C6507">
              <w:rPr>
                <w:rFonts w:ascii="Arial" w:hAnsi="Arial" w:cs="Arial"/>
                <w:b/>
                <w:color w:val="002060"/>
                <w:sz w:val="20"/>
              </w:rPr>
              <w:t>2,121,314</w:t>
            </w:r>
          </w:p>
        </w:tc>
        <w:tc>
          <w:tcPr>
            <w:tcW w:w="1140" w:type="dxa"/>
            <w:shd w:val="clear" w:color="auto" w:fill="auto"/>
            <w:noWrap/>
            <w:vAlign w:val="center"/>
            <w:hideMark/>
          </w:tcPr>
          <w:p w:rsidR="004C6507" w:rsidRPr="004C6507" w:rsidRDefault="004C6507" w:rsidP="00A24874">
            <w:pPr>
              <w:jc w:val="right"/>
              <w:rPr>
                <w:rFonts w:ascii="Arial" w:hAnsi="Arial" w:cs="Arial"/>
                <w:b/>
                <w:color w:val="002060"/>
                <w:sz w:val="20"/>
              </w:rPr>
            </w:pPr>
            <w:r w:rsidRPr="004C6507">
              <w:rPr>
                <w:rFonts w:ascii="Arial" w:hAnsi="Arial" w:cs="Arial"/>
                <w:b/>
                <w:color w:val="002060"/>
                <w:sz w:val="20"/>
              </w:rPr>
              <w:t>2,172,775</w:t>
            </w:r>
          </w:p>
        </w:tc>
        <w:tc>
          <w:tcPr>
            <w:tcW w:w="1354" w:type="dxa"/>
            <w:shd w:val="clear" w:color="auto" w:fill="auto"/>
            <w:noWrap/>
            <w:vAlign w:val="center"/>
            <w:hideMark/>
          </w:tcPr>
          <w:p w:rsidR="004C6507" w:rsidRPr="004C6507" w:rsidRDefault="004C6507" w:rsidP="00A24874">
            <w:pPr>
              <w:jc w:val="right"/>
              <w:rPr>
                <w:rFonts w:ascii="Arial" w:hAnsi="Arial" w:cs="Arial"/>
                <w:b/>
                <w:color w:val="002060"/>
                <w:sz w:val="18"/>
                <w:szCs w:val="18"/>
              </w:rPr>
            </w:pPr>
            <w:r w:rsidRPr="004C6507">
              <w:rPr>
                <w:rFonts w:ascii="Arial" w:hAnsi="Arial" w:cs="Arial"/>
                <w:b/>
                <w:color w:val="002060"/>
                <w:sz w:val="18"/>
                <w:szCs w:val="18"/>
              </w:rPr>
              <w:t>2.4%</w:t>
            </w:r>
          </w:p>
        </w:tc>
      </w:tr>
      <w:tr w:rsidR="004C6507" w:rsidRPr="00761183" w:rsidTr="00A24874">
        <w:trPr>
          <w:trHeight w:val="270"/>
        </w:trPr>
        <w:tc>
          <w:tcPr>
            <w:tcW w:w="2565" w:type="dxa"/>
            <w:shd w:val="clear" w:color="auto" w:fill="auto"/>
            <w:noWrap/>
            <w:vAlign w:val="bottom"/>
            <w:hideMark/>
          </w:tcPr>
          <w:p w:rsidR="004C6507" w:rsidRPr="00252DCB" w:rsidRDefault="004C6507" w:rsidP="00761183">
            <w:pPr>
              <w:jc w:val="right"/>
              <w:rPr>
                <w:rFonts w:ascii="Arial" w:eastAsia="Times New Roman" w:hAnsi="Arial" w:cs="Arial"/>
                <w:color w:val="002060"/>
                <w:sz w:val="20"/>
              </w:rPr>
            </w:pPr>
            <w:r w:rsidRPr="00252DCB">
              <w:rPr>
                <w:rFonts w:ascii="Arial" w:eastAsia="Times New Roman" w:hAnsi="Arial" w:cs="Arial"/>
                <w:color w:val="002060"/>
                <w:sz w:val="20"/>
              </w:rPr>
              <w:t>Home</w:t>
            </w:r>
          </w:p>
        </w:tc>
        <w:tc>
          <w:tcPr>
            <w:tcW w:w="992" w:type="dxa"/>
            <w:shd w:val="clear" w:color="auto" w:fill="auto"/>
            <w:noWrap/>
            <w:vAlign w:val="center"/>
            <w:hideMark/>
          </w:tcPr>
          <w:p w:rsidR="004C6507" w:rsidRPr="004C6507" w:rsidRDefault="004C6507" w:rsidP="00A24874">
            <w:pPr>
              <w:jc w:val="right"/>
              <w:rPr>
                <w:rFonts w:ascii="Arial" w:hAnsi="Arial" w:cs="Arial"/>
                <w:color w:val="002060"/>
                <w:sz w:val="20"/>
              </w:rPr>
            </w:pPr>
            <w:r w:rsidRPr="004C6507">
              <w:rPr>
                <w:rFonts w:ascii="Arial" w:hAnsi="Arial" w:cs="Arial"/>
                <w:color w:val="002060"/>
                <w:sz w:val="20"/>
              </w:rPr>
              <w:t>94,805</w:t>
            </w:r>
          </w:p>
        </w:tc>
        <w:tc>
          <w:tcPr>
            <w:tcW w:w="992" w:type="dxa"/>
            <w:shd w:val="clear" w:color="auto" w:fill="auto"/>
            <w:noWrap/>
            <w:vAlign w:val="center"/>
            <w:hideMark/>
          </w:tcPr>
          <w:p w:rsidR="004C6507" w:rsidRPr="004C6507" w:rsidRDefault="004C6507" w:rsidP="00A24874">
            <w:pPr>
              <w:jc w:val="right"/>
              <w:rPr>
                <w:rFonts w:ascii="Arial" w:hAnsi="Arial" w:cs="Arial"/>
                <w:color w:val="002060"/>
                <w:sz w:val="20"/>
              </w:rPr>
            </w:pPr>
            <w:r w:rsidRPr="004C6507">
              <w:rPr>
                <w:rFonts w:ascii="Arial" w:hAnsi="Arial" w:cs="Arial"/>
                <w:color w:val="002060"/>
                <w:sz w:val="20"/>
              </w:rPr>
              <w:t>109,425</w:t>
            </w:r>
          </w:p>
        </w:tc>
        <w:tc>
          <w:tcPr>
            <w:tcW w:w="1276" w:type="dxa"/>
            <w:shd w:val="clear" w:color="auto" w:fill="auto"/>
            <w:noWrap/>
            <w:vAlign w:val="center"/>
            <w:hideMark/>
          </w:tcPr>
          <w:p w:rsidR="004C6507" w:rsidRPr="004C6507" w:rsidRDefault="004C6507" w:rsidP="00A24874">
            <w:pPr>
              <w:jc w:val="right"/>
              <w:rPr>
                <w:rFonts w:ascii="Arial" w:hAnsi="Arial" w:cs="Arial"/>
                <w:color w:val="002060"/>
                <w:sz w:val="18"/>
                <w:szCs w:val="18"/>
              </w:rPr>
            </w:pPr>
            <w:r w:rsidRPr="004C6507">
              <w:rPr>
                <w:rFonts w:ascii="Arial" w:hAnsi="Arial" w:cs="Arial"/>
                <w:color w:val="002060"/>
                <w:sz w:val="18"/>
                <w:szCs w:val="18"/>
              </w:rPr>
              <w:t>15.4%</w:t>
            </w:r>
          </w:p>
        </w:tc>
        <w:tc>
          <w:tcPr>
            <w:tcW w:w="1134" w:type="dxa"/>
            <w:shd w:val="clear" w:color="auto" w:fill="auto"/>
            <w:noWrap/>
            <w:vAlign w:val="center"/>
            <w:hideMark/>
          </w:tcPr>
          <w:p w:rsidR="004C6507" w:rsidRPr="004C6507" w:rsidRDefault="004C6507" w:rsidP="00A24874">
            <w:pPr>
              <w:jc w:val="right"/>
              <w:rPr>
                <w:rFonts w:ascii="Arial" w:hAnsi="Arial" w:cs="Arial"/>
                <w:color w:val="002060"/>
                <w:sz w:val="20"/>
              </w:rPr>
            </w:pPr>
            <w:r w:rsidRPr="004C6507">
              <w:rPr>
                <w:rFonts w:ascii="Arial" w:hAnsi="Arial" w:cs="Arial"/>
                <w:color w:val="002060"/>
                <w:sz w:val="20"/>
              </w:rPr>
              <w:t>796,512</w:t>
            </w:r>
          </w:p>
        </w:tc>
        <w:tc>
          <w:tcPr>
            <w:tcW w:w="1140" w:type="dxa"/>
            <w:shd w:val="clear" w:color="auto" w:fill="auto"/>
            <w:noWrap/>
            <w:vAlign w:val="center"/>
            <w:hideMark/>
          </w:tcPr>
          <w:p w:rsidR="004C6507" w:rsidRPr="004C6507" w:rsidRDefault="004C6507" w:rsidP="00A24874">
            <w:pPr>
              <w:jc w:val="right"/>
              <w:rPr>
                <w:rFonts w:ascii="Arial" w:hAnsi="Arial" w:cs="Arial"/>
                <w:color w:val="002060"/>
                <w:sz w:val="20"/>
              </w:rPr>
            </w:pPr>
            <w:r w:rsidRPr="004C6507">
              <w:rPr>
                <w:rFonts w:ascii="Arial" w:hAnsi="Arial" w:cs="Arial"/>
                <w:color w:val="002060"/>
                <w:sz w:val="20"/>
              </w:rPr>
              <w:t>882,142</w:t>
            </w:r>
          </w:p>
        </w:tc>
        <w:tc>
          <w:tcPr>
            <w:tcW w:w="1354" w:type="dxa"/>
            <w:shd w:val="clear" w:color="auto" w:fill="auto"/>
            <w:noWrap/>
            <w:vAlign w:val="center"/>
            <w:hideMark/>
          </w:tcPr>
          <w:p w:rsidR="004C6507" w:rsidRPr="004C6507" w:rsidRDefault="004C6507" w:rsidP="00A24874">
            <w:pPr>
              <w:jc w:val="right"/>
              <w:rPr>
                <w:rFonts w:ascii="Arial" w:hAnsi="Arial" w:cs="Arial"/>
                <w:color w:val="002060"/>
                <w:sz w:val="18"/>
                <w:szCs w:val="18"/>
              </w:rPr>
            </w:pPr>
            <w:r w:rsidRPr="004C6507">
              <w:rPr>
                <w:rFonts w:ascii="Arial" w:hAnsi="Arial" w:cs="Arial"/>
                <w:color w:val="002060"/>
                <w:sz w:val="18"/>
                <w:szCs w:val="18"/>
              </w:rPr>
              <w:t>10.8%</w:t>
            </w:r>
          </w:p>
        </w:tc>
      </w:tr>
      <w:tr w:rsidR="004C6507" w:rsidRPr="00761183" w:rsidTr="00A24874">
        <w:trPr>
          <w:trHeight w:val="270"/>
        </w:trPr>
        <w:tc>
          <w:tcPr>
            <w:tcW w:w="2565" w:type="dxa"/>
            <w:shd w:val="clear" w:color="auto" w:fill="auto"/>
            <w:noWrap/>
            <w:vAlign w:val="bottom"/>
            <w:hideMark/>
          </w:tcPr>
          <w:p w:rsidR="004C6507" w:rsidRPr="00252DCB" w:rsidRDefault="004C6507" w:rsidP="00761183">
            <w:pPr>
              <w:jc w:val="right"/>
              <w:rPr>
                <w:rFonts w:ascii="Arial" w:eastAsia="Times New Roman" w:hAnsi="Arial" w:cs="Arial"/>
                <w:color w:val="002060"/>
                <w:sz w:val="20"/>
              </w:rPr>
            </w:pPr>
            <w:r w:rsidRPr="00252DCB">
              <w:rPr>
                <w:rFonts w:ascii="Arial" w:eastAsia="Times New Roman" w:hAnsi="Arial" w:cs="Arial"/>
                <w:color w:val="002060"/>
                <w:sz w:val="20"/>
              </w:rPr>
              <w:t>Export</w:t>
            </w:r>
          </w:p>
        </w:tc>
        <w:tc>
          <w:tcPr>
            <w:tcW w:w="992" w:type="dxa"/>
            <w:shd w:val="clear" w:color="auto" w:fill="auto"/>
            <w:noWrap/>
            <w:vAlign w:val="center"/>
            <w:hideMark/>
          </w:tcPr>
          <w:p w:rsidR="004C6507" w:rsidRPr="004C6507" w:rsidRDefault="004C6507" w:rsidP="00A24874">
            <w:pPr>
              <w:jc w:val="right"/>
              <w:rPr>
                <w:rFonts w:ascii="Arial" w:hAnsi="Arial" w:cs="Arial"/>
                <w:color w:val="002060"/>
                <w:sz w:val="20"/>
              </w:rPr>
            </w:pPr>
            <w:r w:rsidRPr="004C6507">
              <w:rPr>
                <w:rFonts w:ascii="Arial" w:hAnsi="Arial" w:cs="Arial"/>
                <w:color w:val="002060"/>
                <w:sz w:val="20"/>
              </w:rPr>
              <w:t>144,206</w:t>
            </w:r>
          </w:p>
        </w:tc>
        <w:tc>
          <w:tcPr>
            <w:tcW w:w="992" w:type="dxa"/>
            <w:shd w:val="clear" w:color="auto" w:fill="auto"/>
            <w:noWrap/>
            <w:vAlign w:val="center"/>
            <w:hideMark/>
          </w:tcPr>
          <w:p w:rsidR="004C6507" w:rsidRPr="004C6507" w:rsidRDefault="004C6507" w:rsidP="00A24874">
            <w:pPr>
              <w:jc w:val="right"/>
              <w:rPr>
                <w:rFonts w:ascii="Arial" w:hAnsi="Arial" w:cs="Arial"/>
                <w:color w:val="002060"/>
                <w:sz w:val="20"/>
              </w:rPr>
            </w:pPr>
            <w:r w:rsidRPr="004C6507">
              <w:rPr>
                <w:rFonts w:ascii="Arial" w:hAnsi="Arial" w:cs="Arial"/>
                <w:color w:val="002060"/>
                <w:sz w:val="20"/>
              </w:rPr>
              <w:t>145,055</w:t>
            </w:r>
          </w:p>
        </w:tc>
        <w:tc>
          <w:tcPr>
            <w:tcW w:w="1276" w:type="dxa"/>
            <w:shd w:val="clear" w:color="auto" w:fill="auto"/>
            <w:noWrap/>
            <w:vAlign w:val="center"/>
            <w:hideMark/>
          </w:tcPr>
          <w:p w:rsidR="004C6507" w:rsidRPr="004C6507" w:rsidRDefault="004C6507" w:rsidP="00A24874">
            <w:pPr>
              <w:jc w:val="right"/>
              <w:rPr>
                <w:rFonts w:ascii="Arial" w:hAnsi="Arial" w:cs="Arial"/>
                <w:color w:val="002060"/>
                <w:sz w:val="18"/>
                <w:szCs w:val="18"/>
              </w:rPr>
            </w:pPr>
            <w:r w:rsidRPr="004C6507">
              <w:rPr>
                <w:rFonts w:ascii="Arial" w:hAnsi="Arial" w:cs="Arial"/>
                <w:color w:val="002060"/>
                <w:sz w:val="18"/>
                <w:szCs w:val="18"/>
              </w:rPr>
              <w:t>0.6%</w:t>
            </w:r>
          </w:p>
        </w:tc>
        <w:tc>
          <w:tcPr>
            <w:tcW w:w="1134" w:type="dxa"/>
            <w:shd w:val="clear" w:color="auto" w:fill="auto"/>
            <w:noWrap/>
            <w:vAlign w:val="center"/>
            <w:hideMark/>
          </w:tcPr>
          <w:p w:rsidR="004C6507" w:rsidRPr="004C6507" w:rsidRDefault="004C6507" w:rsidP="00A24874">
            <w:pPr>
              <w:jc w:val="right"/>
              <w:rPr>
                <w:rFonts w:ascii="Arial" w:hAnsi="Arial" w:cs="Arial"/>
                <w:color w:val="002060"/>
                <w:sz w:val="20"/>
              </w:rPr>
            </w:pPr>
            <w:r w:rsidRPr="004C6507">
              <w:rPr>
                <w:rFonts w:ascii="Arial" w:hAnsi="Arial" w:cs="Arial"/>
                <w:color w:val="002060"/>
                <w:sz w:val="20"/>
              </w:rPr>
              <w:t>1,324,802</w:t>
            </w:r>
          </w:p>
        </w:tc>
        <w:tc>
          <w:tcPr>
            <w:tcW w:w="1140" w:type="dxa"/>
            <w:shd w:val="clear" w:color="auto" w:fill="auto"/>
            <w:noWrap/>
            <w:vAlign w:val="center"/>
            <w:hideMark/>
          </w:tcPr>
          <w:p w:rsidR="004C6507" w:rsidRPr="004C6507" w:rsidRDefault="004C6507" w:rsidP="00A24874">
            <w:pPr>
              <w:jc w:val="right"/>
              <w:rPr>
                <w:rFonts w:ascii="Arial" w:hAnsi="Arial" w:cs="Arial"/>
                <w:color w:val="002060"/>
                <w:sz w:val="20"/>
              </w:rPr>
            </w:pPr>
            <w:r w:rsidRPr="004C6507">
              <w:rPr>
                <w:rFonts w:ascii="Arial" w:hAnsi="Arial" w:cs="Arial"/>
                <w:color w:val="002060"/>
                <w:sz w:val="20"/>
              </w:rPr>
              <w:t>1,290,633</w:t>
            </w:r>
          </w:p>
        </w:tc>
        <w:tc>
          <w:tcPr>
            <w:tcW w:w="1354" w:type="dxa"/>
            <w:shd w:val="clear" w:color="auto" w:fill="auto"/>
            <w:noWrap/>
            <w:vAlign w:val="center"/>
            <w:hideMark/>
          </w:tcPr>
          <w:p w:rsidR="004C6507" w:rsidRPr="004C6507" w:rsidRDefault="004C6507" w:rsidP="00A24874">
            <w:pPr>
              <w:jc w:val="right"/>
              <w:rPr>
                <w:rFonts w:ascii="Arial" w:hAnsi="Arial" w:cs="Arial"/>
                <w:color w:val="002060"/>
                <w:sz w:val="18"/>
                <w:szCs w:val="18"/>
              </w:rPr>
            </w:pPr>
            <w:r w:rsidRPr="004C6507">
              <w:rPr>
                <w:rFonts w:ascii="Arial" w:hAnsi="Arial" w:cs="Arial"/>
                <w:color w:val="002060"/>
                <w:sz w:val="18"/>
                <w:szCs w:val="18"/>
              </w:rPr>
              <w:t>-2.6%</w:t>
            </w:r>
          </w:p>
        </w:tc>
      </w:tr>
      <w:tr w:rsidR="004C6507" w:rsidRPr="00761183" w:rsidTr="00A24874">
        <w:trPr>
          <w:trHeight w:val="270"/>
        </w:trPr>
        <w:tc>
          <w:tcPr>
            <w:tcW w:w="2565" w:type="dxa"/>
            <w:shd w:val="clear" w:color="auto" w:fill="auto"/>
            <w:noWrap/>
            <w:vAlign w:val="bottom"/>
            <w:hideMark/>
          </w:tcPr>
          <w:p w:rsidR="004C6507" w:rsidRPr="00252DCB" w:rsidRDefault="004C6507" w:rsidP="00761183">
            <w:pPr>
              <w:jc w:val="right"/>
              <w:rPr>
                <w:rFonts w:ascii="Arial" w:eastAsia="Times New Roman" w:hAnsi="Arial" w:cs="Arial"/>
                <w:color w:val="002060"/>
                <w:sz w:val="20"/>
              </w:rPr>
            </w:pPr>
            <w:r w:rsidRPr="00252DCB">
              <w:rPr>
                <w:rFonts w:ascii="Arial" w:eastAsia="Times New Roman" w:hAnsi="Arial" w:cs="Arial"/>
                <w:color w:val="002060"/>
                <w:sz w:val="20"/>
              </w:rPr>
              <w:t>% export</w:t>
            </w:r>
          </w:p>
        </w:tc>
        <w:tc>
          <w:tcPr>
            <w:tcW w:w="992" w:type="dxa"/>
            <w:shd w:val="clear" w:color="auto" w:fill="auto"/>
            <w:noWrap/>
            <w:vAlign w:val="center"/>
            <w:hideMark/>
          </w:tcPr>
          <w:p w:rsidR="004C6507" w:rsidRPr="004C6507" w:rsidRDefault="004C6507" w:rsidP="00A24874">
            <w:pPr>
              <w:jc w:val="right"/>
              <w:rPr>
                <w:rFonts w:ascii="Arial" w:hAnsi="Arial" w:cs="Arial"/>
                <w:color w:val="002060"/>
                <w:sz w:val="20"/>
              </w:rPr>
            </w:pPr>
            <w:r w:rsidRPr="004C6507">
              <w:rPr>
                <w:rFonts w:ascii="Arial" w:hAnsi="Arial" w:cs="Arial"/>
                <w:color w:val="002060"/>
                <w:sz w:val="20"/>
              </w:rPr>
              <w:t>60.3%</w:t>
            </w:r>
          </w:p>
        </w:tc>
        <w:tc>
          <w:tcPr>
            <w:tcW w:w="992" w:type="dxa"/>
            <w:shd w:val="clear" w:color="auto" w:fill="auto"/>
            <w:noWrap/>
            <w:vAlign w:val="center"/>
            <w:hideMark/>
          </w:tcPr>
          <w:p w:rsidR="004C6507" w:rsidRPr="004C6507" w:rsidRDefault="004C6507" w:rsidP="00A24874">
            <w:pPr>
              <w:jc w:val="right"/>
              <w:rPr>
                <w:rFonts w:ascii="Arial" w:hAnsi="Arial" w:cs="Arial"/>
                <w:color w:val="002060"/>
                <w:sz w:val="20"/>
              </w:rPr>
            </w:pPr>
            <w:r w:rsidRPr="004C6507">
              <w:rPr>
                <w:rFonts w:ascii="Arial" w:hAnsi="Arial" w:cs="Arial"/>
                <w:color w:val="002060"/>
                <w:sz w:val="20"/>
              </w:rPr>
              <w:t>57.0%</w:t>
            </w:r>
          </w:p>
        </w:tc>
        <w:tc>
          <w:tcPr>
            <w:tcW w:w="1276" w:type="dxa"/>
            <w:shd w:val="clear" w:color="auto" w:fill="auto"/>
            <w:noWrap/>
            <w:vAlign w:val="center"/>
            <w:hideMark/>
          </w:tcPr>
          <w:p w:rsidR="004C6507" w:rsidRPr="004C6507" w:rsidRDefault="004C6507" w:rsidP="00A24874">
            <w:pPr>
              <w:jc w:val="right"/>
              <w:rPr>
                <w:rFonts w:ascii="Arial" w:hAnsi="Arial" w:cs="Arial"/>
                <w:color w:val="002060"/>
                <w:sz w:val="20"/>
              </w:rPr>
            </w:pPr>
            <w:r w:rsidRPr="004C6507">
              <w:rPr>
                <w:rFonts w:ascii="Arial" w:hAnsi="Arial" w:cs="Arial"/>
                <w:color w:val="002060"/>
                <w:sz w:val="20"/>
              </w:rPr>
              <w:t> </w:t>
            </w:r>
          </w:p>
        </w:tc>
        <w:tc>
          <w:tcPr>
            <w:tcW w:w="1134" w:type="dxa"/>
            <w:shd w:val="clear" w:color="auto" w:fill="auto"/>
            <w:noWrap/>
            <w:vAlign w:val="center"/>
            <w:hideMark/>
          </w:tcPr>
          <w:p w:rsidR="004C6507" w:rsidRPr="004C6507" w:rsidRDefault="004C6507" w:rsidP="00A24874">
            <w:pPr>
              <w:jc w:val="right"/>
              <w:rPr>
                <w:rFonts w:ascii="Arial" w:hAnsi="Arial" w:cs="Arial"/>
                <w:color w:val="002060"/>
                <w:sz w:val="20"/>
              </w:rPr>
            </w:pPr>
            <w:r w:rsidRPr="004C6507">
              <w:rPr>
                <w:rFonts w:ascii="Arial" w:hAnsi="Arial" w:cs="Arial"/>
                <w:color w:val="002060"/>
                <w:sz w:val="20"/>
              </w:rPr>
              <w:t>62.5%</w:t>
            </w:r>
          </w:p>
        </w:tc>
        <w:tc>
          <w:tcPr>
            <w:tcW w:w="1140" w:type="dxa"/>
            <w:shd w:val="clear" w:color="auto" w:fill="auto"/>
            <w:noWrap/>
            <w:vAlign w:val="center"/>
            <w:hideMark/>
          </w:tcPr>
          <w:p w:rsidR="004C6507" w:rsidRPr="004C6507" w:rsidRDefault="004C6507" w:rsidP="00A24874">
            <w:pPr>
              <w:jc w:val="right"/>
              <w:rPr>
                <w:rFonts w:ascii="Arial" w:hAnsi="Arial" w:cs="Arial"/>
                <w:color w:val="002060"/>
                <w:sz w:val="20"/>
              </w:rPr>
            </w:pPr>
            <w:r w:rsidRPr="004C6507">
              <w:rPr>
                <w:rFonts w:ascii="Arial" w:hAnsi="Arial" w:cs="Arial"/>
                <w:color w:val="002060"/>
                <w:sz w:val="20"/>
              </w:rPr>
              <w:t>59.4%</w:t>
            </w:r>
          </w:p>
        </w:tc>
        <w:tc>
          <w:tcPr>
            <w:tcW w:w="1354" w:type="dxa"/>
            <w:shd w:val="clear" w:color="auto" w:fill="auto"/>
            <w:noWrap/>
            <w:vAlign w:val="center"/>
            <w:hideMark/>
          </w:tcPr>
          <w:p w:rsidR="004C6507" w:rsidRPr="004C6507" w:rsidRDefault="004C6507" w:rsidP="00A24874">
            <w:pPr>
              <w:jc w:val="right"/>
              <w:rPr>
                <w:rFonts w:ascii="Arial" w:hAnsi="Arial" w:cs="Arial"/>
                <w:color w:val="002060"/>
                <w:sz w:val="20"/>
              </w:rPr>
            </w:pPr>
            <w:r w:rsidRPr="004C6507">
              <w:rPr>
                <w:rFonts w:ascii="Arial" w:hAnsi="Arial" w:cs="Arial"/>
                <w:color w:val="002060"/>
                <w:sz w:val="20"/>
              </w:rPr>
              <w:t> </w:t>
            </w:r>
          </w:p>
        </w:tc>
      </w:tr>
    </w:tbl>
    <w:p w:rsidR="00761183" w:rsidRDefault="00761183" w:rsidP="00C80E70">
      <w:pPr>
        <w:ind w:left="360"/>
        <w:rPr>
          <w:rFonts w:ascii="Arial" w:hAnsi="Arial" w:cs="Arial"/>
          <w:sz w:val="20"/>
        </w:rPr>
      </w:pPr>
    </w:p>
    <w:p w:rsidR="00924274" w:rsidRDefault="00924274" w:rsidP="00C80E70">
      <w:pPr>
        <w:ind w:left="360"/>
        <w:rPr>
          <w:rFonts w:ascii="Arial" w:hAnsi="Arial" w:cs="Arial"/>
          <w:sz w:val="20"/>
        </w:rPr>
      </w:pPr>
    </w:p>
    <w:p w:rsidR="00C80E70" w:rsidRDefault="00C80E70" w:rsidP="00C80E70">
      <w:pPr>
        <w:rPr>
          <w:rFonts w:ascii="Verdana" w:hAnsi="Verdana"/>
          <w:sz w:val="20"/>
        </w:rPr>
      </w:pPr>
      <w:r>
        <w:rPr>
          <w:rFonts w:ascii="Arial" w:hAnsi="Arial" w:cs="Arial"/>
          <w:b/>
          <w:color w:val="0D2255"/>
          <w:sz w:val="20"/>
        </w:rPr>
        <w:t>Engine</w:t>
      </w:r>
      <w:r w:rsidRPr="00D62A9D">
        <w:rPr>
          <w:rFonts w:ascii="Arial" w:hAnsi="Arial" w:cs="Arial"/>
          <w:b/>
          <w:color w:val="0D2255"/>
          <w:sz w:val="20"/>
        </w:rPr>
        <w:t xml:space="preserve"> output rolling year total</w:t>
      </w:r>
      <w:r w:rsidR="00EC65AF">
        <w:rPr>
          <w:rFonts w:ascii="Arial" w:hAnsi="Arial" w:cs="Arial"/>
          <w:b/>
          <w:color w:val="0D2255"/>
          <w:sz w:val="20"/>
        </w:rPr>
        <w:tab/>
      </w:r>
      <w:r w:rsidR="00EC65AF">
        <w:rPr>
          <w:rFonts w:ascii="Arial" w:hAnsi="Arial" w:cs="Arial"/>
          <w:b/>
          <w:color w:val="0D2255"/>
          <w:sz w:val="20"/>
        </w:rPr>
        <w:tab/>
      </w:r>
      <w:r w:rsidR="00C1667A">
        <w:rPr>
          <w:rFonts w:ascii="Arial" w:hAnsi="Arial" w:cs="Arial"/>
          <w:b/>
          <w:color w:val="0D2255"/>
          <w:sz w:val="20"/>
        </w:rPr>
        <w:tab/>
      </w:r>
      <w:r w:rsidR="00EC65AF">
        <w:rPr>
          <w:rFonts w:ascii="Arial" w:hAnsi="Arial" w:cs="Arial"/>
          <w:b/>
          <w:color w:val="0D2255"/>
          <w:sz w:val="20"/>
        </w:rPr>
        <w:t>Engine output year-to-date, 2011-2013</w:t>
      </w:r>
    </w:p>
    <w:p w:rsidR="000B47D6" w:rsidRDefault="004C6507" w:rsidP="00C80E70">
      <w:r w:rsidRPr="004C6507">
        <w:rPr>
          <w:noProof/>
        </w:rPr>
        <w:drawing>
          <wp:inline distT="0" distB="0" distL="0" distR="0">
            <wp:extent cx="2798859" cy="2743200"/>
            <wp:effectExtent l="0" t="0" r="0" b="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8D413F" w:rsidRPr="008D413F">
        <w:rPr>
          <w:noProof/>
          <w:lang w:val="en-US" w:eastAsia="zh-TW"/>
        </w:rPr>
        <w:pict>
          <v:shape id="_x0000_s1029" type="#_x0000_t202" style="position:absolute;margin-left:229.75pt;margin-top:7.65pt;width:238.55pt;height:217.9pt;z-index:251670528;mso-position-horizontal-relative:text;mso-position-vertical-relative:text;mso-width-relative:margin;mso-height-relative:margin" stroked="f">
            <v:textbox>
              <w:txbxContent>
                <w:p w:rsidR="00310DB2" w:rsidRDefault="00310DB2">
                  <w:r w:rsidRPr="00A24874">
                    <w:rPr>
                      <w:noProof/>
                    </w:rPr>
                    <w:drawing>
                      <wp:inline distT="0" distB="0" distL="0" distR="0">
                        <wp:extent cx="2846705" cy="2829861"/>
                        <wp:effectExtent l="0" t="0" r="0" b="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xbxContent>
            </v:textbox>
          </v:shape>
        </w:pict>
      </w:r>
    </w:p>
    <w:p w:rsidR="000B47D6" w:rsidRPr="000B47D6" w:rsidRDefault="000B47D6" w:rsidP="000B47D6"/>
    <w:p w:rsidR="000B47D6" w:rsidRPr="000B47D6" w:rsidRDefault="000B47D6" w:rsidP="000B47D6"/>
    <w:p w:rsidR="000B47D6" w:rsidRPr="000B47D6" w:rsidRDefault="000B47D6" w:rsidP="000B47D6"/>
    <w:sectPr w:rsidR="000B47D6" w:rsidRPr="000B47D6" w:rsidSect="00EB2FB8">
      <w:headerReference w:type="default" r:id="rId14"/>
      <w:footerReference w:type="default" r:id="rId15"/>
      <w:pgSz w:w="11906" w:h="16838"/>
      <w:pgMar w:top="1440" w:right="1134"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DB2" w:rsidRDefault="00310DB2" w:rsidP="00C80E70">
      <w:r>
        <w:separator/>
      </w:r>
    </w:p>
  </w:endnote>
  <w:endnote w:type="continuationSeparator" w:id="0">
    <w:p w:rsidR="00310DB2" w:rsidRDefault="00310DB2" w:rsidP="00C80E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DB2" w:rsidRPr="00111C19" w:rsidRDefault="00310DB2" w:rsidP="00447CDA">
    <w:pPr>
      <w:rPr>
        <w:rFonts w:ascii="Arial" w:hAnsi="Arial" w:cs="Arial"/>
        <w:sz w:val="15"/>
        <w:szCs w:val="15"/>
      </w:rPr>
    </w:pPr>
    <w:r w:rsidRPr="00111C19">
      <w:rPr>
        <w:rFonts w:ascii="Arial" w:hAnsi="Arial" w:cs="Arial"/>
        <w:b/>
        <w:bCs/>
        <w:color w:val="1074CB"/>
        <w:sz w:val="15"/>
        <w:szCs w:val="15"/>
      </w:rPr>
      <w:t>About SMMT and UK the automotive industry:</w:t>
    </w:r>
  </w:p>
  <w:p w:rsidR="00310DB2" w:rsidRPr="00111C19" w:rsidRDefault="00310DB2" w:rsidP="00447CDA">
    <w:pPr>
      <w:pStyle w:val="NormalWeb"/>
      <w:spacing w:before="0" w:beforeAutospacing="0" w:after="0" w:afterAutospacing="0"/>
      <w:rPr>
        <w:rFonts w:ascii="Arial" w:hAnsi="Arial" w:cs="Arial"/>
        <w:sz w:val="15"/>
        <w:szCs w:val="15"/>
      </w:rPr>
    </w:pPr>
    <w:r w:rsidRPr="00111C19">
      <w:rPr>
        <w:rFonts w:ascii="Arial" w:hAnsi="Arial" w:cs="Arial"/>
        <w:color w:val="1074CB"/>
        <w:sz w:val="15"/>
        <w:szCs w:val="15"/>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310DB2" w:rsidRPr="00111C19" w:rsidRDefault="00310DB2" w:rsidP="00447CDA">
    <w:pPr>
      <w:pStyle w:val="NormalWeb"/>
      <w:spacing w:before="0" w:beforeAutospacing="0" w:after="0" w:afterAutospacing="0"/>
      <w:rPr>
        <w:rFonts w:ascii="Arial" w:hAnsi="Arial" w:cs="Arial"/>
        <w:color w:val="1074CB"/>
        <w:sz w:val="15"/>
        <w:szCs w:val="15"/>
      </w:rPr>
    </w:pPr>
  </w:p>
  <w:p w:rsidR="00310DB2" w:rsidRPr="00111C19" w:rsidRDefault="00310DB2" w:rsidP="00447CDA">
    <w:pPr>
      <w:pStyle w:val="NormalWeb"/>
      <w:spacing w:before="0" w:beforeAutospacing="0" w:after="0" w:afterAutospacing="0"/>
      <w:rPr>
        <w:rFonts w:ascii="Arial" w:hAnsi="Arial" w:cs="Arial"/>
        <w:color w:val="1074CB"/>
        <w:sz w:val="15"/>
        <w:szCs w:val="15"/>
      </w:rPr>
    </w:pPr>
    <w:r w:rsidRPr="00111C19">
      <w:rPr>
        <w:rFonts w:ascii="Arial" w:hAnsi="Arial" w:cs="Arial"/>
        <w:color w:val="1074CB"/>
        <w:sz w:val="15"/>
        <w:szCs w:val="15"/>
      </w:rPr>
      <w:t xml:space="preserve">The automotive industry is a vital part of the UK economy accounting for </w:t>
    </w:r>
    <w:r w:rsidRPr="00111C19">
      <w:rPr>
        <w:rStyle w:val="Strong"/>
        <w:rFonts w:ascii="Arial" w:hAnsi="Arial" w:cs="Arial"/>
        <w:color w:val="1074CB"/>
        <w:sz w:val="15"/>
        <w:szCs w:val="15"/>
      </w:rPr>
      <w:t>£59 billion turnover</w:t>
    </w:r>
    <w:r w:rsidRPr="00111C19">
      <w:rPr>
        <w:rFonts w:ascii="Arial" w:hAnsi="Arial" w:cs="Arial"/>
        <w:color w:val="1074CB"/>
        <w:sz w:val="15"/>
        <w:szCs w:val="15"/>
      </w:rPr>
      <w:t xml:space="preserve"> and </w:t>
    </w:r>
    <w:r w:rsidRPr="00111C19">
      <w:rPr>
        <w:rStyle w:val="Strong"/>
        <w:rFonts w:ascii="Arial" w:hAnsi="Arial" w:cs="Arial"/>
        <w:color w:val="1074CB"/>
        <w:sz w:val="15"/>
        <w:szCs w:val="15"/>
      </w:rPr>
      <w:t>£12 billion value added</w:t>
    </w:r>
    <w:r w:rsidRPr="00111C19">
      <w:rPr>
        <w:rFonts w:ascii="Arial" w:hAnsi="Arial" w:cs="Arial"/>
        <w:color w:val="1074CB"/>
        <w:sz w:val="15"/>
        <w:szCs w:val="15"/>
      </w:rPr>
      <w:t xml:space="preserve">. With more than </w:t>
    </w:r>
    <w:r w:rsidRPr="00111C19">
      <w:rPr>
        <w:rStyle w:val="Strong"/>
        <w:rFonts w:ascii="Arial" w:hAnsi="Arial" w:cs="Arial"/>
        <w:color w:val="1074CB"/>
        <w:sz w:val="15"/>
        <w:szCs w:val="15"/>
      </w:rPr>
      <w:t>700,000 jobs</w:t>
    </w:r>
    <w:r w:rsidRPr="00111C19">
      <w:rPr>
        <w:rFonts w:ascii="Arial" w:hAnsi="Arial" w:cs="Arial"/>
        <w:color w:val="1074CB"/>
        <w:sz w:val="15"/>
        <w:szCs w:val="15"/>
      </w:rPr>
      <w:t xml:space="preserve"> dependent on the industry, it accounts for </w:t>
    </w:r>
    <w:r w:rsidRPr="00111C19">
      <w:rPr>
        <w:rStyle w:val="Strong"/>
        <w:rFonts w:ascii="Arial" w:hAnsi="Arial" w:cs="Arial"/>
        <w:color w:val="1074CB"/>
        <w:sz w:val="15"/>
        <w:szCs w:val="15"/>
      </w:rPr>
      <w:t>10% of total UK exports</w:t>
    </w:r>
    <w:r w:rsidRPr="00111C19">
      <w:rPr>
        <w:rFonts w:ascii="Arial" w:hAnsi="Arial" w:cs="Arial"/>
        <w:color w:val="1074CB"/>
        <w:sz w:val="15"/>
        <w:szCs w:val="15"/>
      </w:rPr>
      <w:t xml:space="preserve"> and invests </w:t>
    </w:r>
    <w:r w:rsidRPr="00111C19">
      <w:rPr>
        <w:rStyle w:val="Strong"/>
        <w:rFonts w:ascii="Arial" w:hAnsi="Arial" w:cs="Arial"/>
        <w:color w:val="1074CB"/>
        <w:sz w:val="15"/>
        <w:szCs w:val="15"/>
      </w:rPr>
      <w:t>£1.7 billion</w:t>
    </w:r>
    <w:r w:rsidRPr="00111C19">
      <w:rPr>
        <w:rFonts w:ascii="Arial" w:hAnsi="Arial" w:cs="Arial"/>
        <w:color w:val="1074CB"/>
        <w:sz w:val="15"/>
        <w:szCs w:val="15"/>
      </w:rPr>
      <w:t xml:space="preserve"> each year in automotive R&amp;D. More than </w:t>
    </w:r>
    <w:r w:rsidRPr="00111C19">
      <w:rPr>
        <w:rStyle w:val="Strong"/>
        <w:rFonts w:ascii="Arial" w:hAnsi="Arial" w:cs="Arial"/>
        <w:color w:val="1074CB"/>
        <w:sz w:val="15"/>
        <w:szCs w:val="15"/>
      </w:rPr>
      <w:t>30 manufacturers</w:t>
    </w:r>
    <w:r w:rsidRPr="00111C19">
      <w:rPr>
        <w:rFonts w:ascii="Arial" w:hAnsi="Arial" w:cs="Arial"/>
        <w:color w:val="1074CB"/>
        <w:sz w:val="15"/>
        <w:szCs w:val="15"/>
      </w:rPr>
      <w:t xml:space="preserve"> build in excess of </w:t>
    </w:r>
    <w:r w:rsidRPr="00111C19">
      <w:rPr>
        <w:rStyle w:val="Strong"/>
        <w:rFonts w:ascii="Arial" w:hAnsi="Arial" w:cs="Arial"/>
        <w:color w:val="1074CB"/>
        <w:sz w:val="15"/>
        <w:szCs w:val="15"/>
      </w:rPr>
      <w:t>70 models</w:t>
    </w:r>
    <w:r w:rsidRPr="00111C19">
      <w:rPr>
        <w:rFonts w:ascii="Arial" w:hAnsi="Arial" w:cs="Arial"/>
        <w:color w:val="1074CB"/>
        <w:sz w:val="15"/>
        <w:szCs w:val="15"/>
      </w:rPr>
      <w:t xml:space="preserve"> of vehicle in the UK supported by around </w:t>
    </w:r>
    <w:r w:rsidRPr="00111C19">
      <w:rPr>
        <w:rStyle w:val="Strong"/>
        <w:rFonts w:ascii="Arial" w:hAnsi="Arial" w:cs="Arial"/>
        <w:color w:val="1074CB"/>
        <w:sz w:val="15"/>
        <w:szCs w:val="15"/>
      </w:rPr>
      <w:t>2,500 component providers</w:t>
    </w:r>
    <w:r w:rsidRPr="00111C19">
      <w:rPr>
        <w:rFonts w:ascii="Arial" w:hAnsi="Arial" w:cs="Arial"/>
        <w:color w:val="1074CB"/>
        <w:sz w:val="15"/>
        <w:szCs w:val="15"/>
      </w:rPr>
      <w:t xml:space="preserve"> and some of the world's most </w:t>
    </w:r>
    <w:r w:rsidRPr="00111C19">
      <w:rPr>
        <w:rStyle w:val="Strong"/>
        <w:rFonts w:ascii="Arial" w:hAnsi="Arial" w:cs="Arial"/>
        <w:color w:val="1074CB"/>
        <w:sz w:val="15"/>
        <w:szCs w:val="15"/>
      </w:rPr>
      <w:t>skilled engineers</w:t>
    </w:r>
    <w:r w:rsidRPr="00111C19">
      <w:rPr>
        <w:rFonts w:ascii="Arial" w:hAnsi="Arial" w:cs="Arial"/>
        <w:color w:val="1074CB"/>
        <w:sz w:val="15"/>
        <w:szCs w:val="15"/>
      </w:rPr>
      <w:t>.</w:t>
    </w:r>
    <w:r w:rsidRPr="00111C19">
      <w:rPr>
        <w:rFonts w:ascii="Arial" w:hAnsi="Arial" w:cs="Arial"/>
        <w:sz w:val="15"/>
        <w:szCs w:val="15"/>
      </w:rPr>
      <w:t xml:space="preserve"> </w:t>
    </w:r>
    <w:r w:rsidRPr="00111C19">
      <w:rPr>
        <w:rFonts w:ascii="Arial" w:hAnsi="Arial" w:cs="Arial"/>
        <w:color w:val="1074CB"/>
        <w:sz w:val="15"/>
        <w:szCs w:val="15"/>
      </w:rPr>
      <w:t xml:space="preserve">More detail on UK automotive available in SMMT's Motor Industry Facts 2013 publication at </w:t>
    </w:r>
    <w:hyperlink r:id="rId1" w:history="1">
      <w:r w:rsidRPr="00111C19">
        <w:rPr>
          <w:rStyle w:val="Hyperlink"/>
          <w:rFonts w:ascii="Arial" w:hAnsi="Arial" w:cs="Arial"/>
          <w:color w:val="1074CB"/>
          <w:sz w:val="15"/>
          <w:szCs w:val="15"/>
        </w:rPr>
        <w:t>www.smmt.co.uk/publications</w:t>
      </w:r>
    </w:hyperlink>
    <w:r w:rsidRPr="00111C19">
      <w:rPr>
        <w:rFonts w:ascii="Arial" w:hAnsi="Arial" w:cs="Arial"/>
        <w:color w:val="1074CB"/>
        <w:sz w:val="15"/>
        <w:szCs w:val="15"/>
      </w:rPr>
      <w:t>.</w:t>
    </w:r>
  </w:p>
  <w:p w:rsidR="00310DB2" w:rsidRPr="00111C19" w:rsidRDefault="00310DB2" w:rsidP="00447CDA">
    <w:pPr>
      <w:pStyle w:val="NormalWeb"/>
      <w:spacing w:before="0" w:beforeAutospacing="0" w:after="0" w:afterAutospacing="0"/>
      <w:rPr>
        <w:rFonts w:ascii="Arial" w:hAnsi="Arial" w:cs="Arial"/>
        <w:sz w:val="15"/>
        <w:szCs w:val="15"/>
      </w:rPr>
    </w:pPr>
  </w:p>
  <w:p w:rsidR="00310DB2" w:rsidRPr="00111C19" w:rsidRDefault="00310DB2" w:rsidP="00447CDA">
    <w:pPr>
      <w:pStyle w:val="NormalWeb"/>
      <w:spacing w:before="0" w:beforeAutospacing="0" w:after="0" w:afterAutospacing="0"/>
      <w:rPr>
        <w:rFonts w:ascii="Arial" w:hAnsi="Arial" w:cs="Arial"/>
        <w:sz w:val="15"/>
        <w:szCs w:val="15"/>
      </w:rPr>
    </w:pPr>
    <w:r w:rsidRPr="00111C19">
      <w:rPr>
        <w:rStyle w:val="Strong"/>
        <w:rFonts w:ascii="Arial" w:hAnsi="Arial" w:cs="Arial"/>
        <w:color w:val="1074CB"/>
        <w:sz w:val="15"/>
        <w:szCs w:val="15"/>
        <w:u w:val="single"/>
      </w:rPr>
      <w:t>Broadcasters</w:t>
    </w:r>
    <w:r w:rsidRPr="00111C19">
      <w:rPr>
        <w:rStyle w:val="Strong"/>
        <w:rFonts w:ascii="Arial" w:hAnsi="Arial" w:cs="Arial"/>
        <w:color w:val="1074CB"/>
        <w:sz w:val="15"/>
        <w:szCs w:val="15"/>
      </w:rPr>
      <w:t>: SMMT has an ISDN studio and access to expert spokespeople, case studies and regional representatives.</w:t>
    </w:r>
  </w:p>
  <w:p w:rsidR="00310DB2" w:rsidRPr="00111C19" w:rsidRDefault="00310DB2" w:rsidP="00447CDA">
    <w:pPr>
      <w:tabs>
        <w:tab w:val="left" w:pos="1978"/>
      </w:tabs>
      <w:rPr>
        <w:rFonts w:ascii="Arial" w:hAnsi="Arial" w:cs="Arial"/>
        <w:b/>
        <w:color w:val="1074CB"/>
        <w:sz w:val="15"/>
        <w:szCs w:val="15"/>
      </w:rPr>
    </w:pPr>
  </w:p>
  <w:p w:rsidR="00310DB2" w:rsidRPr="00111C19" w:rsidRDefault="00310DB2" w:rsidP="00447CDA">
    <w:pPr>
      <w:rPr>
        <w:rFonts w:ascii="Arial" w:hAnsi="Arial" w:cs="Arial"/>
        <w:b/>
        <w:color w:val="1074CB"/>
        <w:sz w:val="15"/>
        <w:szCs w:val="15"/>
      </w:rPr>
    </w:pPr>
    <w:r w:rsidRPr="00111C19">
      <w:rPr>
        <w:rFonts w:ascii="Arial" w:hAnsi="Arial" w:cs="Arial"/>
        <w:b/>
        <w:color w:val="1074CB"/>
        <w:sz w:val="15"/>
        <w:szCs w:val="15"/>
      </w:rPr>
      <w:t>Media contacts:</w:t>
    </w:r>
  </w:p>
  <w:p w:rsidR="00310DB2" w:rsidRPr="00111C19" w:rsidRDefault="00310DB2" w:rsidP="00C80E70">
    <w:pPr>
      <w:rPr>
        <w:rFonts w:ascii="Arial" w:hAnsi="Arial" w:cs="Arial"/>
        <w:color w:val="1074CB"/>
        <w:sz w:val="15"/>
        <w:szCs w:val="15"/>
      </w:rPr>
    </w:pPr>
    <w:r>
      <w:rPr>
        <w:rFonts w:ascii="Arial" w:hAnsi="Arial" w:cs="Arial"/>
        <w:color w:val="1074CB"/>
        <w:sz w:val="15"/>
        <w:szCs w:val="15"/>
      </w:rPr>
      <w:t>Ben Foulds</w:t>
    </w:r>
    <w:r>
      <w:rPr>
        <w:rFonts w:ascii="Arial" w:hAnsi="Arial" w:cs="Arial"/>
        <w:color w:val="1074CB"/>
        <w:sz w:val="15"/>
        <w:szCs w:val="15"/>
      </w:rPr>
      <w:tab/>
    </w:r>
    <w:r>
      <w:rPr>
        <w:rFonts w:ascii="Arial" w:hAnsi="Arial" w:cs="Arial"/>
        <w:color w:val="1074CB"/>
        <w:sz w:val="15"/>
        <w:szCs w:val="15"/>
      </w:rPr>
      <w:tab/>
    </w:r>
    <w:r>
      <w:rPr>
        <w:rFonts w:ascii="Arial" w:hAnsi="Arial" w:cs="Arial"/>
        <w:color w:val="1074CB"/>
        <w:sz w:val="15"/>
        <w:szCs w:val="15"/>
      </w:rPr>
      <w:tab/>
      <w:t>020 7344 9222</w:t>
    </w:r>
    <w:r w:rsidRPr="00111C19">
      <w:rPr>
        <w:rFonts w:ascii="Arial" w:hAnsi="Arial" w:cs="Arial"/>
        <w:color w:val="1074CB"/>
        <w:sz w:val="15"/>
        <w:szCs w:val="15"/>
      </w:rPr>
      <w:tab/>
    </w:r>
    <w:r w:rsidRPr="00111C19">
      <w:rPr>
        <w:rFonts w:ascii="Arial" w:hAnsi="Arial" w:cs="Arial"/>
        <w:color w:val="1074CB"/>
        <w:sz w:val="15"/>
        <w:szCs w:val="15"/>
      </w:rPr>
      <w:tab/>
    </w:r>
    <w:hyperlink r:id="rId2" w:history="1">
      <w:r w:rsidRPr="00111C19">
        <w:rPr>
          <w:rStyle w:val="Hyperlink"/>
          <w:rFonts w:ascii="Arial" w:hAnsi="Arial" w:cs="Arial"/>
          <w:sz w:val="15"/>
          <w:szCs w:val="15"/>
        </w:rPr>
        <w:t>bfoulds@smmt.co.uk</w:t>
      </w:r>
    </w:hyperlink>
    <w:r w:rsidRPr="00111C19">
      <w:rPr>
        <w:rFonts w:ascii="Arial" w:hAnsi="Arial" w:cs="Arial"/>
        <w:color w:val="1074CB"/>
        <w:sz w:val="15"/>
        <w:szCs w:val="15"/>
      </w:rPr>
      <w:t xml:space="preserve"> </w:t>
    </w:r>
  </w:p>
  <w:p w:rsidR="00310DB2" w:rsidRPr="00111C19" w:rsidRDefault="00310DB2" w:rsidP="00C80E70">
    <w:pPr>
      <w:rPr>
        <w:rFonts w:ascii="Arial" w:hAnsi="Arial" w:cs="Arial"/>
        <w:color w:val="1074CB"/>
        <w:sz w:val="15"/>
        <w:szCs w:val="15"/>
      </w:rPr>
    </w:pPr>
    <w:r w:rsidRPr="00111C19">
      <w:rPr>
        <w:rFonts w:ascii="Arial" w:hAnsi="Arial" w:cs="Arial"/>
        <w:color w:val="1074CB"/>
        <w:sz w:val="15"/>
        <w:szCs w:val="15"/>
      </w:rPr>
      <w:t>Jonathan Visscher</w:t>
    </w:r>
    <w:r w:rsidRPr="00111C19">
      <w:rPr>
        <w:rFonts w:ascii="Arial" w:hAnsi="Arial" w:cs="Arial"/>
        <w:color w:val="1074CB"/>
        <w:sz w:val="15"/>
        <w:szCs w:val="15"/>
      </w:rPr>
      <w:tab/>
    </w:r>
    <w:r w:rsidRPr="00111C19">
      <w:rPr>
        <w:rFonts w:ascii="Arial" w:hAnsi="Arial" w:cs="Arial"/>
        <w:color w:val="1074CB"/>
        <w:sz w:val="15"/>
        <w:szCs w:val="15"/>
      </w:rPr>
      <w:tab/>
    </w:r>
    <w:r w:rsidRPr="00111C19">
      <w:rPr>
        <w:rFonts w:ascii="Arial" w:hAnsi="Arial" w:cs="Arial"/>
        <w:color w:val="1074CB"/>
        <w:sz w:val="15"/>
        <w:szCs w:val="15"/>
      </w:rPr>
      <w:tab/>
      <w:t>020 7344 9263</w:t>
    </w:r>
    <w:r w:rsidRPr="00111C19">
      <w:rPr>
        <w:rFonts w:ascii="Arial" w:hAnsi="Arial" w:cs="Arial"/>
        <w:color w:val="1074CB"/>
        <w:sz w:val="15"/>
        <w:szCs w:val="15"/>
      </w:rPr>
      <w:tab/>
    </w:r>
    <w:r w:rsidRPr="00111C19">
      <w:rPr>
        <w:rFonts w:ascii="Arial" w:hAnsi="Arial" w:cs="Arial"/>
        <w:color w:val="1074CB"/>
        <w:sz w:val="15"/>
        <w:szCs w:val="15"/>
      </w:rPr>
      <w:tab/>
    </w:r>
    <w:hyperlink r:id="rId3" w:history="1">
      <w:r w:rsidRPr="00111C19">
        <w:rPr>
          <w:rStyle w:val="Hyperlink"/>
          <w:rFonts w:ascii="Arial" w:hAnsi="Arial" w:cs="Arial"/>
          <w:sz w:val="15"/>
          <w:szCs w:val="15"/>
        </w:rPr>
        <w:t>jvisscher@smmt.co.uk</w:t>
      </w:r>
    </w:hyperlink>
    <w:r w:rsidRPr="00111C19">
      <w:rPr>
        <w:rFonts w:ascii="Arial" w:hAnsi="Arial" w:cs="Arial"/>
        <w:color w:val="1074CB"/>
        <w:sz w:val="15"/>
        <w:szCs w:val="15"/>
      </w:rPr>
      <w:t xml:space="preserve"> </w:t>
    </w:r>
  </w:p>
  <w:p w:rsidR="00310DB2" w:rsidRPr="00111C19" w:rsidRDefault="00310DB2" w:rsidP="00C80E70">
    <w:pPr>
      <w:rPr>
        <w:rFonts w:ascii="Arial" w:hAnsi="Arial" w:cs="Arial"/>
        <w:color w:val="1074CB"/>
        <w:sz w:val="15"/>
        <w:szCs w:val="15"/>
      </w:rPr>
    </w:pPr>
    <w:r w:rsidRPr="00111C19">
      <w:rPr>
        <w:rFonts w:ascii="Arial" w:hAnsi="Arial" w:cs="Arial"/>
        <w:color w:val="1074CB"/>
        <w:sz w:val="15"/>
        <w:szCs w:val="15"/>
      </w:rPr>
      <w:t>Keith Lewis</w:t>
    </w:r>
    <w:r w:rsidRPr="00111C19">
      <w:rPr>
        <w:rFonts w:ascii="Arial" w:hAnsi="Arial" w:cs="Arial"/>
        <w:color w:val="1074CB"/>
        <w:sz w:val="15"/>
        <w:szCs w:val="15"/>
      </w:rPr>
      <w:tab/>
    </w:r>
    <w:r w:rsidRPr="00111C19">
      <w:rPr>
        <w:rFonts w:ascii="Arial" w:hAnsi="Arial" w:cs="Arial"/>
        <w:color w:val="1074CB"/>
        <w:sz w:val="15"/>
        <w:szCs w:val="15"/>
      </w:rPr>
      <w:tab/>
    </w:r>
    <w:r w:rsidRPr="00111C19">
      <w:rPr>
        <w:rFonts w:ascii="Arial" w:hAnsi="Arial" w:cs="Arial"/>
        <w:color w:val="1074CB"/>
        <w:sz w:val="15"/>
        <w:szCs w:val="15"/>
      </w:rPr>
      <w:tab/>
      <w:t>020</w:t>
    </w:r>
    <w:r w:rsidR="00F16934">
      <w:rPr>
        <w:rFonts w:ascii="Arial" w:hAnsi="Arial" w:cs="Arial"/>
        <w:color w:val="1074CB"/>
        <w:sz w:val="15"/>
        <w:szCs w:val="15"/>
      </w:rPr>
      <w:t xml:space="preserve"> 7344 922</w:t>
    </w:r>
    <w:r w:rsidRPr="00111C19">
      <w:rPr>
        <w:rFonts w:ascii="Arial" w:hAnsi="Arial" w:cs="Arial"/>
        <w:color w:val="1074CB"/>
        <w:sz w:val="15"/>
        <w:szCs w:val="15"/>
      </w:rPr>
      <w:t>6</w:t>
    </w:r>
    <w:r w:rsidRPr="00111C19">
      <w:rPr>
        <w:rFonts w:ascii="Arial" w:hAnsi="Arial" w:cs="Arial"/>
        <w:color w:val="1074CB"/>
        <w:sz w:val="15"/>
        <w:szCs w:val="15"/>
      </w:rPr>
      <w:tab/>
    </w:r>
    <w:r w:rsidRPr="00111C19">
      <w:rPr>
        <w:rFonts w:ascii="Arial" w:hAnsi="Arial" w:cs="Arial"/>
        <w:color w:val="1074CB"/>
        <w:sz w:val="15"/>
        <w:szCs w:val="15"/>
      </w:rPr>
      <w:tab/>
    </w:r>
    <w:hyperlink r:id="rId4" w:history="1">
      <w:r w:rsidRPr="00111C19">
        <w:rPr>
          <w:rStyle w:val="Hyperlink"/>
          <w:rFonts w:ascii="Arial" w:hAnsi="Arial" w:cs="Arial"/>
          <w:sz w:val="15"/>
          <w:szCs w:val="15"/>
        </w:rPr>
        <w:t>klewis@smmt.co.uk</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DB2" w:rsidRDefault="00310DB2" w:rsidP="00C80E70">
      <w:r>
        <w:separator/>
      </w:r>
    </w:p>
  </w:footnote>
  <w:footnote w:type="continuationSeparator" w:id="0">
    <w:p w:rsidR="00310DB2" w:rsidRDefault="00310DB2" w:rsidP="00C80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DB2" w:rsidRDefault="00310DB2" w:rsidP="00447CDA">
    <w:pPr>
      <w:pStyle w:val="Header"/>
      <w:rPr>
        <w:rStyle w:val="Strong"/>
        <w:rFonts w:ascii="Arial" w:hAnsi="Arial" w:cs="Arial"/>
        <w:color w:val="1074CB"/>
        <w:sz w:val="20"/>
      </w:rPr>
    </w:pPr>
    <w:r>
      <w:rPr>
        <w:rFonts w:ascii="Arial" w:hAnsi="Arial" w:cs="Arial"/>
        <w:b/>
        <w:bCs/>
        <w:noProof/>
        <w:color w:val="1074CB"/>
        <w:sz w:val="20"/>
      </w:rPr>
      <w:drawing>
        <wp:anchor distT="0" distB="0" distL="114300" distR="114300" simplePos="0" relativeHeight="251659264" behindDoc="0" locked="0" layoutInCell="1" allowOverlap="1">
          <wp:simplePos x="0" y="0"/>
          <wp:positionH relativeFrom="column">
            <wp:posOffset>4106021</wp:posOffset>
          </wp:positionH>
          <wp:positionV relativeFrom="paragraph">
            <wp:posOffset>-307092</wp:posOffset>
          </wp:positionV>
          <wp:extent cx="1952873" cy="747423"/>
          <wp:effectExtent l="19050" t="0" r="9277" b="0"/>
          <wp:wrapNone/>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1952873" cy="747423"/>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FBD"/>
    <w:multiLevelType w:val="hybridMultilevel"/>
    <w:tmpl w:val="10E6B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BB86563"/>
    <w:multiLevelType w:val="hybridMultilevel"/>
    <w:tmpl w:val="ACA85D38"/>
    <w:lvl w:ilvl="0" w:tplc="6056268E">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0D321C"/>
    <w:multiLevelType w:val="hybridMultilevel"/>
    <w:tmpl w:val="2F484B0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rsids>
    <w:rsidRoot w:val="00C80E70"/>
    <w:rsid w:val="00004B3B"/>
    <w:rsid w:val="00066F55"/>
    <w:rsid w:val="000B47D6"/>
    <w:rsid w:val="00111C19"/>
    <w:rsid w:val="00116666"/>
    <w:rsid w:val="00133B87"/>
    <w:rsid w:val="001737CD"/>
    <w:rsid w:val="00192CE4"/>
    <w:rsid w:val="001A67B5"/>
    <w:rsid w:val="001C389E"/>
    <w:rsid w:val="001D6CB9"/>
    <w:rsid w:val="001E33CE"/>
    <w:rsid w:val="00200F65"/>
    <w:rsid w:val="0020649D"/>
    <w:rsid w:val="00222BD9"/>
    <w:rsid w:val="00224DDD"/>
    <w:rsid w:val="00241258"/>
    <w:rsid w:val="00252DCB"/>
    <w:rsid w:val="00266A9A"/>
    <w:rsid w:val="002933CF"/>
    <w:rsid w:val="002A5934"/>
    <w:rsid w:val="002B4F7D"/>
    <w:rsid w:val="00310DB2"/>
    <w:rsid w:val="00364BA9"/>
    <w:rsid w:val="00375DF8"/>
    <w:rsid w:val="003B1C39"/>
    <w:rsid w:val="003E69D3"/>
    <w:rsid w:val="00410539"/>
    <w:rsid w:val="00415A04"/>
    <w:rsid w:val="00443FDD"/>
    <w:rsid w:val="00447CDA"/>
    <w:rsid w:val="00456525"/>
    <w:rsid w:val="00456EBB"/>
    <w:rsid w:val="00467D20"/>
    <w:rsid w:val="00482D22"/>
    <w:rsid w:val="00486897"/>
    <w:rsid w:val="00494E5E"/>
    <w:rsid w:val="004B727E"/>
    <w:rsid w:val="004C6507"/>
    <w:rsid w:val="004E0701"/>
    <w:rsid w:val="00505C8C"/>
    <w:rsid w:val="005218AC"/>
    <w:rsid w:val="005407A6"/>
    <w:rsid w:val="00542422"/>
    <w:rsid w:val="0055683E"/>
    <w:rsid w:val="00565BD5"/>
    <w:rsid w:val="00577A32"/>
    <w:rsid w:val="005A0ACF"/>
    <w:rsid w:val="005B33EF"/>
    <w:rsid w:val="005B536B"/>
    <w:rsid w:val="005C37D0"/>
    <w:rsid w:val="005C668F"/>
    <w:rsid w:val="005E16F9"/>
    <w:rsid w:val="005E2C9D"/>
    <w:rsid w:val="005E7061"/>
    <w:rsid w:val="005F44DC"/>
    <w:rsid w:val="006009D8"/>
    <w:rsid w:val="0060762E"/>
    <w:rsid w:val="00616A5E"/>
    <w:rsid w:val="006315A6"/>
    <w:rsid w:val="0064789F"/>
    <w:rsid w:val="006623D6"/>
    <w:rsid w:val="00686576"/>
    <w:rsid w:val="006B4C72"/>
    <w:rsid w:val="006B7F8A"/>
    <w:rsid w:val="006D538E"/>
    <w:rsid w:val="006E534D"/>
    <w:rsid w:val="006E5BF9"/>
    <w:rsid w:val="006F56DF"/>
    <w:rsid w:val="00714EF7"/>
    <w:rsid w:val="0073709A"/>
    <w:rsid w:val="007433FE"/>
    <w:rsid w:val="00761183"/>
    <w:rsid w:val="007851A1"/>
    <w:rsid w:val="00787B6E"/>
    <w:rsid w:val="00791C3D"/>
    <w:rsid w:val="007951F0"/>
    <w:rsid w:val="007B7669"/>
    <w:rsid w:val="008030A3"/>
    <w:rsid w:val="00804C47"/>
    <w:rsid w:val="00806662"/>
    <w:rsid w:val="00837F97"/>
    <w:rsid w:val="008B50CB"/>
    <w:rsid w:val="008C0159"/>
    <w:rsid w:val="008D413F"/>
    <w:rsid w:val="008E4462"/>
    <w:rsid w:val="008F55A4"/>
    <w:rsid w:val="00924274"/>
    <w:rsid w:val="00931C26"/>
    <w:rsid w:val="00964455"/>
    <w:rsid w:val="0097483C"/>
    <w:rsid w:val="00981DD8"/>
    <w:rsid w:val="009F5D30"/>
    <w:rsid w:val="00A2060E"/>
    <w:rsid w:val="00A24874"/>
    <w:rsid w:val="00A67F90"/>
    <w:rsid w:val="00A773DB"/>
    <w:rsid w:val="00A93DE9"/>
    <w:rsid w:val="00A94474"/>
    <w:rsid w:val="00AA2084"/>
    <w:rsid w:val="00AB33BB"/>
    <w:rsid w:val="00B36DF8"/>
    <w:rsid w:val="00B40BAA"/>
    <w:rsid w:val="00BC7B6B"/>
    <w:rsid w:val="00BF4C94"/>
    <w:rsid w:val="00C07099"/>
    <w:rsid w:val="00C12516"/>
    <w:rsid w:val="00C13462"/>
    <w:rsid w:val="00C1667A"/>
    <w:rsid w:val="00C23320"/>
    <w:rsid w:val="00C657AB"/>
    <w:rsid w:val="00C73F08"/>
    <w:rsid w:val="00C80E70"/>
    <w:rsid w:val="00CE230C"/>
    <w:rsid w:val="00CE3518"/>
    <w:rsid w:val="00D446D8"/>
    <w:rsid w:val="00D561FB"/>
    <w:rsid w:val="00D6067E"/>
    <w:rsid w:val="00D6336B"/>
    <w:rsid w:val="00D750C6"/>
    <w:rsid w:val="00D86627"/>
    <w:rsid w:val="00D911A4"/>
    <w:rsid w:val="00D92B21"/>
    <w:rsid w:val="00DB3768"/>
    <w:rsid w:val="00DB5B79"/>
    <w:rsid w:val="00DE5D6C"/>
    <w:rsid w:val="00DF19D9"/>
    <w:rsid w:val="00E343D2"/>
    <w:rsid w:val="00E634A1"/>
    <w:rsid w:val="00EB2FB8"/>
    <w:rsid w:val="00EB5EA2"/>
    <w:rsid w:val="00EC65AF"/>
    <w:rsid w:val="00EC6B1F"/>
    <w:rsid w:val="00EF35D8"/>
    <w:rsid w:val="00F16934"/>
    <w:rsid w:val="00F205F0"/>
    <w:rsid w:val="00F434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47CDA"/>
    <w:pPr>
      <w:spacing w:before="100" w:beforeAutospacing="1" w:after="100" w:afterAutospacing="1"/>
    </w:pPr>
    <w:rPr>
      <w:rFonts w:ascii="Times New Roman" w:eastAsiaTheme="minorHAnsi"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295455973">
      <w:bodyDiv w:val="1"/>
      <w:marLeft w:val="0"/>
      <w:marRight w:val="0"/>
      <w:marTop w:val="0"/>
      <w:marBottom w:val="0"/>
      <w:divBdr>
        <w:top w:val="none" w:sz="0" w:space="0" w:color="auto"/>
        <w:left w:val="none" w:sz="0" w:space="0" w:color="auto"/>
        <w:bottom w:val="none" w:sz="0" w:space="0" w:color="auto"/>
        <w:right w:val="none" w:sz="0" w:space="0" w:color="auto"/>
      </w:divBdr>
    </w:div>
    <w:div w:id="688526856">
      <w:bodyDiv w:val="1"/>
      <w:marLeft w:val="0"/>
      <w:marRight w:val="0"/>
      <w:marTop w:val="0"/>
      <w:marBottom w:val="0"/>
      <w:divBdr>
        <w:top w:val="none" w:sz="0" w:space="0" w:color="auto"/>
        <w:left w:val="none" w:sz="0" w:space="0" w:color="auto"/>
        <w:bottom w:val="none" w:sz="0" w:space="0" w:color="auto"/>
        <w:right w:val="none" w:sz="0" w:space="0" w:color="auto"/>
      </w:divBdr>
    </w:div>
    <w:div w:id="854880132">
      <w:bodyDiv w:val="1"/>
      <w:marLeft w:val="0"/>
      <w:marRight w:val="0"/>
      <w:marTop w:val="0"/>
      <w:marBottom w:val="0"/>
      <w:divBdr>
        <w:top w:val="none" w:sz="0" w:space="0" w:color="auto"/>
        <w:left w:val="none" w:sz="0" w:space="0" w:color="auto"/>
        <w:bottom w:val="none" w:sz="0" w:space="0" w:color="auto"/>
        <w:right w:val="none" w:sz="0" w:space="0" w:color="auto"/>
      </w:divBdr>
    </w:div>
    <w:div w:id="967010224">
      <w:bodyDiv w:val="1"/>
      <w:marLeft w:val="0"/>
      <w:marRight w:val="0"/>
      <w:marTop w:val="0"/>
      <w:marBottom w:val="0"/>
      <w:divBdr>
        <w:top w:val="none" w:sz="0" w:space="0" w:color="auto"/>
        <w:left w:val="none" w:sz="0" w:space="0" w:color="auto"/>
        <w:bottom w:val="none" w:sz="0" w:space="0" w:color="auto"/>
        <w:right w:val="none" w:sz="0" w:space="0" w:color="auto"/>
      </w:divBdr>
    </w:div>
    <w:div w:id="995567256">
      <w:bodyDiv w:val="1"/>
      <w:marLeft w:val="0"/>
      <w:marRight w:val="0"/>
      <w:marTop w:val="0"/>
      <w:marBottom w:val="0"/>
      <w:divBdr>
        <w:top w:val="none" w:sz="0" w:space="0" w:color="auto"/>
        <w:left w:val="none" w:sz="0" w:space="0" w:color="auto"/>
        <w:bottom w:val="none" w:sz="0" w:space="0" w:color="auto"/>
        <w:right w:val="none" w:sz="0" w:space="0" w:color="auto"/>
      </w:divBdr>
    </w:div>
    <w:div w:id="1146631719">
      <w:bodyDiv w:val="1"/>
      <w:marLeft w:val="0"/>
      <w:marRight w:val="0"/>
      <w:marTop w:val="0"/>
      <w:marBottom w:val="0"/>
      <w:divBdr>
        <w:top w:val="none" w:sz="0" w:space="0" w:color="auto"/>
        <w:left w:val="none" w:sz="0" w:space="0" w:color="auto"/>
        <w:bottom w:val="none" w:sz="0" w:space="0" w:color="auto"/>
        <w:right w:val="none" w:sz="0" w:space="0" w:color="auto"/>
      </w:divBdr>
    </w:div>
    <w:div w:id="1377586953">
      <w:bodyDiv w:val="1"/>
      <w:marLeft w:val="0"/>
      <w:marRight w:val="0"/>
      <w:marTop w:val="0"/>
      <w:marBottom w:val="0"/>
      <w:divBdr>
        <w:top w:val="none" w:sz="0" w:space="0" w:color="auto"/>
        <w:left w:val="none" w:sz="0" w:space="0" w:color="auto"/>
        <w:bottom w:val="none" w:sz="0" w:space="0" w:color="auto"/>
        <w:right w:val="none" w:sz="0" w:space="0" w:color="auto"/>
      </w:divBdr>
    </w:div>
    <w:div w:id="1449472217">
      <w:bodyDiv w:val="1"/>
      <w:marLeft w:val="0"/>
      <w:marRight w:val="0"/>
      <w:marTop w:val="0"/>
      <w:marBottom w:val="0"/>
      <w:divBdr>
        <w:top w:val="none" w:sz="0" w:space="0" w:color="auto"/>
        <w:left w:val="none" w:sz="0" w:space="0" w:color="auto"/>
        <w:bottom w:val="none" w:sz="0" w:space="0" w:color="auto"/>
        <w:right w:val="none" w:sz="0" w:space="0" w:color="auto"/>
      </w:divBdr>
    </w:div>
    <w:div w:id="1484853690">
      <w:bodyDiv w:val="1"/>
      <w:marLeft w:val="0"/>
      <w:marRight w:val="0"/>
      <w:marTop w:val="0"/>
      <w:marBottom w:val="0"/>
      <w:divBdr>
        <w:top w:val="none" w:sz="0" w:space="0" w:color="auto"/>
        <w:left w:val="none" w:sz="0" w:space="0" w:color="auto"/>
        <w:bottom w:val="none" w:sz="0" w:space="0" w:color="auto"/>
        <w:right w:val="none" w:sz="0" w:space="0" w:color="auto"/>
      </w:divBdr>
    </w:div>
    <w:div w:id="1612859117">
      <w:bodyDiv w:val="1"/>
      <w:marLeft w:val="0"/>
      <w:marRight w:val="0"/>
      <w:marTop w:val="0"/>
      <w:marBottom w:val="0"/>
      <w:divBdr>
        <w:top w:val="none" w:sz="0" w:space="0" w:color="auto"/>
        <w:left w:val="none" w:sz="0" w:space="0" w:color="auto"/>
        <w:bottom w:val="none" w:sz="0" w:space="0" w:color="auto"/>
        <w:right w:val="none" w:sz="0" w:space="0" w:color="auto"/>
      </w:divBdr>
    </w:div>
    <w:div w:id="1636063517">
      <w:bodyDiv w:val="1"/>
      <w:marLeft w:val="0"/>
      <w:marRight w:val="0"/>
      <w:marTop w:val="0"/>
      <w:marBottom w:val="0"/>
      <w:divBdr>
        <w:top w:val="none" w:sz="0" w:space="0" w:color="auto"/>
        <w:left w:val="none" w:sz="0" w:space="0" w:color="auto"/>
        <w:bottom w:val="none" w:sz="0" w:space="0" w:color="auto"/>
        <w:right w:val="none" w:sz="0" w:space="0" w:color="auto"/>
      </w:divBdr>
    </w:div>
    <w:div w:id="1901821501">
      <w:bodyDiv w:val="1"/>
      <w:marLeft w:val="0"/>
      <w:marRight w:val="0"/>
      <w:marTop w:val="0"/>
      <w:marBottom w:val="0"/>
      <w:divBdr>
        <w:top w:val="none" w:sz="0" w:space="0" w:color="auto"/>
        <w:left w:val="none" w:sz="0" w:space="0" w:color="auto"/>
        <w:bottom w:val="none" w:sz="0" w:space="0" w:color="auto"/>
        <w:right w:val="none" w:sz="0" w:space="0" w:color="auto"/>
      </w:divBdr>
    </w:div>
    <w:div w:id="2043044160">
      <w:bodyDiv w:val="1"/>
      <w:marLeft w:val="0"/>
      <w:marRight w:val="0"/>
      <w:marTop w:val="0"/>
      <w:marBottom w:val="0"/>
      <w:divBdr>
        <w:top w:val="none" w:sz="0" w:space="0" w:color="auto"/>
        <w:left w:val="none" w:sz="0" w:space="0" w:color="auto"/>
        <w:bottom w:val="none" w:sz="0" w:space="0" w:color="auto"/>
        <w:right w:val="none" w:sz="0" w:space="0" w:color="auto"/>
      </w:divBdr>
    </w:div>
    <w:div w:id="208063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jvisscher@smmt.co.uk" TargetMode="External"/><Relationship Id="rId2" Type="http://schemas.openxmlformats.org/officeDocument/2006/relationships/hyperlink" Target="mailto:bfoulds@smmt.co.uk" TargetMode="External"/><Relationship Id="rId1" Type="http://schemas.openxmlformats.org/officeDocument/2006/relationships/hyperlink" Target="http://sendgrid.info/wf/click?upn=J6qBPRVgziwoCR2OIJDNfVjbOO-2F8wEwkpwg8EJt-2BUlZAVZJzdnWw9AFm2nVssXGi_cwoBLrI9VivVVYhbIeLtGEKvezXd14DzyxDVWoYv6giB0Dl197y7EwPUNeXTIbXdbK0rrcYqD3u6lEHAgC8FQzbJc7IBnGlF67pKqDVakCSSAvKBNalF7yFt8llnvVQyDJHErLhT7Wo-2B4UjX87Er8XSZmKwrYkC9kxinKW6kHWcXb7md1ITpCd5Qlx0xdrTUrnu7KTr5mIKLY6kYJGp8rLcTelPVq-2FXG9AB7EtsGJyFKPydreDNZ-2BijKthaht6hyOxliwUUQK2E8pDSMOAGr0nis6MqrIFkcMgEIn9YffC1S4QhcnBNIYS2jPMLJTss3iCgFCEzQWFFEUD-2BJsvsjfA-3D-3D" TargetMode="External"/><Relationship Id="rId4" Type="http://schemas.openxmlformats.org/officeDocument/2006/relationships/hyperlink" Target="mailto:klewis@smm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GPS-SRV06\SMMTData\PPVL\TEAMS\ECONOMICS\UKASSEMBLY\ANALY-MONITOR\PR-HEADLINE-CARCVOUT2013-(OCT).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PS-SRV06\SMMTData\PPVL\TEAMS\ECONOMICS\UKASSEMBLY\ANALY-MONITOR\PR-HEADLINE-CARCVOUT2013-(OCT).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PS-SRV06\SMMTData\PPVL\TEAMS\ECONOMICS\UKASSEMBLY\ANALY-MONITOR\PR-HEADLINE-CARCVOUT2013-(OCT).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PS-SRV06\SMMTData\PPVL\TEAMS\ECONOMICS\UKASSEMBLY\ANALY-MONITOR\PR-HEADLINE-CARCVOUT2013-(OCT).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PS-SRV06\SMMTData\PPVL\TEAMS\ECONOMICS\UKASSEMBLY\ENGINES\UK-ENGINE-ASSEMBLY-Sept1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GPS-SRV06\SMMTData\PPVL\TEAMS\ECONOMICS\UKASSEMBLY\ENGINES\UK-ENGINE-ASSEMBLY-Sept1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0.23025238935807343"/>
          <c:y val="8.1259547797833745E-2"/>
          <c:w val="0.68360047619225361"/>
          <c:h val="0.81409889557074577"/>
        </c:manualLayout>
      </c:layout>
      <c:lineChart>
        <c:grouping val="standard"/>
        <c:ser>
          <c:idx val="0"/>
          <c:order val="0"/>
          <c:tx>
            <c:strRef>
              <c:f>'PR&amp;12MONTHROLL-CHARTS'!$B$4</c:f>
              <c:strCache>
                <c:ptCount val="1"/>
                <c:pt idx="0">
                  <c:v>Total Car</c:v>
                </c:pt>
              </c:strCache>
            </c:strRef>
          </c:tx>
          <c:spPr>
            <a:ln>
              <a:solidFill>
                <a:schemeClr val="tx2">
                  <a:lumMod val="75000"/>
                </a:schemeClr>
              </a:solidFill>
            </a:ln>
          </c:spPr>
          <c:marker>
            <c:symbol val="none"/>
          </c:marker>
          <c:cat>
            <c:strRef>
              <c:f>'PR&amp;12MONTHROLL-CHARTS'!$C$3:$CH$3</c:f>
              <c:strCache>
                <c:ptCount val="73"/>
                <c:pt idx="0">
                  <c:v>'07</c:v>
                </c:pt>
                <c:pt idx="12">
                  <c:v>'08</c:v>
                </c:pt>
                <c:pt idx="24">
                  <c:v>'09</c:v>
                </c:pt>
                <c:pt idx="36">
                  <c:v>'10</c:v>
                </c:pt>
                <c:pt idx="48">
                  <c:v>'11</c:v>
                </c:pt>
                <c:pt idx="60">
                  <c:v>'12</c:v>
                </c:pt>
                <c:pt idx="72">
                  <c:v>'13</c:v>
                </c:pt>
              </c:strCache>
            </c:strRef>
          </c:cat>
          <c:val>
            <c:numRef>
              <c:f>'PR&amp;12MONTHROLL-CHARTS'!$C$4:$CH$4</c:f>
              <c:numCache>
                <c:formatCode>General</c:formatCode>
                <c:ptCount val="84"/>
                <c:pt idx="0">
                  <c:v>1447.1529999999998</c:v>
                </c:pt>
                <c:pt idx="1">
                  <c:v>1431.6109999999999</c:v>
                </c:pt>
                <c:pt idx="2">
                  <c:v>1410.6589999999999</c:v>
                </c:pt>
                <c:pt idx="3">
                  <c:v>1412.5039999999999</c:v>
                </c:pt>
                <c:pt idx="4">
                  <c:v>1408.6849999999981</c:v>
                </c:pt>
                <c:pt idx="5">
                  <c:v>1406.8619999999999</c:v>
                </c:pt>
                <c:pt idx="6">
                  <c:v>1418.768</c:v>
                </c:pt>
                <c:pt idx="7">
                  <c:v>1446.009</c:v>
                </c:pt>
                <c:pt idx="8">
                  <c:v>1462.98</c:v>
                </c:pt>
                <c:pt idx="9">
                  <c:v>1499.0650000000001</c:v>
                </c:pt>
                <c:pt idx="10">
                  <c:v>1516.7380000000001</c:v>
                </c:pt>
                <c:pt idx="11">
                  <c:v>1534.567</c:v>
                </c:pt>
                <c:pt idx="12">
                  <c:v>1559.021</c:v>
                </c:pt>
                <c:pt idx="13">
                  <c:v>1589.1929999999998</c:v>
                </c:pt>
                <c:pt idx="14">
                  <c:v>1578.221</c:v>
                </c:pt>
                <c:pt idx="15">
                  <c:v>1610.53</c:v>
                </c:pt>
                <c:pt idx="16">
                  <c:v>1600.8989999999999</c:v>
                </c:pt>
                <c:pt idx="17">
                  <c:v>1594.8639999999998</c:v>
                </c:pt>
                <c:pt idx="18">
                  <c:v>1596.2080000000001</c:v>
                </c:pt>
                <c:pt idx="19">
                  <c:v>1578.866</c:v>
                </c:pt>
                <c:pt idx="20">
                  <c:v>1582.1889999999999</c:v>
                </c:pt>
                <c:pt idx="21">
                  <c:v>1544.019</c:v>
                </c:pt>
                <c:pt idx="22">
                  <c:v>1495.3869999999999</c:v>
                </c:pt>
                <c:pt idx="23">
                  <c:v>1446.6189999999999</c:v>
                </c:pt>
                <c:pt idx="24">
                  <c:v>1359.3789999999999</c:v>
                </c:pt>
                <c:pt idx="25">
                  <c:v>1273.3329999999999</c:v>
                </c:pt>
                <c:pt idx="26">
                  <c:v>1208.098</c:v>
                </c:pt>
                <c:pt idx="27">
                  <c:v>1123.6299999999999</c:v>
                </c:pt>
                <c:pt idx="28">
                  <c:v>1072.518</c:v>
                </c:pt>
                <c:pt idx="29">
                  <c:v>1032.768</c:v>
                </c:pt>
                <c:pt idx="30">
                  <c:v>1009.3649999999991</c:v>
                </c:pt>
                <c:pt idx="31">
                  <c:v>983.24400000000003</c:v>
                </c:pt>
                <c:pt idx="32">
                  <c:v>960.25400000000002</c:v>
                </c:pt>
                <c:pt idx="33">
                  <c:v>952.62300000000005</c:v>
                </c:pt>
                <c:pt idx="34">
                  <c:v>967.96699999999896</c:v>
                </c:pt>
                <c:pt idx="35">
                  <c:v>999.45999999999947</c:v>
                </c:pt>
                <c:pt idx="36">
                  <c:v>1039.2460000000001</c:v>
                </c:pt>
                <c:pt idx="37">
                  <c:v>1076.7239999999999</c:v>
                </c:pt>
                <c:pt idx="38">
                  <c:v>1132.5170000000001</c:v>
                </c:pt>
                <c:pt idx="39">
                  <c:v>1162.549</c:v>
                </c:pt>
                <c:pt idx="40">
                  <c:v>1199.1599999999999</c:v>
                </c:pt>
                <c:pt idx="41">
                  <c:v>1225.3799999999999</c:v>
                </c:pt>
                <c:pt idx="42">
                  <c:v>1214.5050000000001</c:v>
                </c:pt>
                <c:pt idx="43">
                  <c:v>1235.6499999999999</c:v>
                </c:pt>
                <c:pt idx="44">
                  <c:v>1242.5819999999999</c:v>
                </c:pt>
                <c:pt idx="45">
                  <c:v>1248.953</c:v>
                </c:pt>
                <c:pt idx="46">
                  <c:v>1261.4349999999999</c:v>
                </c:pt>
                <c:pt idx="47">
                  <c:v>1270.444</c:v>
                </c:pt>
                <c:pt idx="48">
                  <c:v>1279.4490000000001</c:v>
                </c:pt>
                <c:pt idx="49">
                  <c:v>1294.1769999999999</c:v>
                </c:pt>
                <c:pt idx="50">
                  <c:v>1311.607</c:v>
                </c:pt>
                <c:pt idx="51">
                  <c:v>1299.6229999999998</c:v>
                </c:pt>
                <c:pt idx="52">
                  <c:v>1294.538</c:v>
                </c:pt>
                <c:pt idx="53">
                  <c:v>1296.636</c:v>
                </c:pt>
                <c:pt idx="54">
                  <c:v>1297.9290000000001</c:v>
                </c:pt>
                <c:pt idx="55">
                  <c:v>1306.297</c:v>
                </c:pt>
                <c:pt idx="56">
                  <c:v>1315.8</c:v>
                </c:pt>
                <c:pt idx="57">
                  <c:v>1331.6559999999999</c:v>
                </c:pt>
                <c:pt idx="58">
                  <c:v>1342.337</c:v>
                </c:pt>
                <c:pt idx="59">
                  <c:v>1343.81</c:v>
                </c:pt>
                <c:pt idx="60">
                  <c:v>1361.165</c:v>
                </c:pt>
                <c:pt idx="61">
                  <c:v>1387.665</c:v>
                </c:pt>
                <c:pt idx="62">
                  <c:v>1388.0050000000001</c:v>
                </c:pt>
                <c:pt idx="63">
                  <c:v>1396.0509999999999</c:v>
                </c:pt>
                <c:pt idx="64">
                  <c:v>1437.9170000000001</c:v>
                </c:pt>
                <c:pt idx="65">
                  <c:v>1437.0739999999998</c:v>
                </c:pt>
                <c:pt idx="66">
                  <c:v>1459.3709999999999</c:v>
                </c:pt>
                <c:pt idx="67">
                  <c:v>1451.6979999999999</c:v>
                </c:pt>
                <c:pt idx="68">
                  <c:v>1443.876</c:v>
                </c:pt>
                <c:pt idx="69">
                  <c:v>1452.25</c:v>
                </c:pt>
                <c:pt idx="70">
                  <c:v>1458.9639999999999</c:v>
                </c:pt>
                <c:pt idx="71">
                  <c:v>1464.9060000000011</c:v>
                </c:pt>
                <c:pt idx="72">
                  <c:v>1466.4050000000011</c:v>
                </c:pt>
                <c:pt idx="73">
                  <c:v>1465.3799999999999</c:v>
                </c:pt>
                <c:pt idx="74">
                  <c:v>1456.8969999999999</c:v>
                </c:pt>
                <c:pt idx="75">
                  <c:v>1472.578</c:v>
                </c:pt>
                <c:pt idx="76">
                  <c:v>1460.787</c:v>
                </c:pt>
                <c:pt idx="77">
                  <c:v>1473.1799999999998</c:v>
                </c:pt>
                <c:pt idx="78">
                  <c:v>1481.6619999999998</c:v>
                </c:pt>
                <c:pt idx="79">
                  <c:v>1494.367</c:v>
                </c:pt>
                <c:pt idx="80">
                  <c:v>1507.0260000000001</c:v>
                </c:pt>
                <c:pt idx="81">
                  <c:v>1530.8519999999999</c:v>
                </c:pt>
              </c:numCache>
            </c:numRef>
          </c:val>
        </c:ser>
        <c:ser>
          <c:idx val="1"/>
          <c:order val="1"/>
          <c:tx>
            <c:strRef>
              <c:f>'PR&amp;12MONTHROLL-CHARTS'!$B$5</c:f>
              <c:strCache>
                <c:ptCount val="1"/>
                <c:pt idx="0">
                  <c:v>Car Exports</c:v>
                </c:pt>
              </c:strCache>
            </c:strRef>
          </c:tx>
          <c:spPr>
            <a:ln>
              <a:solidFill>
                <a:schemeClr val="tx2">
                  <a:lumMod val="40000"/>
                  <a:lumOff val="60000"/>
                </a:schemeClr>
              </a:solidFill>
            </a:ln>
          </c:spPr>
          <c:marker>
            <c:symbol val="none"/>
          </c:marker>
          <c:cat>
            <c:strRef>
              <c:f>'PR&amp;12MONTHROLL-CHARTS'!$C$3:$CH$3</c:f>
              <c:strCache>
                <c:ptCount val="73"/>
                <c:pt idx="0">
                  <c:v>'07</c:v>
                </c:pt>
                <c:pt idx="12">
                  <c:v>'08</c:v>
                </c:pt>
                <c:pt idx="24">
                  <c:v>'09</c:v>
                </c:pt>
                <c:pt idx="36">
                  <c:v>'10</c:v>
                </c:pt>
                <c:pt idx="48">
                  <c:v>'11</c:v>
                </c:pt>
                <c:pt idx="60">
                  <c:v>'12</c:v>
                </c:pt>
                <c:pt idx="72">
                  <c:v>'13</c:v>
                </c:pt>
              </c:strCache>
            </c:strRef>
          </c:cat>
          <c:val>
            <c:numRef>
              <c:f>'PR&amp;12MONTHROLL-CHARTS'!$C$5:$CH$5</c:f>
              <c:numCache>
                <c:formatCode>General</c:formatCode>
                <c:ptCount val="84"/>
                <c:pt idx="0">
                  <c:v>1114.518</c:v>
                </c:pt>
                <c:pt idx="1">
                  <c:v>1104.2639999999999</c:v>
                </c:pt>
                <c:pt idx="2">
                  <c:v>1084.7049999999999</c:v>
                </c:pt>
                <c:pt idx="3">
                  <c:v>1084.068</c:v>
                </c:pt>
                <c:pt idx="4">
                  <c:v>1081.6789999999999</c:v>
                </c:pt>
                <c:pt idx="5">
                  <c:v>1083.6509999999998</c:v>
                </c:pt>
                <c:pt idx="6">
                  <c:v>1093.01</c:v>
                </c:pt>
                <c:pt idx="7">
                  <c:v>1110.5709999999999</c:v>
                </c:pt>
                <c:pt idx="8">
                  <c:v>1122.7260000000001</c:v>
                </c:pt>
                <c:pt idx="9">
                  <c:v>1151.279</c:v>
                </c:pt>
                <c:pt idx="10">
                  <c:v>1167.6849999999981</c:v>
                </c:pt>
                <c:pt idx="11">
                  <c:v>1185.4590000000001</c:v>
                </c:pt>
                <c:pt idx="12">
                  <c:v>1202.5839999999998</c:v>
                </c:pt>
                <c:pt idx="13">
                  <c:v>1228.625</c:v>
                </c:pt>
                <c:pt idx="14">
                  <c:v>1226.4100000000001</c:v>
                </c:pt>
                <c:pt idx="15">
                  <c:v>1252.585</c:v>
                </c:pt>
                <c:pt idx="16">
                  <c:v>1242.4749999999999</c:v>
                </c:pt>
                <c:pt idx="17">
                  <c:v>1234.6959999999999</c:v>
                </c:pt>
                <c:pt idx="18">
                  <c:v>1234.9680000000001</c:v>
                </c:pt>
                <c:pt idx="19">
                  <c:v>1225.3579999999999</c:v>
                </c:pt>
                <c:pt idx="20">
                  <c:v>1231.2439999999999</c:v>
                </c:pt>
                <c:pt idx="21">
                  <c:v>1201.3009999999999</c:v>
                </c:pt>
                <c:pt idx="22">
                  <c:v>1165.7170000000001</c:v>
                </c:pt>
                <c:pt idx="23">
                  <c:v>1128.586</c:v>
                </c:pt>
                <c:pt idx="24">
                  <c:v>1067.8409999999999</c:v>
                </c:pt>
                <c:pt idx="25">
                  <c:v>1003.4599999999994</c:v>
                </c:pt>
                <c:pt idx="26">
                  <c:v>951.97</c:v>
                </c:pt>
                <c:pt idx="27">
                  <c:v>887.52599999999939</c:v>
                </c:pt>
                <c:pt idx="28">
                  <c:v>848.56499999999949</c:v>
                </c:pt>
                <c:pt idx="29">
                  <c:v>819.971</c:v>
                </c:pt>
                <c:pt idx="30">
                  <c:v>801.24800000000005</c:v>
                </c:pt>
                <c:pt idx="31">
                  <c:v>778.755</c:v>
                </c:pt>
                <c:pt idx="32">
                  <c:v>743.75099999999998</c:v>
                </c:pt>
                <c:pt idx="33">
                  <c:v>737.03599999999949</c:v>
                </c:pt>
                <c:pt idx="34">
                  <c:v>742.12099999999998</c:v>
                </c:pt>
                <c:pt idx="35">
                  <c:v>762.23400000000004</c:v>
                </c:pt>
                <c:pt idx="36">
                  <c:v>784.01499999999999</c:v>
                </c:pt>
                <c:pt idx="37">
                  <c:v>807.88</c:v>
                </c:pt>
                <c:pt idx="38">
                  <c:v>846.79900000000055</c:v>
                </c:pt>
                <c:pt idx="39">
                  <c:v>862.95899999999949</c:v>
                </c:pt>
                <c:pt idx="40">
                  <c:v>883.37900000000002</c:v>
                </c:pt>
                <c:pt idx="41">
                  <c:v>895.63599999999997</c:v>
                </c:pt>
                <c:pt idx="42">
                  <c:v>886.52199999999948</c:v>
                </c:pt>
                <c:pt idx="43">
                  <c:v>905.96299999999871</c:v>
                </c:pt>
                <c:pt idx="44">
                  <c:v>922.69299999999998</c:v>
                </c:pt>
                <c:pt idx="45">
                  <c:v>928.3359999999991</c:v>
                </c:pt>
                <c:pt idx="46">
                  <c:v>946.99900000000002</c:v>
                </c:pt>
                <c:pt idx="47">
                  <c:v>961.42</c:v>
                </c:pt>
                <c:pt idx="48">
                  <c:v>982.45899999999949</c:v>
                </c:pt>
                <c:pt idx="49">
                  <c:v>1005.0119999999994</c:v>
                </c:pt>
                <c:pt idx="50">
                  <c:v>1029.3819999999998</c:v>
                </c:pt>
                <c:pt idx="51">
                  <c:v>1030.5829999999999</c:v>
                </c:pt>
                <c:pt idx="52">
                  <c:v>1038.749</c:v>
                </c:pt>
                <c:pt idx="53">
                  <c:v>1051.087</c:v>
                </c:pt>
                <c:pt idx="54">
                  <c:v>1062.3429999999998</c:v>
                </c:pt>
                <c:pt idx="55">
                  <c:v>1072.626</c:v>
                </c:pt>
                <c:pt idx="56">
                  <c:v>1092.9190000000001</c:v>
                </c:pt>
                <c:pt idx="57">
                  <c:v>1111.2160000000001</c:v>
                </c:pt>
                <c:pt idx="58">
                  <c:v>1124.2280000000001</c:v>
                </c:pt>
                <c:pt idx="59">
                  <c:v>1124.6759999999999</c:v>
                </c:pt>
                <c:pt idx="60">
                  <c:v>1136.7739999999999</c:v>
                </c:pt>
                <c:pt idx="61">
                  <c:v>1156.9939999999999</c:v>
                </c:pt>
                <c:pt idx="62">
                  <c:v>1154.95</c:v>
                </c:pt>
                <c:pt idx="63">
                  <c:v>1162.258</c:v>
                </c:pt>
                <c:pt idx="64">
                  <c:v>1199.8119999999999</c:v>
                </c:pt>
                <c:pt idx="65">
                  <c:v>1199.9050000000011</c:v>
                </c:pt>
                <c:pt idx="66">
                  <c:v>1217.319</c:v>
                </c:pt>
                <c:pt idx="67">
                  <c:v>1211.8429999999998</c:v>
                </c:pt>
                <c:pt idx="68">
                  <c:v>1201.8609999999999</c:v>
                </c:pt>
                <c:pt idx="69">
                  <c:v>1207.1529999999998</c:v>
                </c:pt>
                <c:pt idx="70">
                  <c:v>1208.6089999999999</c:v>
                </c:pt>
                <c:pt idx="71">
                  <c:v>1211.788</c:v>
                </c:pt>
                <c:pt idx="72">
                  <c:v>1207.7360000000001</c:v>
                </c:pt>
                <c:pt idx="73">
                  <c:v>1196.6879999999999</c:v>
                </c:pt>
                <c:pt idx="74">
                  <c:v>1187.8029999999999</c:v>
                </c:pt>
                <c:pt idx="75">
                  <c:v>1194.6219999999998</c:v>
                </c:pt>
                <c:pt idx="76">
                  <c:v>1179.846</c:v>
                </c:pt>
                <c:pt idx="77">
                  <c:v>1188.1099999999999</c:v>
                </c:pt>
                <c:pt idx="78">
                  <c:v>1188.7139999999999</c:v>
                </c:pt>
                <c:pt idx="79">
                  <c:v>1197.886</c:v>
                </c:pt>
                <c:pt idx="80">
                  <c:v>1207.4170000000001</c:v>
                </c:pt>
                <c:pt idx="81">
                  <c:v>1220.7</c:v>
                </c:pt>
              </c:numCache>
            </c:numRef>
          </c:val>
        </c:ser>
        <c:marker val="1"/>
        <c:axId val="54658176"/>
        <c:axId val="54673408"/>
      </c:lineChart>
      <c:catAx>
        <c:axId val="54658176"/>
        <c:scaling>
          <c:orientation val="minMax"/>
        </c:scaling>
        <c:axPos val="b"/>
        <c:numFmt formatCode="General" sourceLinked="1"/>
        <c:tickLblPos val="nextTo"/>
        <c:txPr>
          <a:bodyPr rot="60000" vert="horz"/>
          <a:lstStyle/>
          <a:p>
            <a:pPr>
              <a:defRPr sz="1000" b="0" i="0" u="none" strike="noStrike" baseline="0">
                <a:solidFill>
                  <a:srgbClr val="000000"/>
                </a:solidFill>
                <a:latin typeface="Arial"/>
                <a:ea typeface="Arial"/>
                <a:cs typeface="Arial"/>
              </a:defRPr>
            </a:pPr>
            <a:endParaRPr lang="en-US"/>
          </a:p>
        </c:txPr>
        <c:crossAx val="54673408"/>
        <c:crosses val="autoZero"/>
        <c:auto val="1"/>
        <c:lblAlgn val="ctr"/>
        <c:lblOffset val="100"/>
        <c:tickMarkSkip val="12"/>
      </c:catAx>
      <c:valAx>
        <c:axId val="54673408"/>
        <c:scaling>
          <c:orientation val="minMax"/>
          <c:min val="600"/>
        </c:scaling>
        <c:axPos val="l"/>
        <c:majorGridlines/>
        <c:title>
          <c:tx>
            <c:rich>
              <a:bodyPr/>
              <a:lstStyle/>
              <a:p>
                <a:pPr>
                  <a:defRPr sz="800" b="0" i="0" u="none" strike="noStrike" baseline="0">
                    <a:solidFill>
                      <a:srgbClr val="000000"/>
                    </a:solidFill>
                    <a:latin typeface="Arial"/>
                    <a:ea typeface="Arial"/>
                    <a:cs typeface="Arial"/>
                  </a:defRPr>
                </a:pPr>
                <a:r>
                  <a:rPr lang="en-GB"/>
                  <a:t>Thousands</a:t>
                </a:r>
              </a:p>
            </c:rich>
          </c:tx>
          <c:layout>
            <c:manualLayout>
              <c:xMode val="edge"/>
              <c:yMode val="edge"/>
              <c:x val="1.230761929432891E-3"/>
              <c:y val="0.40140172825717402"/>
            </c:manualLayout>
          </c:layout>
        </c:title>
        <c:numFmt formatCode="General" sourceLinked="1"/>
        <c:tickLblPos val="nextTo"/>
        <c:txPr>
          <a:bodyPr rot="0" vert="horz"/>
          <a:lstStyle/>
          <a:p>
            <a:pPr>
              <a:defRPr sz="1000" b="0" i="0" u="none" strike="noStrike" baseline="0">
                <a:solidFill>
                  <a:srgbClr val="000000"/>
                </a:solidFill>
                <a:latin typeface="Arial"/>
                <a:ea typeface="Arial"/>
                <a:cs typeface="Arial"/>
              </a:defRPr>
            </a:pPr>
            <a:endParaRPr lang="en-US"/>
          </a:p>
        </c:txPr>
        <c:crossAx val="54658176"/>
        <c:crosses val="autoZero"/>
        <c:crossBetween val="between"/>
      </c:valAx>
    </c:plotArea>
    <c:legend>
      <c:legendPos val="r"/>
      <c:layout>
        <c:manualLayout>
          <c:xMode val="edge"/>
          <c:yMode val="edge"/>
          <c:x val="2.250680141364916E-2"/>
          <c:y val="3.2037525056959936E-3"/>
          <c:w val="0.97047346795591849"/>
          <c:h val="7.0693318195314298E-2"/>
        </c:manualLayout>
      </c:layout>
      <c:txPr>
        <a:bodyPr/>
        <a:lstStyle/>
        <a:p>
          <a:pPr>
            <a:defRPr sz="1000" b="0" i="0" u="none" strike="noStrike" baseline="0">
              <a:solidFill>
                <a:srgbClr val="000000"/>
              </a:solidFill>
              <a:latin typeface="Arial"/>
              <a:ea typeface="Arial"/>
              <a:cs typeface="Arial"/>
            </a:defRPr>
          </a:pPr>
          <a:endParaRPr lang="en-US"/>
        </a:p>
      </c:txPr>
    </c:legend>
    <c:plotVisOnly val="1"/>
    <c:dispBlanksAs val="gap"/>
  </c:chart>
  <c:spPr>
    <a:ln>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autoTitleDeleted val="1"/>
    <c:plotArea>
      <c:layout>
        <c:manualLayout>
          <c:layoutTarget val="inner"/>
          <c:xMode val="edge"/>
          <c:yMode val="edge"/>
          <c:x val="0.24310430699174651"/>
          <c:y val="5.3619302949061684E-2"/>
          <c:w val="0.66024333554691195"/>
          <c:h val="0.85915257576717119"/>
        </c:manualLayout>
      </c:layout>
      <c:barChart>
        <c:barDir val="col"/>
        <c:grouping val="clustered"/>
        <c:ser>
          <c:idx val="0"/>
          <c:order val="0"/>
          <c:tx>
            <c:strRef>
              <c:f>'PR chart 2 A'!$B$52</c:f>
              <c:strCache>
                <c:ptCount val="1"/>
                <c:pt idx="0">
                  <c:v>Cars</c:v>
                </c:pt>
              </c:strCache>
            </c:strRef>
          </c:tx>
          <c:spPr>
            <a:solidFill>
              <a:schemeClr val="tx2">
                <a:lumMod val="40000"/>
                <a:lumOff val="60000"/>
              </a:schemeClr>
            </a:solidFill>
            <a:ln>
              <a:solidFill>
                <a:prstClr val="black"/>
              </a:solidFill>
            </a:ln>
          </c:spPr>
          <c:cat>
            <c:strRef>
              <c:f>'PR chart 2 A'!$C$51:$E$51</c:f>
              <c:strCache>
                <c:ptCount val="3"/>
                <c:pt idx="0">
                  <c:v>'11</c:v>
                </c:pt>
                <c:pt idx="1">
                  <c:v>'12</c:v>
                </c:pt>
                <c:pt idx="2">
                  <c:v>'13</c:v>
                </c:pt>
              </c:strCache>
            </c:strRef>
          </c:cat>
          <c:val>
            <c:numRef>
              <c:f>'PR chart 2 A'!$C$52:$E$52</c:f>
              <c:numCache>
                <c:formatCode>General</c:formatCode>
                <c:ptCount val="3"/>
                <c:pt idx="0">
                  <c:v>1111901</c:v>
                </c:pt>
                <c:pt idx="1">
                  <c:v>1220341</c:v>
                </c:pt>
                <c:pt idx="2">
                  <c:v>1286287</c:v>
                </c:pt>
              </c:numCache>
            </c:numRef>
          </c:val>
        </c:ser>
        <c:gapWidth val="48"/>
        <c:axId val="73452928"/>
        <c:axId val="83367424"/>
      </c:barChart>
      <c:catAx>
        <c:axId val="73452928"/>
        <c:scaling>
          <c:orientation val="minMax"/>
        </c:scaling>
        <c:axPos val="b"/>
        <c:numFmt formatCode="General" sourceLinked="1"/>
        <c:tickLblPos val="nextTo"/>
        <c:txPr>
          <a:bodyPr rot="0" vert="horz"/>
          <a:lstStyle/>
          <a:p>
            <a:pPr>
              <a:defRPr sz="1000" b="0" i="0" u="none" strike="noStrike" baseline="0">
                <a:solidFill>
                  <a:srgbClr val="000000"/>
                </a:solidFill>
                <a:latin typeface="Arial"/>
                <a:ea typeface="Arial"/>
                <a:cs typeface="Arial"/>
              </a:defRPr>
            </a:pPr>
            <a:endParaRPr lang="en-US"/>
          </a:p>
        </c:txPr>
        <c:crossAx val="83367424"/>
        <c:crosses val="autoZero"/>
        <c:auto val="1"/>
        <c:lblAlgn val="ctr"/>
        <c:lblOffset val="100"/>
      </c:catAx>
      <c:valAx>
        <c:axId val="83367424"/>
        <c:scaling>
          <c:orientation val="minMax"/>
          <c:max val="1300000"/>
          <c:min val="1000000"/>
        </c:scaling>
        <c:axPos val="l"/>
        <c:majorGridlines/>
        <c:numFmt formatCode="#,##0" sourceLinked="0"/>
        <c:tickLblPos val="nextTo"/>
        <c:txPr>
          <a:bodyPr rot="0" vert="horz"/>
          <a:lstStyle/>
          <a:p>
            <a:pPr>
              <a:defRPr sz="1000" b="0" i="0" u="none" strike="noStrike" baseline="0">
                <a:solidFill>
                  <a:srgbClr val="000000"/>
                </a:solidFill>
                <a:latin typeface="Arial"/>
                <a:ea typeface="Arial"/>
                <a:cs typeface="Arial"/>
              </a:defRPr>
            </a:pPr>
            <a:endParaRPr lang="en-US"/>
          </a:p>
        </c:txPr>
        <c:crossAx val="73452928"/>
        <c:crosses val="autoZero"/>
        <c:crossBetween val="between"/>
        <c:majorUnit val="50000"/>
        <c:dispUnits>
          <c:builtInUnit val="thousands"/>
          <c:dispUnitsLbl>
            <c:layout>
              <c:manualLayout>
                <c:xMode val="edge"/>
                <c:yMode val="edge"/>
                <c:x val="2.9324849781079787E-3"/>
                <c:y val="0.39064781183319258"/>
              </c:manualLayout>
            </c:layout>
            <c:txPr>
              <a:bodyPr rot="-5400000" vert="horz"/>
              <a:lstStyle/>
              <a:p>
                <a:pPr algn="ctr">
                  <a:defRPr sz="800" b="0" i="0" u="none" strike="noStrike" baseline="0">
                    <a:solidFill>
                      <a:srgbClr val="000000"/>
                    </a:solidFill>
                    <a:latin typeface="Arial"/>
                    <a:ea typeface="Arial"/>
                    <a:cs typeface="Arial"/>
                  </a:defRPr>
                </a:pPr>
                <a:endParaRPr lang="en-US"/>
              </a:p>
            </c:txPr>
          </c:dispUnitsLbl>
        </c:dispUnits>
      </c:valAx>
    </c:plotArea>
    <c:plotVisOnly val="1"/>
    <c:dispBlanksAs val="gap"/>
  </c:chart>
  <c:spPr>
    <a:ln>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manualLayout>
          <c:layoutTarget val="inner"/>
          <c:xMode val="edge"/>
          <c:yMode val="edge"/>
          <c:x val="0.16708431292060055"/>
          <c:y val="5.3619302949061684E-2"/>
          <c:w val="0.72764370142803103"/>
          <c:h val="0.83586942094336592"/>
        </c:manualLayout>
      </c:layout>
      <c:barChart>
        <c:barDir val="col"/>
        <c:grouping val="clustered"/>
        <c:ser>
          <c:idx val="0"/>
          <c:order val="0"/>
          <c:tx>
            <c:strRef>
              <c:f>'PR chart 2 A'!$I$52</c:f>
              <c:strCache>
                <c:ptCount val="1"/>
                <c:pt idx="0">
                  <c:v>CVs</c:v>
                </c:pt>
              </c:strCache>
            </c:strRef>
          </c:tx>
          <c:spPr>
            <a:solidFill>
              <a:schemeClr val="tx2">
                <a:lumMod val="40000"/>
                <a:lumOff val="60000"/>
              </a:schemeClr>
            </a:solidFill>
            <a:ln>
              <a:solidFill>
                <a:prstClr val="black"/>
              </a:solidFill>
            </a:ln>
          </c:spPr>
          <c:cat>
            <c:strRef>
              <c:f>'PR chart 2 A'!$J$51:$L$51</c:f>
              <c:strCache>
                <c:ptCount val="3"/>
                <c:pt idx="0">
                  <c:v>'11</c:v>
                </c:pt>
                <c:pt idx="1">
                  <c:v>'12</c:v>
                </c:pt>
                <c:pt idx="2">
                  <c:v>'13</c:v>
                </c:pt>
              </c:strCache>
            </c:strRef>
          </c:cat>
          <c:val>
            <c:numRef>
              <c:f>'PR chart 2 A'!$J$52:$L$52</c:f>
              <c:numCache>
                <c:formatCode>General</c:formatCode>
                <c:ptCount val="3"/>
                <c:pt idx="0">
                  <c:v>100363</c:v>
                </c:pt>
                <c:pt idx="1">
                  <c:v>94214</c:v>
                </c:pt>
                <c:pt idx="2">
                  <c:v>75484</c:v>
                </c:pt>
              </c:numCache>
            </c:numRef>
          </c:val>
        </c:ser>
        <c:gapWidth val="48"/>
        <c:axId val="83507072"/>
        <c:axId val="83508608"/>
      </c:barChart>
      <c:catAx>
        <c:axId val="83507072"/>
        <c:scaling>
          <c:orientation val="minMax"/>
        </c:scaling>
        <c:axPos val="b"/>
        <c:numFmt formatCode="General" sourceLinked="1"/>
        <c:tickLblPos val="nextTo"/>
        <c:txPr>
          <a:bodyPr rot="0" vert="horz"/>
          <a:lstStyle/>
          <a:p>
            <a:pPr>
              <a:defRPr sz="1000" b="0" i="0" u="none" strike="noStrike" baseline="0">
                <a:solidFill>
                  <a:srgbClr val="000000"/>
                </a:solidFill>
                <a:latin typeface="Arial"/>
                <a:ea typeface="Arial"/>
                <a:cs typeface="Arial"/>
              </a:defRPr>
            </a:pPr>
            <a:endParaRPr lang="en-US"/>
          </a:p>
        </c:txPr>
        <c:crossAx val="83508608"/>
        <c:crosses val="autoZero"/>
        <c:auto val="1"/>
        <c:lblAlgn val="ctr"/>
        <c:lblOffset val="100"/>
      </c:catAx>
      <c:valAx>
        <c:axId val="83508608"/>
        <c:scaling>
          <c:orientation val="minMax"/>
          <c:max val="110000"/>
          <c:min val="60000"/>
        </c:scaling>
        <c:axPos val="l"/>
        <c:majorGridlines/>
        <c:numFmt formatCode="#,##0" sourceLinked="0"/>
        <c:tickLblPos val="nextTo"/>
        <c:txPr>
          <a:bodyPr rot="0" vert="horz"/>
          <a:lstStyle/>
          <a:p>
            <a:pPr>
              <a:defRPr sz="1000" b="0" i="0" u="none" strike="noStrike" baseline="0">
                <a:solidFill>
                  <a:srgbClr val="000000"/>
                </a:solidFill>
                <a:latin typeface="Arial"/>
                <a:ea typeface="Arial"/>
                <a:cs typeface="Arial"/>
              </a:defRPr>
            </a:pPr>
            <a:endParaRPr lang="en-US"/>
          </a:p>
        </c:txPr>
        <c:crossAx val="83507072"/>
        <c:crosses val="autoZero"/>
        <c:crossBetween val="between"/>
        <c:majorUnit val="10000"/>
        <c:dispUnits>
          <c:builtInUnit val="thousands"/>
          <c:dispUnitsLbl>
            <c:layout>
              <c:manualLayout>
                <c:xMode val="edge"/>
                <c:yMode val="edge"/>
                <c:x val="0"/>
                <c:y val="0.33767340422645487"/>
              </c:manualLayout>
            </c:layout>
            <c:txPr>
              <a:bodyPr rot="-5400000" vert="horz"/>
              <a:lstStyle/>
              <a:p>
                <a:pPr algn="ctr">
                  <a:defRPr sz="800" b="0" i="0" u="none" strike="noStrike" baseline="0">
                    <a:solidFill>
                      <a:srgbClr val="000000"/>
                    </a:solidFill>
                    <a:latin typeface="Arial"/>
                    <a:ea typeface="Arial"/>
                    <a:cs typeface="Arial"/>
                  </a:defRPr>
                </a:pPr>
                <a:endParaRPr lang="en-US"/>
              </a:p>
            </c:txPr>
          </c:dispUnitsLbl>
        </c:dispUnits>
      </c:valAx>
    </c:plotArea>
    <c:plotVisOnly val="1"/>
    <c:dispBlanksAs val="gap"/>
  </c:chart>
  <c:spPr>
    <a:ln>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0.17543884334045906"/>
          <c:y val="0.13010425780110821"/>
          <c:w val="0.70004527784542536"/>
          <c:h val="0.71952136191309424"/>
        </c:manualLayout>
      </c:layout>
      <c:lineChart>
        <c:grouping val="standard"/>
        <c:ser>
          <c:idx val="0"/>
          <c:order val="0"/>
          <c:tx>
            <c:strRef>
              <c:f>'PR&amp;12MONTHROLL-CHARTS'!$B$9</c:f>
              <c:strCache>
                <c:ptCount val="1"/>
                <c:pt idx="0">
                  <c:v>Total CV</c:v>
                </c:pt>
              </c:strCache>
            </c:strRef>
          </c:tx>
          <c:spPr>
            <a:ln>
              <a:solidFill>
                <a:schemeClr val="tx2">
                  <a:lumMod val="75000"/>
                </a:schemeClr>
              </a:solidFill>
            </a:ln>
          </c:spPr>
          <c:marker>
            <c:symbol val="none"/>
          </c:marker>
          <c:cat>
            <c:strRef>
              <c:f>'PR&amp;12MONTHROLL-CHARTS'!$C$8:$CH$8</c:f>
              <c:strCache>
                <c:ptCount val="73"/>
                <c:pt idx="0">
                  <c:v>'07</c:v>
                </c:pt>
                <c:pt idx="12">
                  <c:v>'08</c:v>
                </c:pt>
                <c:pt idx="24">
                  <c:v>'09</c:v>
                </c:pt>
                <c:pt idx="36">
                  <c:v>'10</c:v>
                </c:pt>
                <c:pt idx="48">
                  <c:v>'11</c:v>
                </c:pt>
                <c:pt idx="60">
                  <c:v>'12</c:v>
                </c:pt>
                <c:pt idx="72">
                  <c:v>'13</c:v>
                </c:pt>
              </c:strCache>
            </c:strRef>
          </c:cat>
          <c:val>
            <c:numRef>
              <c:f>'PR&amp;12MONTHROLL-CHARTS'!$C$9:$CH$9</c:f>
              <c:numCache>
                <c:formatCode>General</c:formatCode>
                <c:ptCount val="84"/>
                <c:pt idx="0">
                  <c:v>209.13800000000001</c:v>
                </c:pt>
                <c:pt idx="1">
                  <c:v>208.41499999999999</c:v>
                </c:pt>
                <c:pt idx="2">
                  <c:v>207.38600000000022</c:v>
                </c:pt>
                <c:pt idx="3">
                  <c:v>207.62</c:v>
                </c:pt>
                <c:pt idx="4">
                  <c:v>209.48000000000022</c:v>
                </c:pt>
                <c:pt idx="5">
                  <c:v>211.53300000000002</c:v>
                </c:pt>
                <c:pt idx="6">
                  <c:v>210.2</c:v>
                </c:pt>
                <c:pt idx="7">
                  <c:v>214.48400000000001</c:v>
                </c:pt>
                <c:pt idx="8">
                  <c:v>213.006</c:v>
                </c:pt>
                <c:pt idx="9">
                  <c:v>215.35300000000001</c:v>
                </c:pt>
                <c:pt idx="10">
                  <c:v>216.12300000000002</c:v>
                </c:pt>
                <c:pt idx="11">
                  <c:v>215.68600000000001</c:v>
                </c:pt>
                <c:pt idx="12">
                  <c:v>216.93200000000004</c:v>
                </c:pt>
                <c:pt idx="13">
                  <c:v>220.09</c:v>
                </c:pt>
                <c:pt idx="14">
                  <c:v>218.60499999999999</c:v>
                </c:pt>
                <c:pt idx="15">
                  <c:v>224.066</c:v>
                </c:pt>
                <c:pt idx="16">
                  <c:v>224.81300000000002</c:v>
                </c:pt>
                <c:pt idx="17">
                  <c:v>227.24299999999999</c:v>
                </c:pt>
                <c:pt idx="18">
                  <c:v>234.255</c:v>
                </c:pt>
                <c:pt idx="19">
                  <c:v>230.57900000000001</c:v>
                </c:pt>
                <c:pt idx="20">
                  <c:v>231.30100000000004</c:v>
                </c:pt>
                <c:pt idx="21">
                  <c:v>222.191</c:v>
                </c:pt>
                <c:pt idx="22">
                  <c:v>211.12800000000001</c:v>
                </c:pt>
                <c:pt idx="23">
                  <c:v>202.89600000000004</c:v>
                </c:pt>
                <c:pt idx="24">
                  <c:v>190.40700000000001</c:v>
                </c:pt>
                <c:pt idx="25">
                  <c:v>175.62800000000001</c:v>
                </c:pt>
                <c:pt idx="26">
                  <c:v>164.89700000000022</c:v>
                </c:pt>
                <c:pt idx="27">
                  <c:v>150.56800000000001</c:v>
                </c:pt>
                <c:pt idx="28">
                  <c:v>137.55800000000022</c:v>
                </c:pt>
                <c:pt idx="29">
                  <c:v>124.563</c:v>
                </c:pt>
                <c:pt idx="30">
                  <c:v>112.142</c:v>
                </c:pt>
                <c:pt idx="31">
                  <c:v>107.607</c:v>
                </c:pt>
                <c:pt idx="32">
                  <c:v>96.647999999999996</c:v>
                </c:pt>
                <c:pt idx="33">
                  <c:v>91.477000000000004</c:v>
                </c:pt>
                <c:pt idx="34">
                  <c:v>89.697999999999993</c:v>
                </c:pt>
                <c:pt idx="35">
                  <c:v>90.678999999999988</c:v>
                </c:pt>
                <c:pt idx="36">
                  <c:v>91.483999999999995</c:v>
                </c:pt>
                <c:pt idx="37">
                  <c:v>95.84</c:v>
                </c:pt>
                <c:pt idx="38">
                  <c:v>100.812</c:v>
                </c:pt>
                <c:pt idx="39">
                  <c:v>103.93400000000011</c:v>
                </c:pt>
                <c:pt idx="40">
                  <c:v>109.98699999999999</c:v>
                </c:pt>
                <c:pt idx="41">
                  <c:v>112.111</c:v>
                </c:pt>
                <c:pt idx="42">
                  <c:v>113.232</c:v>
                </c:pt>
                <c:pt idx="43">
                  <c:v>114.29600000000002</c:v>
                </c:pt>
                <c:pt idx="44">
                  <c:v>115.91900000000011</c:v>
                </c:pt>
                <c:pt idx="45">
                  <c:v>119.65799999999999</c:v>
                </c:pt>
                <c:pt idx="46">
                  <c:v>121.60799999999999</c:v>
                </c:pt>
                <c:pt idx="47">
                  <c:v>123.01900000000002</c:v>
                </c:pt>
                <c:pt idx="48">
                  <c:v>123.83</c:v>
                </c:pt>
                <c:pt idx="49">
                  <c:v>123.527</c:v>
                </c:pt>
                <c:pt idx="50">
                  <c:v>122.748</c:v>
                </c:pt>
                <c:pt idx="51">
                  <c:v>120.604</c:v>
                </c:pt>
                <c:pt idx="52">
                  <c:v>120.06399999999999</c:v>
                </c:pt>
                <c:pt idx="53">
                  <c:v>119.833</c:v>
                </c:pt>
                <c:pt idx="54">
                  <c:v>119.26300000000002</c:v>
                </c:pt>
                <c:pt idx="55">
                  <c:v>119.81100000000002</c:v>
                </c:pt>
                <c:pt idx="56">
                  <c:v>120.518</c:v>
                </c:pt>
                <c:pt idx="57">
                  <c:v>120.181</c:v>
                </c:pt>
                <c:pt idx="58">
                  <c:v>120.425</c:v>
                </c:pt>
                <c:pt idx="59">
                  <c:v>120.18899999999998</c:v>
                </c:pt>
                <c:pt idx="60">
                  <c:v>120.066</c:v>
                </c:pt>
                <c:pt idx="61">
                  <c:v>119.798</c:v>
                </c:pt>
                <c:pt idx="62">
                  <c:v>117.40300000000002</c:v>
                </c:pt>
                <c:pt idx="63">
                  <c:v>117.68300000000001</c:v>
                </c:pt>
                <c:pt idx="64">
                  <c:v>116.923</c:v>
                </c:pt>
                <c:pt idx="65">
                  <c:v>114.86499999999999</c:v>
                </c:pt>
                <c:pt idx="66">
                  <c:v>114.742</c:v>
                </c:pt>
                <c:pt idx="67">
                  <c:v>115.91700000000012</c:v>
                </c:pt>
                <c:pt idx="68">
                  <c:v>113.47799999999999</c:v>
                </c:pt>
                <c:pt idx="69">
                  <c:v>114.04</c:v>
                </c:pt>
                <c:pt idx="70">
                  <c:v>113.634</c:v>
                </c:pt>
                <c:pt idx="71">
                  <c:v>112.039</c:v>
                </c:pt>
                <c:pt idx="72">
                  <c:v>110.01700000000002</c:v>
                </c:pt>
                <c:pt idx="73">
                  <c:v>108.367</c:v>
                </c:pt>
                <c:pt idx="74">
                  <c:v>106.52200000000001</c:v>
                </c:pt>
                <c:pt idx="75">
                  <c:v>106.232</c:v>
                </c:pt>
                <c:pt idx="76">
                  <c:v>104.34699999999999</c:v>
                </c:pt>
                <c:pt idx="77">
                  <c:v>104.46000000000002</c:v>
                </c:pt>
                <c:pt idx="78">
                  <c:v>103.89100000000002</c:v>
                </c:pt>
                <c:pt idx="79">
                  <c:v>99.977000000000004</c:v>
                </c:pt>
                <c:pt idx="80">
                  <c:v>97.332999999999998</c:v>
                </c:pt>
                <c:pt idx="81">
                  <c:v>93.308999999999983</c:v>
                </c:pt>
              </c:numCache>
            </c:numRef>
          </c:val>
        </c:ser>
        <c:ser>
          <c:idx val="1"/>
          <c:order val="1"/>
          <c:tx>
            <c:strRef>
              <c:f>'PR&amp;12MONTHROLL-CHARTS'!$B$10</c:f>
              <c:strCache>
                <c:ptCount val="1"/>
                <c:pt idx="0">
                  <c:v>CV Exports</c:v>
                </c:pt>
              </c:strCache>
            </c:strRef>
          </c:tx>
          <c:spPr>
            <a:ln>
              <a:solidFill>
                <a:schemeClr val="tx2">
                  <a:lumMod val="40000"/>
                  <a:lumOff val="60000"/>
                </a:schemeClr>
              </a:solidFill>
            </a:ln>
          </c:spPr>
          <c:marker>
            <c:symbol val="none"/>
          </c:marker>
          <c:cat>
            <c:strRef>
              <c:f>'PR&amp;12MONTHROLL-CHARTS'!$C$8:$CH$8</c:f>
              <c:strCache>
                <c:ptCount val="73"/>
                <c:pt idx="0">
                  <c:v>'07</c:v>
                </c:pt>
                <c:pt idx="12">
                  <c:v>'08</c:v>
                </c:pt>
                <c:pt idx="24">
                  <c:v>'09</c:v>
                </c:pt>
                <c:pt idx="36">
                  <c:v>'10</c:v>
                </c:pt>
                <c:pt idx="48">
                  <c:v>'11</c:v>
                </c:pt>
                <c:pt idx="60">
                  <c:v>'12</c:v>
                </c:pt>
                <c:pt idx="72">
                  <c:v>'13</c:v>
                </c:pt>
              </c:strCache>
            </c:strRef>
          </c:cat>
          <c:val>
            <c:numRef>
              <c:f>'PR&amp;12MONTHROLL-CHARTS'!$C$10:$CH$10</c:f>
              <c:numCache>
                <c:formatCode>General</c:formatCode>
                <c:ptCount val="84"/>
                <c:pt idx="0">
                  <c:v>135.833</c:v>
                </c:pt>
                <c:pt idx="1">
                  <c:v>133.73399999999998</c:v>
                </c:pt>
                <c:pt idx="2">
                  <c:v>132.298</c:v>
                </c:pt>
                <c:pt idx="3">
                  <c:v>131.35900000000001</c:v>
                </c:pt>
                <c:pt idx="4">
                  <c:v>131.59100000000001</c:v>
                </c:pt>
                <c:pt idx="5">
                  <c:v>132.369</c:v>
                </c:pt>
                <c:pt idx="6">
                  <c:v>130.54499999999999</c:v>
                </c:pt>
                <c:pt idx="7">
                  <c:v>133.79499999999999</c:v>
                </c:pt>
                <c:pt idx="8">
                  <c:v>132.17699999999999</c:v>
                </c:pt>
                <c:pt idx="9">
                  <c:v>132.46100000000001</c:v>
                </c:pt>
                <c:pt idx="10">
                  <c:v>131.995</c:v>
                </c:pt>
                <c:pt idx="11">
                  <c:v>131.56200000000001</c:v>
                </c:pt>
                <c:pt idx="12">
                  <c:v>132.43900000000002</c:v>
                </c:pt>
                <c:pt idx="13">
                  <c:v>134.09800000000001</c:v>
                </c:pt>
                <c:pt idx="14">
                  <c:v>133.68700000000001</c:v>
                </c:pt>
                <c:pt idx="15">
                  <c:v>137.15700000000001</c:v>
                </c:pt>
                <c:pt idx="16">
                  <c:v>138.565</c:v>
                </c:pt>
                <c:pt idx="17">
                  <c:v>140.45400000000001</c:v>
                </c:pt>
                <c:pt idx="18">
                  <c:v>143.67099999999999</c:v>
                </c:pt>
                <c:pt idx="19">
                  <c:v>141.946</c:v>
                </c:pt>
                <c:pt idx="20">
                  <c:v>142.72900000000001</c:v>
                </c:pt>
                <c:pt idx="21">
                  <c:v>136.85100000000023</c:v>
                </c:pt>
                <c:pt idx="22">
                  <c:v>130.52600000000001</c:v>
                </c:pt>
                <c:pt idx="23">
                  <c:v>125.611</c:v>
                </c:pt>
                <c:pt idx="24">
                  <c:v>119.71899999999999</c:v>
                </c:pt>
                <c:pt idx="25">
                  <c:v>112.473</c:v>
                </c:pt>
                <c:pt idx="26">
                  <c:v>106.93700000000011</c:v>
                </c:pt>
                <c:pt idx="27">
                  <c:v>98.334000000000003</c:v>
                </c:pt>
                <c:pt idx="28">
                  <c:v>90.127999999999986</c:v>
                </c:pt>
                <c:pt idx="29">
                  <c:v>82.698999999999998</c:v>
                </c:pt>
                <c:pt idx="30">
                  <c:v>76.718000000000004</c:v>
                </c:pt>
                <c:pt idx="31">
                  <c:v>73.986999999999995</c:v>
                </c:pt>
                <c:pt idx="32">
                  <c:v>68.596999999999994</c:v>
                </c:pt>
                <c:pt idx="33">
                  <c:v>67.10499999999999</c:v>
                </c:pt>
                <c:pt idx="34">
                  <c:v>65.796000000000006</c:v>
                </c:pt>
                <c:pt idx="35">
                  <c:v>66.453999999999994</c:v>
                </c:pt>
                <c:pt idx="36">
                  <c:v>67.141999999999996</c:v>
                </c:pt>
                <c:pt idx="37">
                  <c:v>70.182000000000002</c:v>
                </c:pt>
                <c:pt idx="38">
                  <c:v>72.653999999999982</c:v>
                </c:pt>
                <c:pt idx="39">
                  <c:v>73.804999999999993</c:v>
                </c:pt>
                <c:pt idx="40">
                  <c:v>77.438000000000002</c:v>
                </c:pt>
                <c:pt idx="41">
                  <c:v>78.872999999999948</c:v>
                </c:pt>
                <c:pt idx="42">
                  <c:v>79.634999999999991</c:v>
                </c:pt>
                <c:pt idx="43">
                  <c:v>80.062000000000012</c:v>
                </c:pt>
                <c:pt idx="44">
                  <c:v>81.004999999999995</c:v>
                </c:pt>
                <c:pt idx="45">
                  <c:v>82.897999999999996</c:v>
                </c:pt>
                <c:pt idx="46">
                  <c:v>83.736000000000004</c:v>
                </c:pt>
                <c:pt idx="47">
                  <c:v>85.546999999999997</c:v>
                </c:pt>
                <c:pt idx="48">
                  <c:v>84.194999999999993</c:v>
                </c:pt>
                <c:pt idx="49">
                  <c:v>83.001000000000005</c:v>
                </c:pt>
                <c:pt idx="50">
                  <c:v>82.183999999999983</c:v>
                </c:pt>
                <c:pt idx="51">
                  <c:v>80.667999999999992</c:v>
                </c:pt>
                <c:pt idx="52">
                  <c:v>79.090999999999994</c:v>
                </c:pt>
                <c:pt idx="53">
                  <c:v>76.480999999999995</c:v>
                </c:pt>
                <c:pt idx="54">
                  <c:v>75.248000000000005</c:v>
                </c:pt>
                <c:pt idx="55">
                  <c:v>75.232000000000014</c:v>
                </c:pt>
                <c:pt idx="56">
                  <c:v>74.678999999999988</c:v>
                </c:pt>
                <c:pt idx="57">
                  <c:v>72.906999999999996</c:v>
                </c:pt>
                <c:pt idx="58">
                  <c:v>71.468999999999994</c:v>
                </c:pt>
                <c:pt idx="59">
                  <c:v>69.375999999999948</c:v>
                </c:pt>
                <c:pt idx="60">
                  <c:v>69.414000000000129</c:v>
                </c:pt>
                <c:pt idx="61">
                  <c:v>68.712999999999994</c:v>
                </c:pt>
                <c:pt idx="62">
                  <c:v>66.611000000000004</c:v>
                </c:pt>
                <c:pt idx="63">
                  <c:v>67.027000000000001</c:v>
                </c:pt>
                <c:pt idx="64">
                  <c:v>67.058999999999983</c:v>
                </c:pt>
                <c:pt idx="65">
                  <c:v>67.63</c:v>
                </c:pt>
                <c:pt idx="66">
                  <c:v>66.906000000000006</c:v>
                </c:pt>
                <c:pt idx="67">
                  <c:v>67.298000000000002</c:v>
                </c:pt>
                <c:pt idx="68">
                  <c:v>65.501999999999995</c:v>
                </c:pt>
                <c:pt idx="69">
                  <c:v>65.566000000000003</c:v>
                </c:pt>
                <c:pt idx="70">
                  <c:v>65.024000000000001</c:v>
                </c:pt>
                <c:pt idx="71">
                  <c:v>63.733000000000011</c:v>
                </c:pt>
                <c:pt idx="72">
                  <c:v>61.581000000000003</c:v>
                </c:pt>
                <c:pt idx="73">
                  <c:v>59.826000000000001</c:v>
                </c:pt>
                <c:pt idx="74">
                  <c:v>57.596000000000011</c:v>
                </c:pt>
                <c:pt idx="75">
                  <c:v>56.538000000000011</c:v>
                </c:pt>
                <c:pt idx="76">
                  <c:v>54.606000000000002</c:v>
                </c:pt>
                <c:pt idx="77">
                  <c:v>54.188000000000002</c:v>
                </c:pt>
                <c:pt idx="78">
                  <c:v>55.654000000000003</c:v>
                </c:pt>
                <c:pt idx="79">
                  <c:v>54.05</c:v>
                </c:pt>
                <c:pt idx="80">
                  <c:v>52.124000000000002</c:v>
                </c:pt>
                <c:pt idx="81">
                  <c:v>49.591000000000001</c:v>
                </c:pt>
              </c:numCache>
            </c:numRef>
          </c:val>
        </c:ser>
        <c:marker val="1"/>
        <c:axId val="83678720"/>
        <c:axId val="83680640"/>
      </c:lineChart>
      <c:catAx>
        <c:axId val="83678720"/>
        <c:scaling>
          <c:orientation val="minMax"/>
        </c:scaling>
        <c:axPos val="b"/>
        <c:numFmt formatCode="General" sourceLinked="1"/>
        <c:tickLblPos val="nextTo"/>
        <c:txPr>
          <a:bodyPr rot="60000" vert="horz"/>
          <a:lstStyle/>
          <a:p>
            <a:pPr>
              <a:defRPr sz="1000" b="0" i="0" u="none" strike="noStrike" baseline="0">
                <a:solidFill>
                  <a:srgbClr val="000000"/>
                </a:solidFill>
                <a:latin typeface="Arial"/>
                <a:ea typeface="Arial"/>
                <a:cs typeface="Arial"/>
              </a:defRPr>
            </a:pPr>
            <a:endParaRPr lang="en-US"/>
          </a:p>
        </c:txPr>
        <c:crossAx val="83680640"/>
        <c:crosses val="autoZero"/>
        <c:auto val="1"/>
        <c:lblAlgn val="ctr"/>
        <c:lblOffset val="100"/>
        <c:tickMarkSkip val="12"/>
      </c:catAx>
      <c:valAx>
        <c:axId val="83680640"/>
        <c:scaling>
          <c:orientation val="minMax"/>
          <c:max val="250"/>
          <c:min val="0"/>
        </c:scaling>
        <c:axPos val="l"/>
        <c:majorGridlines/>
        <c:title>
          <c:tx>
            <c:rich>
              <a:bodyPr/>
              <a:lstStyle/>
              <a:p>
                <a:pPr>
                  <a:defRPr sz="800" b="0" i="0" u="none" strike="noStrike" baseline="0">
                    <a:solidFill>
                      <a:srgbClr val="000000"/>
                    </a:solidFill>
                    <a:latin typeface="Arial"/>
                    <a:ea typeface="Arial"/>
                    <a:cs typeface="Arial"/>
                  </a:defRPr>
                </a:pPr>
                <a:r>
                  <a:rPr lang="en-GB"/>
                  <a:t>Thousands</a:t>
                </a:r>
              </a:p>
            </c:rich>
          </c:tx>
          <c:layout/>
        </c:title>
        <c:numFmt formatCode="General" sourceLinked="1"/>
        <c:tickLblPos val="nextTo"/>
        <c:txPr>
          <a:bodyPr rot="0" vert="horz"/>
          <a:lstStyle/>
          <a:p>
            <a:pPr>
              <a:defRPr sz="1000" b="0" i="0" u="none" strike="noStrike" baseline="0">
                <a:solidFill>
                  <a:srgbClr val="000000"/>
                </a:solidFill>
                <a:latin typeface="Arial"/>
                <a:ea typeface="Arial"/>
                <a:cs typeface="Arial"/>
              </a:defRPr>
            </a:pPr>
            <a:endParaRPr lang="en-US"/>
          </a:p>
        </c:txPr>
        <c:crossAx val="83678720"/>
        <c:crosses val="autoZero"/>
        <c:crossBetween val="between"/>
        <c:majorUnit val="50"/>
      </c:valAx>
    </c:plotArea>
    <c:legend>
      <c:legendPos val="r"/>
      <c:layout>
        <c:manualLayout>
          <c:xMode val="edge"/>
          <c:yMode val="edge"/>
          <c:x val="4.8109965635738827E-2"/>
          <c:y val="2.8571428571428591E-2"/>
          <c:w val="0.93814757691371065"/>
          <c:h val="0.10000000000000003"/>
        </c:manualLayout>
      </c:layout>
      <c:txPr>
        <a:bodyPr/>
        <a:lstStyle/>
        <a:p>
          <a:pPr>
            <a:defRPr sz="1000" b="0" i="0" u="none" strike="noStrike" baseline="0">
              <a:solidFill>
                <a:srgbClr val="000000"/>
              </a:solidFill>
              <a:latin typeface="Arial"/>
              <a:ea typeface="Arial"/>
              <a:cs typeface="Arial"/>
            </a:defRPr>
          </a:pPr>
          <a:endParaRPr lang="en-US"/>
        </a:p>
      </c:txPr>
    </c:legend>
    <c:plotVisOnly val="1"/>
    <c:dispBlanksAs val="gap"/>
  </c:chart>
  <c:spPr>
    <a:ln>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0.18975018034134664"/>
          <c:y val="0.15788203557888641"/>
          <c:w val="0.74530228210853178"/>
          <c:h val="0.72613808690580361"/>
        </c:manualLayout>
      </c:layout>
      <c:lineChart>
        <c:grouping val="standard"/>
        <c:ser>
          <c:idx val="0"/>
          <c:order val="0"/>
          <c:tx>
            <c:strRef>
              <c:f>'PR chart 1'!$B$2</c:f>
              <c:strCache>
                <c:ptCount val="1"/>
                <c:pt idx="0">
                  <c:v>Total</c:v>
                </c:pt>
              </c:strCache>
            </c:strRef>
          </c:tx>
          <c:spPr>
            <a:ln w="38100">
              <a:solidFill>
                <a:srgbClr val="0D2255"/>
              </a:solidFill>
            </a:ln>
          </c:spPr>
          <c:marker>
            <c:symbol val="none"/>
          </c:marker>
          <c:cat>
            <c:strRef>
              <c:f>'PR chart 1'!$C$1:$AX$1</c:f>
              <c:strCache>
                <c:ptCount val="48"/>
                <c:pt idx="0">
                  <c:v>'10</c:v>
                </c:pt>
                <c:pt idx="1">
                  <c:v>F</c:v>
                </c:pt>
                <c:pt idx="2">
                  <c:v>M</c:v>
                </c:pt>
                <c:pt idx="3">
                  <c:v>A</c:v>
                </c:pt>
                <c:pt idx="4">
                  <c:v>M</c:v>
                </c:pt>
                <c:pt idx="5">
                  <c:v>J</c:v>
                </c:pt>
                <c:pt idx="6">
                  <c:v>J</c:v>
                </c:pt>
                <c:pt idx="7">
                  <c:v>A</c:v>
                </c:pt>
                <c:pt idx="8">
                  <c:v>S</c:v>
                </c:pt>
                <c:pt idx="9">
                  <c:v>O</c:v>
                </c:pt>
                <c:pt idx="10">
                  <c:v>N</c:v>
                </c:pt>
                <c:pt idx="11">
                  <c:v>D</c:v>
                </c:pt>
                <c:pt idx="12">
                  <c:v>'11</c:v>
                </c:pt>
                <c:pt idx="13">
                  <c:v>F</c:v>
                </c:pt>
                <c:pt idx="14">
                  <c:v>M</c:v>
                </c:pt>
                <c:pt idx="15">
                  <c:v>A</c:v>
                </c:pt>
                <c:pt idx="16">
                  <c:v>M</c:v>
                </c:pt>
                <c:pt idx="17">
                  <c:v>J</c:v>
                </c:pt>
                <c:pt idx="18">
                  <c:v>J</c:v>
                </c:pt>
                <c:pt idx="19">
                  <c:v>A</c:v>
                </c:pt>
                <c:pt idx="20">
                  <c:v>S</c:v>
                </c:pt>
                <c:pt idx="21">
                  <c:v>O</c:v>
                </c:pt>
                <c:pt idx="22">
                  <c:v>N</c:v>
                </c:pt>
                <c:pt idx="23">
                  <c:v>D</c:v>
                </c:pt>
                <c:pt idx="24">
                  <c:v>'12</c:v>
                </c:pt>
                <c:pt idx="25">
                  <c:v>F</c:v>
                </c:pt>
                <c:pt idx="26">
                  <c:v>M</c:v>
                </c:pt>
                <c:pt idx="27">
                  <c:v>A</c:v>
                </c:pt>
                <c:pt idx="28">
                  <c:v>M</c:v>
                </c:pt>
                <c:pt idx="29">
                  <c:v>J</c:v>
                </c:pt>
                <c:pt idx="30">
                  <c:v>J</c:v>
                </c:pt>
                <c:pt idx="31">
                  <c:v>A</c:v>
                </c:pt>
                <c:pt idx="32">
                  <c:v>S</c:v>
                </c:pt>
                <c:pt idx="33">
                  <c:v>O</c:v>
                </c:pt>
                <c:pt idx="34">
                  <c:v>N</c:v>
                </c:pt>
                <c:pt idx="35">
                  <c:v>D</c:v>
                </c:pt>
                <c:pt idx="36">
                  <c:v>'13</c:v>
                </c:pt>
                <c:pt idx="37">
                  <c:v>F</c:v>
                </c:pt>
                <c:pt idx="38">
                  <c:v>M</c:v>
                </c:pt>
                <c:pt idx="39">
                  <c:v>A</c:v>
                </c:pt>
                <c:pt idx="40">
                  <c:v>M</c:v>
                </c:pt>
                <c:pt idx="41">
                  <c:v>J</c:v>
                </c:pt>
                <c:pt idx="42">
                  <c:v>J</c:v>
                </c:pt>
                <c:pt idx="43">
                  <c:v>A</c:v>
                </c:pt>
                <c:pt idx="44">
                  <c:v>S</c:v>
                </c:pt>
                <c:pt idx="45">
                  <c:v>O</c:v>
                </c:pt>
                <c:pt idx="46">
                  <c:v>N</c:v>
                </c:pt>
                <c:pt idx="47">
                  <c:v>D</c:v>
                </c:pt>
              </c:strCache>
            </c:strRef>
          </c:cat>
          <c:val>
            <c:numRef>
              <c:f>'PR chart 1'!$C$2:$AX$2</c:f>
              <c:numCache>
                <c:formatCode>#,##0.00</c:formatCode>
                <c:ptCount val="48"/>
                <c:pt idx="0">
                  <c:v>2.0936689999999967</c:v>
                </c:pt>
                <c:pt idx="1">
                  <c:v>2.1673529999999999</c:v>
                </c:pt>
                <c:pt idx="2">
                  <c:v>2.2385760000000001</c:v>
                </c:pt>
                <c:pt idx="3">
                  <c:v>2.293771000000004</c:v>
                </c:pt>
                <c:pt idx="4">
                  <c:v>2.3481730000000001</c:v>
                </c:pt>
                <c:pt idx="5">
                  <c:v>2.3845499999999977</c:v>
                </c:pt>
                <c:pt idx="6">
                  <c:v>2.3782029999999961</c:v>
                </c:pt>
                <c:pt idx="7">
                  <c:v>2.3936139999999977</c:v>
                </c:pt>
                <c:pt idx="8">
                  <c:v>2.3966309999999966</c:v>
                </c:pt>
                <c:pt idx="9">
                  <c:v>2.384842999999996</c:v>
                </c:pt>
                <c:pt idx="10">
                  <c:v>2.388887</c:v>
                </c:pt>
                <c:pt idx="11">
                  <c:v>2.386717</c:v>
                </c:pt>
                <c:pt idx="12">
                  <c:v>2.4098589999999955</c:v>
                </c:pt>
                <c:pt idx="13">
                  <c:v>2.4301189999999977</c:v>
                </c:pt>
                <c:pt idx="14">
                  <c:v>2.44537</c:v>
                </c:pt>
                <c:pt idx="15">
                  <c:v>2.4359329999999977</c:v>
                </c:pt>
                <c:pt idx="16">
                  <c:v>2.4441280000000001</c:v>
                </c:pt>
                <c:pt idx="17">
                  <c:v>2.445913</c:v>
                </c:pt>
                <c:pt idx="18">
                  <c:v>2.44516</c:v>
                </c:pt>
                <c:pt idx="19">
                  <c:v>2.4618569999999966</c:v>
                </c:pt>
                <c:pt idx="20">
                  <c:v>2.4769179999999977</c:v>
                </c:pt>
                <c:pt idx="21">
                  <c:v>2.5022799999999967</c:v>
                </c:pt>
                <c:pt idx="22">
                  <c:v>2.5061089999999977</c:v>
                </c:pt>
                <c:pt idx="23">
                  <c:v>2.504054</c:v>
                </c:pt>
                <c:pt idx="24">
                  <c:v>2.5191719999999997</c:v>
                </c:pt>
                <c:pt idx="25">
                  <c:v>2.5322879999999977</c:v>
                </c:pt>
                <c:pt idx="26">
                  <c:v>2.5165689999999961</c:v>
                </c:pt>
                <c:pt idx="27">
                  <c:v>2.5188459999999941</c:v>
                </c:pt>
                <c:pt idx="28">
                  <c:v>2.5475650000000001</c:v>
                </c:pt>
                <c:pt idx="29">
                  <c:v>2.5113129999999977</c:v>
                </c:pt>
                <c:pt idx="30">
                  <c:v>2.5116759999999956</c:v>
                </c:pt>
                <c:pt idx="31">
                  <c:v>2.5281989999999999</c:v>
                </c:pt>
                <c:pt idx="32">
                  <c:v>2.4969809999999977</c:v>
                </c:pt>
                <c:pt idx="33">
                  <c:v>2.4997439999999966</c:v>
                </c:pt>
                <c:pt idx="34">
                  <c:v>2.4965789999999961</c:v>
                </c:pt>
                <c:pt idx="35">
                  <c:v>2.495371</c:v>
                </c:pt>
                <c:pt idx="36">
                  <c:v>2.483603</c:v>
                </c:pt>
                <c:pt idx="37">
                  <c:v>2.471885999999996</c:v>
                </c:pt>
                <c:pt idx="38">
                  <c:v>2.4578799999999967</c:v>
                </c:pt>
                <c:pt idx="39">
                  <c:v>2.4769239999999977</c:v>
                </c:pt>
                <c:pt idx="40">
                  <c:v>2.4564809999999961</c:v>
                </c:pt>
                <c:pt idx="41">
                  <c:v>2.4789699999999977</c:v>
                </c:pt>
                <c:pt idx="42">
                  <c:v>2.524416</c:v>
                </c:pt>
                <c:pt idx="43">
                  <c:v>2.500006</c:v>
                </c:pt>
                <c:pt idx="44">
                  <c:v>2.5313629999999967</c:v>
                </c:pt>
                <c:pt idx="45">
                  <c:v>2.5468319999999998</c:v>
                </c:pt>
              </c:numCache>
            </c:numRef>
          </c:val>
        </c:ser>
        <c:ser>
          <c:idx val="1"/>
          <c:order val="1"/>
          <c:tx>
            <c:strRef>
              <c:f>'PR chart 1'!$B$3</c:f>
              <c:strCache>
                <c:ptCount val="1"/>
                <c:pt idx="0">
                  <c:v>Export</c:v>
                </c:pt>
              </c:strCache>
            </c:strRef>
          </c:tx>
          <c:spPr>
            <a:ln w="25400">
              <a:solidFill>
                <a:schemeClr val="tx2">
                  <a:lumMod val="60000"/>
                  <a:lumOff val="40000"/>
                </a:schemeClr>
              </a:solidFill>
            </a:ln>
          </c:spPr>
          <c:marker>
            <c:symbol val="none"/>
          </c:marker>
          <c:cat>
            <c:strRef>
              <c:f>'PR chart 1'!$C$1:$AX$1</c:f>
              <c:strCache>
                <c:ptCount val="48"/>
                <c:pt idx="0">
                  <c:v>'10</c:v>
                </c:pt>
                <c:pt idx="1">
                  <c:v>F</c:v>
                </c:pt>
                <c:pt idx="2">
                  <c:v>M</c:v>
                </c:pt>
                <c:pt idx="3">
                  <c:v>A</c:v>
                </c:pt>
                <c:pt idx="4">
                  <c:v>M</c:v>
                </c:pt>
                <c:pt idx="5">
                  <c:v>J</c:v>
                </c:pt>
                <c:pt idx="6">
                  <c:v>J</c:v>
                </c:pt>
                <c:pt idx="7">
                  <c:v>A</c:v>
                </c:pt>
                <c:pt idx="8">
                  <c:v>S</c:v>
                </c:pt>
                <c:pt idx="9">
                  <c:v>O</c:v>
                </c:pt>
                <c:pt idx="10">
                  <c:v>N</c:v>
                </c:pt>
                <c:pt idx="11">
                  <c:v>D</c:v>
                </c:pt>
                <c:pt idx="12">
                  <c:v>'11</c:v>
                </c:pt>
                <c:pt idx="13">
                  <c:v>F</c:v>
                </c:pt>
                <c:pt idx="14">
                  <c:v>M</c:v>
                </c:pt>
                <c:pt idx="15">
                  <c:v>A</c:v>
                </c:pt>
                <c:pt idx="16">
                  <c:v>M</c:v>
                </c:pt>
                <c:pt idx="17">
                  <c:v>J</c:v>
                </c:pt>
                <c:pt idx="18">
                  <c:v>J</c:v>
                </c:pt>
                <c:pt idx="19">
                  <c:v>A</c:v>
                </c:pt>
                <c:pt idx="20">
                  <c:v>S</c:v>
                </c:pt>
                <c:pt idx="21">
                  <c:v>O</c:v>
                </c:pt>
                <c:pt idx="22">
                  <c:v>N</c:v>
                </c:pt>
                <c:pt idx="23">
                  <c:v>D</c:v>
                </c:pt>
                <c:pt idx="24">
                  <c:v>'12</c:v>
                </c:pt>
                <c:pt idx="25">
                  <c:v>F</c:v>
                </c:pt>
                <c:pt idx="26">
                  <c:v>M</c:v>
                </c:pt>
                <c:pt idx="27">
                  <c:v>A</c:v>
                </c:pt>
                <c:pt idx="28">
                  <c:v>M</c:v>
                </c:pt>
                <c:pt idx="29">
                  <c:v>J</c:v>
                </c:pt>
                <c:pt idx="30">
                  <c:v>J</c:v>
                </c:pt>
                <c:pt idx="31">
                  <c:v>A</c:v>
                </c:pt>
                <c:pt idx="32">
                  <c:v>S</c:v>
                </c:pt>
                <c:pt idx="33">
                  <c:v>O</c:v>
                </c:pt>
                <c:pt idx="34">
                  <c:v>N</c:v>
                </c:pt>
                <c:pt idx="35">
                  <c:v>D</c:v>
                </c:pt>
                <c:pt idx="36">
                  <c:v>'13</c:v>
                </c:pt>
                <c:pt idx="37">
                  <c:v>F</c:v>
                </c:pt>
                <c:pt idx="38">
                  <c:v>M</c:v>
                </c:pt>
                <c:pt idx="39">
                  <c:v>A</c:v>
                </c:pt>
                <c:pt idx="40">
                  <c:v>M</c:v>
                </c:pt>
                <c:pt idx="41">
                  <c:v>J</c:v>
                </c:pt>
                <c:pt idx="42">
                  <c:v>J</c:v>
                </c:pt>
                <c:pt idx="43">
                  <c:v>A</c:v>
                </c:pt>
                <c:pt idx="44">
                  <c:v>S</c:v>
                </c:pt>
                <c:pt idx="45">
                  <c:v>O</c:v>
                </c:pt>
                <c:pt idx="46">
                  <c:v>N</c:v>
                </c:pt>
                <c:pt idx="47">
                  <c:v>D</c:v>
                </c:pt>
              </c:strCache>
            </c:strRef>
          </c:cat>
          <c:val>
            <c:numRef>
              <c:f>'PR chart 1'!$C$3:$AX$3</c:f>
              <c:numCache>
                <c:formatCode>#,##0.00</c:formatCode>
                <c:ptCount val="48"/>
                <c:pt idx="0">
                  <c:v>1.5503020000000001</c:v>
                </c:pt>
                <c:pt idx="1">
                  <c:v>1.6003270000000001</c:v>
                </c:pt>
                <c:pt idx="2">
                  <c:v>1.6457299999999981</c:v>
                </c:pt>
                <c:pt idx="3">
                  <c:v>1.681225</c:v>
                </c:pt>
                <c:pt idx="4">
                  <c:v>1.7095739999999986</c:v>
                </c:pt>
                <c:pt idx="5">
                  <c:v>1.7311929999999998</c:v>
                </c:pt>
                <c:pt idx="6">
                  <c:v>1.731826999999998</c:v>
                </c:pt>
                <c:pt idx="7">
                  <c:v>1.7392089999999998</c:v>
                </c:pt>
                <c:pt idx="8">
                  <c:v>1.7385670000000004</c:v>
                </c:pt>
                <c:pt idx="9">
                  <c:v>1.7280320000000005</c:v>
                </c:pt>
                <c:pt idx="10">
                  <c:v>1.7272880000000004</c:v>
                </c:pt>
                <c:pt idx="11">
                  <c:v>1.7214899999999986</c:v>
                </c:pt>
                <c:pt idx="12">
                  <c:v>1.7377219999999975</c:v>
                </c:pt>
                <c:pt idx="13">
                  <c:v>1.7388399999999986</c:v>
                </c:pt>
                <c:pt idx="14">
                  <c:v>1.7454379999999998</c:v>
                </c:pt>
                <c:pt idx="15">
                  <c:v>1.7489770000000004</c:v>
                </c:pt>
                <c:pt idx="16">
                  <c:v>1.7630550000000005</c:v>
                </c:pt>
                <c:pt idx="17">
                  <c:v>1.7659529999999999</c:v>
                </c:pt>
                <c:pt idx="18">
                  <c:v>1.7703700000000004</c:v>
                </c:pt>
                <c:pt idx="19">
                  <c:v>1.7770820000000005</c:v>
                </c:pt>
                <c:pt idx="20">
                  <c:v>1.7800259999999999</c:v>
                </c:pt>
                <c:pt idx="21">
                  <c:v>1.7821820000000017</c:v>
                </c:pt>
                <c:pt idx="22">
                  <c:v>1.7737820000000004</c:v>
                </c:pt>
                <c:pt idx="23">
                  <c:v>1.7583970000000004</c:v>
                </c:pt>
                <c:pt idx="24">
                  <c:v>1.7521239999999998</c:v>
                </c:pt>
                <c:pt idx="25">
                  <c:v>1.7459959999999985</c:v>
                </c:pt>
                <c:pt idx="26">
                  <c:v>1.7228899999999998</c:v>
                </c:pt>
                <c:pt idx="27">
                  <c:v>1.697802</c:v>
                </c:pt>
                <c:pt idx="28">
                  <c:v>1.686644</c:v>
                </c:pt>
                <c:pt idx="29">
                  <c:v>1.6401820000000022</c:v>
                </c:pt>
                <c:pt idx="30">
                  <c:v>1.6186020000000001</c:v>
                </c:pt>
                <c:pt idx="31">
                  <c:v>1.61758</c:v>
                </c:pt>
                <c:pt idx="32">
                  <c:v>1.5791739999999999</c:v>
                </c:pt>
                <c:pt idx="33">
                  <c:v>1.569083</c:v>
                </c:pt>
                <c:pt idx="34">
                  <c:v>1.556332</c:v>
                </c:pt>
                <c:pt idx="35">
                  <c:v>1.554208</c:v>
                </c:pt>
                <c:pt idx="36">
                  <c:v>1.5401309999999999</c:v>
                </c:pt>
                <c:pt idx="37">
                  <c:v>1.5299759999999998</c:v>
                </c:pt>
                <c:pt idx="38">
                  <c:v>1.5101869999999999</c:v>
                </c:pt>
                <c:pt idx="39">
                  <c:v>1.5116649999999976</c:v>
                </c:pt>
                <c:pt idx="40">
                  <c:v>1.4891399999999981</c:v>
                </c:pt>
                <c:pt idx="41">
                  <c:v>1.4975239999999976</c:v>
                </c:pt>
                <c:pt idx="42">
                  <c:v>1.522349</c:v>
                </c:pt>
                <c:pt idx="43">
                  <c:v>1.4971339999999982</c:v>
                </c:pt>
                <c:pt idx="44">
                  <c:v>1.5191899999999998</c:v>
                </c:pt>
                <c:pt idx="45">
                  <c:v>1.5200389999999999</c:v>
                </c:pt>
              </c:numCache>
            </c:numRef>
          </c:val>
        </c:ser>
        <c:marker val="1"/>
        <c:axId val="86681472"/>
        <c:axId val="86683008"/>
      </c:lineChart>
      <c:catAx>
        <c:axId val="86681472"/>
        <c:scaling>
          <c:orientation val="minMax"/>
        </c:scaling>
        <c:axPos val="b"/>
        <c:tickLblPos val="nextTo"/>
        <c:crossAx val="86683008"/>
        <c:crosses val="autoZero"/>
        <c:auto val="1"/>
        <c:lblAlgn val="ctr"/>
        <c:lblOffset val="100"/>
        <c:tickLblSkip val="12"/>
        <c:tickMarkSkip val="12"/>
      </c:catAx>
      <c:valAx>
        <c:axId val="86683008"/>
        <c:scaling>
          <c:orientation val="minMax"/>
          <c:max val="2.6"/>
          <c:min val="1.4"/>
        </c:scaling>
        <c:axPos val="l"/>
        <c:majorGridlines/>
        <c:title>
          <c:tx>
            <c:rich>
              <a:bodyPr rot="-5400000" vert="horz"/>
              <a:lstStyle/>
              <a:p>
                <a:pPr>
                  <a:defRPr b="0"/>
                </a:pPr>
                <a:r>
                  <a:rPr lang="en-US" b="0"/>
                  <a:t>Millions</a:t>
                </a:r>
              </a:p>
            </c:rich>
          </c:tx>
          <c:layout>
            <c:manualLayout>
              <c:xMode val="edge"/>
              <c:yMode val="edge"/>
              <c:x val="1.0541557305336928E-2"/>
              <c:y val="0.40222404491105285"/>
            </c:manualLayout>
          </c:layout>
        </c:title>
        <c:numFmt formatCode="#,##0.0" sourceLinked="0"/>
        <c:tickLblPos val="nextTo"/>
        <c:crossAx val="86681472"/>
        <c:crosses val="autoZero"/>
        <c:crossBetween val="between"/>
        <c:majorUnit val="0.2"/>
      </c:valAx>
    </c:plotArea>
    <c:legend>
      <c:legendPos val="r"/>
      <c:layout>
        <c:manualLayout>
          <c:xMode val="edge"/>
          <c:yMode val="edge"/>
          <c:x val="0.23450000000000004"/>
          <c:y val="3.2023549139690875E-2"/>
          <c:w val="0.48494444444444634"/>
          <c:h val="9.7989938757655284E-2"/>
        </c:manualLayout>
      </c:layout>
    </c:legend>
    <c:plotVisOnly val="1"/>
  </c:chart>
  <c:spPr>
    <a:ln>
      <a:noFill/>
    </a:ln>
  </c:spPr>
  <c:txPr>
    <a:bodyPr/>
    <a:lstStyle/>
    <a:p>
      <a:pPr>
        <a:defRPr>
          <a:latin typeface="Arial" pitchFamily="34" charset="0"/>
          <a:cs typeface="Arial" pitchFamily="34" charset="0"/>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autoTitleDeleted val="1"/>
    <c:plotArea>
      <c:layout>
        <c:manualLayout>
          <c:layoutTarget val="inner"/>
          <c:xMode val="edge"/>
          <c:yMode val="edge"/>
          <c:x val="0.22954257641729675"/>
          <c:y val="5.3619302949061684E-2"/>
          <c:w val="0.6738053293193369"/>
          <c:h val="0.791834651949336"/>
        </c:manualLayout>
      </c:layout>
      <c:barChart>
        <c:barDir val="col"/>
        <c:grouping val="clustered"/>
        <c:ser>
          <c:idx val="0"/>
          <c:order val="0"/>
          <c:tx>
            <c:strRef>
              <c:f>'PR chart 2'!$C$47</c:f>
              <c:strCache>
                <c:ptCount val="1"/>
                <c:pt idx="0">
                  <c:v>Engines</c:v>
                </c:pt>
              </c:strCache>
            </c:strRef>
          </c:tx>
          <c:spPr>
            <a:solidFill>
              <a:schemeClr val="tx2">
                <a:lumMod val="40000"/>
                <a:lumOff val="60000"/>
              </a:schemeClr>
            </a:solidFill>
            <a:ln>
              <a:solidFill>
                <a:prstClr val="black"/>
              </a:solidFill>
            </a:ln>
          </c:spPr>
          <c:cat>
            <c:strRef>
              <c:f>'PR chart 2'!$D$46:$F$46</c:f>
              <c:strCache>
                <c:ptCount val="3"/>
                <c:pt idx="0">
                  <c:v>'11</c:v>
                </c:pt>
                <c:pt idx="1">
                  <c:v>'12</c:v>
                </c:pt>
                <c:pt idx="2">
                  <c:v>'13</c:v>
                </c:pt>
              </c:strCache>
            </c:strRef>
          </c:cat>
          <c:val>
            <c:numRef>
              <c:f>'PR chart 2'!$D$47:$F$47</c:f>
              <c:numCache>
                <c:formatCode>#,##0</c:formatCode>
                <c:ptCount val="3"/>
                <c:pt idx="0">
                  <c:v>2125.6239999999998</c:v>
                </c:pt>
                <c:pt idx="1">
                  <c:v>2121.3140000000012</c:v>
                </c:pt>
                <c:pt idx="2">
                  <c:v>2172.7750000000001</c:v>
                </c:pt>
              </c:numCache>
            </c:numRef>
          </c:val>
        </c:ser>
        <c:gapWidth val="48"/>
        <c:axId val="86960768"/>
        <c:axId val="87159936"/>
      </c:barChart>
      <c:catAx>
        <c:axId val="86960768"/>
        <c:scaling>
          <c:orientation val="minMax"/>
        </c:scaling>
        <c:axPos val="b"/>
        <c:numFmt formatCode="General" sourceLinked="1"/>
        <c:tickLblPos val="nextTo"/>
        <c:txPr>
          <a:bodyPr rot="0" vert="horz"/>
          <a:lstStyle/>
          <a:p>
            <a:pPr>
              <a:defRPr sz="1000" b="0" i="0" u="none" strike="noStrike" baseline="0">
                <a:solidFill>
                  <a:srgbClr val="000000"/>
                </a:solidFill>
                <a:latin typeface="Arial"/>
                <a:ea typeface="Arial"/>
                <a:cs typeface="Arial"/>
              </a:defRPr>
            </a:pPr>
            <a:endParaRPr lang="en-US"/>
          </a:p>
        </c:txPr>
        <c:crossAx val="87159936"/>
        <c:crosses val="autoZero"/>
        <c:auto val="1"/>
        <c:lblAlgn val="ctr"/>
        <c:lblOffset val="100"/>
      </c:catAx>
      <c:valAx>
        <c:axId val="87159936"/>
        <c:scaling>
          <c:orientation val="minMax"/>
          <c:max val="2200"/>
          <c:min val="2050"/>
        </c:scaling>
        <c:axPos val="l"/>
        <c:majorGridlines/>
        <c:title>
          <c:tx>
            <c:rich>
              <a:bodyPr rot="-5400000" vert="horz"/>
              <a:lstStyle/>
              <a:p>
                <a:pPr>
                  <a:defRPr/>
                </a:pPr>
                <a:r>
                  <a:rPr lang="en-US"/>
                  <a:t>Thousands</a:t>
                </a:r>
              </a:p>
            </c:rich>
          </c:tx>
          <c:layout>
            <c:manualLayout>
              <c:xMode val="edge"/>
              <c:yMode val="edge"/>
              <c:x val="4.4612982377872003E-3"/>
              <c:y val="0.32730971591891012"/>
            </c:manualLayout>
          </c:layout>
        </c:title>
        <c:numFmt formatCode="#,##0" sourceLinked="0"/>
        <c:tickLblPos val="nextTo"/>
        <c:txPr>
          <a:bodyPr rot="0" vert="horz"/>
          <a:lstStyle/>
          <a:p>
            <a:pPr>
              <a:defRPr sz="1000" b="0" i="0" u="none" strike="noStrike" baseline="0">
                <a:solidFill>
                  <a:srgbClr val="000000"/>
                </a:solidFill>
                <a:latin typeface="Arial"/>
                <a:ea typeface="Arial"/>
                <a:cs typeface="Arial"/>
              </a:defRPr>
            </a:pPr>
            <a:endParaRPr lang="en-US"/>
          </a:p>
        </c:txPr>
        <c:crossAx val="86960768"/>
        <c:crosses val="autoZero"/>
        <c:crossBetween val="between"/>
        <c:majorUnit val="50"/>
      </c:valAx>
    </c:plotArea>
    <c:plotVisOnly val="1"/>
    <c:dispBlanksAs val="gap"/>
  </c:chart>
  <c:spPr>
    <a:ln>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3C1A66-B907-485F-977A-EBFFEB749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SMMT</dc:creator>
  <cp:lastModifiedBy>fouldb</cp:lastModifiedBy>
  <cp:revision>5</cp:revision>
  <cp:lastPrinted>2013-08-21T14:06:00Z</cp:lastPrinted>
  <dcterms:created xsi:type="dcterms:W3CDTF">2013-11-20T15:04:00Z</dcterms:created>
  <dcterms:modified xsi:type="dcterms:W3CDTF">2013-11-20T16:31:00Z</dcterms:modified>
</cp:coreProperties>
</file>