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6EA" w:rsidRPr="00A72CAD" w:rsidRDefault="008B46EA" w:rsidP="005E0768">
      <w:pPr>
        <w:pStyle w:val="Heading1"/>
        <w:ind w:right="142"/>
        <w:rPr>
          <w:rFonts w:ascii="Arial" w:eastAsiaTheme="minorEastAsia" w:hAnsi="Arial" w:cs="Arial"/>
          <w:bCs/>
          <w:color w:val="1074CB"/>
          <w:sz w:val="28"/>
          <w:szCs w:val="28"/>
        </w:rPr>
      </w:pPr>
      <w:r w:rsidRPr="00A72CAD">
        <w:rPr>
          <w:rFonts w:ascii="Arial" w:eastAsiaTheme="minorEastAsia" w:hAnsi="Arial" w:cs="Arial"/>
          <w:bCs/>
          <w:color w:val="1074CB"/>
          <w:sz w:val="44"/>
          <w:szCs w:val="44"/>
        </w:rPr>
        <w:t xml:space="preserve">UK CAR MANUFACTURING </w:t>
      </w:r>
      <w:r w:rsidRPr="00A72CAD">
        <w:rPr>
          <w:rFonts w:ascii="Arial" w:eastAsiaTheme="minorEastAsia" w:hAnsi="Arial" w:cs="Arial"/>
          <w:b w:val="0"/>
          <w:bCs/>
          <w:color w:val="1074CB"/>
          <w:sz w:val="28"/>
          <w:szCs w:val="28"/>
        </w:rPr>
        <w:t xml:space="preserve">(data for </w:t>
      </w:r>
      <w:r w:rsidR="00D16FB8">
        <w:rPr>
          <w:rFonts w:ascii="Arial" w:eastAsiaTheme="minorEastAsia" w:hAnsi="Arial" w:cs="Arial"/>
          <w:b w:val="0"/>
          <w:bCs/>
          <w:color w:val="1074CB"/>
          <w:sz w:val="28"/>
          <w:szCs w:val="28"/>
        </w:rPr>
        <w:t>Octo</w:t>
      </w:r>
      <w:r w:rsidR="009524D1">
        <w:rPr>
          <w:rFonts w:ascii="Arial" w:eastAsiaTheme="minorEastAsia" w:hAnsi="Arial" w:cs="Arial"/>
          <w:b w:val="0"/>
          <w:bCs/>
          <w:color w:val="1074CB"/>
          <w:sz w:val="28"/>
          <w:szCs w:val="28"/>
        </w:rPr>
        <w:t xml:space="preserve">ber </w:t>
      </w:r>
      <w:r>
        <w:rPr>
          <w:rFonts w:ascii="Arial" w:eastAsiaTheme="minorEastAsia" w:hAnsi="Arial" w:cs="Arial"/>
          <w:b w:val="0"/>
          <w:bCs/>
          <w:color w:val="1074CB"/>
          <w:sz w:val="28"/>
          <w:szCs w:val="28"/>
        </w:rPr>
        <w:t>2014</w:t>
      </w:r>
      <w:r w:rsidRPr="00A72CAD">
        <w:rPr>
          <w:rFonts w:ascii="Arial" w:eastAsiaTheme="minorEastAsia" w:hAnsi="Arial" w:cs="Arial"/>
          <w:b w:val="0"/>
          <w:bCs/>
          <w:color w:val="1074CB"/>
          <w:sz w:val="28"/>
          <w:szCs w:val="28"/>
        </w:rPr>
        <w:t>)</w:t>
      </w:r>
    </w:p>
    <w:p w:rsidR="008B46EA" w:rsidRPr="00A72CAD" w:rsidRDefault="008B46EA" w:rsidP="005E0768">
      <w:pPr>
        <w:pStyle w:val="Heading1"/>
        <w:ind w:right="142"/>
        <w:rPr>
          <w:rFonts w:ascii="Arial" w:eastAsiaTheme="minorEastAsia" w:hAnsi="Arial" w:cs="Arial"/>
          <w:b w:val="0"/>
          <w:bCs/>
          <w:color w:val="FF0000"/>
        </w:rPr>
      </w:pPr>
      <w:r w:rsidRPr="00A72CAD">
        <w:rPr>
          <w:rFonts w:ascii="Arial" w:eastAsiaTheme="minorEastAsia" w:hAnsi="Arial" w:cs="Arial"/>
          <w:b w:val="0"/>
          <w:bCs/>
          <w:color w:val="FF0000"/>
          <w:sz w:val="44"/>
          <w:szCs w:val="44"/>
        </w:rPr>
        <w:t xml:space="preserve">Embargoed to 00:01 on </w:t>
      </w:r>
      <w:r w:rsidR="00E67C34">
        <w:rPr>
          <w:rFonts w:ascii="Arial" w:eastAsiaTheme="minorEastAsia" w:hAnsi="Arial" w:cs="Arial"/>
          <w:b w:val="0"/>
          <w:bCs/>
          <w:color w:val="FF0000"/>
          <w:sz w:val="44"/>
          <w:szCs w:val="44"/>
        </w:rPr>
        <w:t>2</w:t>
      </w:r>
      <w:r w:rsidR="00D16FB8">
        <w:rPr>
          <w:rFonts w:ascii="Arial" w:eastAsiaTheme="minorEastAsia" w:hAnsi="Arial" w:cs="Arial"/>
          <w:b w:val="0"/>
          <w:bCs/>
          <w:color w:val="FF0000"/>
          <w:sz w:val="44"/>
          <w:szCs w:val="44"/>
        </w:rPr>
        <w:t>0 Novem</w:t>
      </w:r>
      <w:r w:rsidR="007D4EAB">
        <w:rPr>
          <w:rFonts w:ascii="Arial" w:eastAsiaTheme="minorEastAsia" w:hAnsi="Arial" w:cs="Arial"/>
          <w:b w:val="0"/>
          <w:bCs/>
          <w:color w:val="FF0000"/>
          <w:sz w:val="44"/>
          <w:szCs w:val="44"/>
        </w:rPr>
        <w:t>ber</w:t>
      </w:r>
      <w:r w:rsidRPr="00A72CAD">
        <w:rPr>
          <w:rFonts w:ascii="Arial" w:eastAsiaTheme="minorEastAsia" w:hAnsi="Arial" w:cs="Arial"/>
          <w:b w:val="0"/>
          <w:bCs/>
          <w:color w:val="FF0000"/>
          <w:szCs w:val="24"/>
        </w:rPr>
        <w:t xml:space="preserve"> </w:t>
      </w:r>
      <w:r w:rsidRPr="00A72CAD">
        <w:rPr>
          <w:rFonts w:ascii="Arial" w:eastAsiaTheme="minorEastAsia" w:hAnsi="Arial" w:cs="Arial"/>
          <w:b w:val="0"/>
          <w:bCs/>
          <w:color w:val="FF0000"/>
          <w:sz w:val="44"/>
          <w:szCs w:val="44"/>
        </w:rPr>
        <w:t>201</w:t>
      </w:r>
      <w:r>
        <w:rPr>
          <w:rFonts w:ascii="Arial" w:eastAsiaTheme="minorEastAsia" w:hAnsi="Arial" w:cs="Arial"/>
          <w:b w:val="0"/>
          <w:bCs/>
          <w:color w:val="FF0000"/>
          <w:sz w:val="44"/>
          <w:szCs w:val="44"/>
        </w:rPr>
        <w:t>4</w:t>
      </w:r>
      <w:r w:rsidRPr="00A72CAD">
        <w:rPr>
          <w:rFonts w:ascii="Arial" w:eastAsiaTheme="minorEastAsia" w:hAnsi="Arial" w:cs="Arial"/>
          <w:b w:val="0"/>
          <w:bCs/>
          <w:color w:val="FF0000"/>
          <w:szCs w:val="24"/>
        </w:rPr>
        <w:t xml:space="preserve"> </w:t>
      </w:r>
    </w:p>
    <w:p w:rsidR="00C23320" w:rsidRPr="002933CF" w:rsidRDefault="006A0B4F" w:rsidP="005E0768">
      <w:pPr>
        <w:tabs>
          <w:tab w:val="left" w:pos="889"/>
        </w:tabs>
        <w:rPr>
          <w:rFonts w:ascii="Arial" w:eastAsiaTheme="minorEastAsia" w:hAnsi="Arial" w:cs="Arial"/>
          <w:bCs/>
          <w:color w:val="1074CB"/>
          <w:sz w:val="20"/>
        </w:rPr>
      </w:pPr>
      <w:r w:rsidRPr="006A0B4F">
        <w:rPr>
          <w:rFonts w:ascii="Arial" w:eastAsiaTheme="minorEastAsia" w:hAnsi="Arial" w:cs="Arial"/>
          <w:b/>
          <w:bCs/>
          <w:noProof/>
          <w:color w:val="1074CB"/>
          <w:sz w:val="20"/>
        </w:rPr>
        <w:pict>
          <v:line id="Line 4"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pt,.6pt" to="462.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" strokecolor="#1074cb"/>
        </w:pict>
      </w:r>
      <w:r w:rsidR="00C80E70">
        <w:rPr>
          <w:rFonts w:ascii="Arial" w:eastAsiaTheme="minorEastAsia" w:hAnsi="Arial" w:cs="Arial"/>
          <w:bCs/>
          <w:color w:val="1074CB"/>
          <w:sz w:val="36"/>
          <w:szCs w:val="36"/>
        </w:rPr>
        <w:t xml:space="preserve"> </w:t>
      </w:r>
    </w:p>
    <w:p w:rsidR="008D4D5C" w:rsidRPr="00345B59" w:rsidRDefault="00D16FB8" w:rsidP="008D4D5C">
      <w:pPr>
        <w:pStyle w:val="Heading1"/>
        <w:ind w:left="0" w:right="425" w:firstLine="0"/>
      </w:pPr>
      <w:r>
        <w:rPr>
          <w:rFonts w:ascii="Arial" w:hAnsi="Arial" w:cs="Arial"/>
          <w:color w:val="1074CB"/>
          <w:sz w:val="36"/>
          <w:szCs w:val="36"/>
        </w:rPr>
        <w:t xml:space="preserve">Car production </w:t>
      </w:r>
      <w:r w:rsidR="00CD1B9E">
        <w:rPr>
          <w:rFonts w:ascii="Arial" w:hAnsi="Arial" w:cs="Arial"/>
          <w:color w:val="1074CB"/>
          <w:sz w:val="36"/>
          <w:szCs w:val="36"/>
        </w:rPr>
        <w:t>slow</w:t>
      </w:r>
      <w:r w:rsidR="00A32987">
        <w:rPr>
          <w:rFonts w:ascii="Arial" w:hAnsi="Arial" w:cs="Arial"/>
          <w:color w:val="1074CB"/>
          <w:sz w:val="36"/>
          <w:szCs w:val="36"/>
        </w:rPr>
        <w:t>s</w:t>
      </w:r>
      <w:r>
        <w:rPr>
          <w:rFonts w:ascii="Arial" w:hAnsi="Arial" w:cs="Arial"/>
          <w:color w:val="1074CB"/>
          <w:sz w:val="36"/>
          <w:szCs w:val="36"/>
        </w:rPr>
        <w:t xml:space="preserve"> amid global economic </w:t>
      </w:r>
      <w:r w:rsidR="00170EFD">
        <w:rPr>
          <w:rFonts w:ascii="Arial" w:hAnsi="Arial" w:cs="Arial"/>
          <w:color w:val="1074CB"/>
          <w:sz w:val="36"/>
          <w:szCs w:val="36"/>
        </w:rPr>
        <w:t>uncertainty</w:t>
      </w:r>
    </w:p>
    <w:p w:rsidR="00DF5C28" w:rsidRPr="00DF5C28" w:rsidRDefault="008D4D5C" w:rsidP="008D4D5C">
      <w:pPr>
        <w:rPr>
          <w:rFonts w:ascii="Arial" w:hAnsi="Arial" w:cs="Arial"/>
          <w:sz w:val="20"/>
        </w:rPr>
      </w:pPr>
      <w:bookmarkStart w:id="0" w:name="_GoBack"/>
      <w:r>
        <w:rPr>
          <w:rFonts w:ascii="Arial" w:hAnsi="Arial" w:cs="Arial"/>
          <w:sz w:val="20"/>
        </w:rPr>
        <w:t> </w:t>
      </w:r>
    </w:p>
    <w:p w:rsidR="008D4D5C" w:rsidRPr="003A2548" w:rsidRDefault="00D16FB8" w:rsidP="008D4D5C">
      <w:pPr>
        <w:pStyle w:val="ListParagraph"/>
        <w:numPr>
          <w:ilvl w:val="0"/>
          <w:numId w:val="6"/>
        </w:numPr>
        <w:spacing w:after="120"/>
        <w:contextualSpacing w:val="0"/>
        <w:rPr>
          <w:sz w:val="20"/>
        </w:rPr>
      </w:pPr>
      <w:r w:rsidRPr="003A2548">
        <w:rPr>
          <w:rFonts w:ascii="Arial" w:hAnsi="Arial" w:cs="Arial"/>
          <w:sz w:val="20"/>
        </w:rPr>
        <w:t>UK car manufacturing fell 6.7% in October to 150,</w:t>
      </w:r>
      <w:r w:rsidR="00B8295C" w:rsidRPr="003A2548">
        <w:rPr>
          <w:rFonts w:ascii="Arial" w:hAnsi="Arial" w:cs="Arial"/>
          <w:sz w:val="20"/>
        </w:rPr>
        <w:t>060</w:t>
      </w:r>
      <w:r w:rsidRPr="003A2548">
        <w:rPr>
          <w:rFonts w:ascii="Arial" w:hAnsi="Arial" w:cs="Arial"/>
          <w:sz w:val="20"/>
        </w:rPr>
        <w:t xml:space="preserve"> units</w:t>
      </w:r>
      <w:r w:rsidR="00681ACD" w:rsidRPr="003A2548">
        <w:rPr>
          <w:rFonts w:ascii="Arial" w:hAnsi="Arial" w:cs="Arial"/>
          <w:sz w:val="20"/>
        </w:rPr>
        <w:t>,</w:t>
      </w:r>
      <w:r w:rsidRPr="003A2548">
        <w:rPr>
          <w:rFonts w:ascii="Arial" w:hAnsi="Arial" w:cs="Arial"/>
          <w:sz w:val="20"/>
        </w:rPr>
        <w:t xml:space="preserve"> leaving year-to-date volumes </w:t>
      </w:r>
      <w:r w:rsidR="00681ACD" w:rsidRPr="003A2548">
        <w:rPr>
          <w:rFonts w:ascii="Arial" w:hAnsi="Arial" w:cs="Arial"/>
          <w:sz w:val="20"/>
        </w:rPr>
        <w:t>flat (</w:t>
      </w:r>
      <w:r w:rsidR="00B8295C" w:rsidRPr="003A2548">
        <w:rPr>
          <w:rFonts w:ascii="Arial" w:hAnsi="Arial" w:cs="Arial"/>
          <w:sz w:val="20"/>
        </w:rPr>
        <w:t>down 0.3</w:t>
      </w:r>
      <w:r w:rsidRPr="003A2548">
        <w:rPr>
          <w:rFonts w:ascii="Arial" w:hAnsi="Arial" w:cs="Arial"/>
          <w:sz w:val="20"/>
        </w:rPr>
        <w:t>%</w:t>
      </w:r>
      <w:r w:rsidR="00681ACD" w:rsidRPr="003A2548">
        <w:rPr>
          <w:rFonts w:ascii="Arial" w:hAnsi="Arial" w:cs="Arial"/>
          <w:sz w:val="20"/>
        </w:rPr>
        <w:t>)</w:t>
      </w:r>
      <w:r w:rsidRPr="003A2548">
        <w:rPr>
          <w:rFonts w:ascii="Arial" w:hAnsi="Arial" w:cs="Arial"/>
          <w:sz w:val="20"/>
        </w:rPr>
        <w:t>.</w:t>
      </w:r>
    </w:p>
    <w:p w:rsidR="00C802D4" w:rsidRPr="003A2548" w:rsidRDefault="007B20DF" w:rsidP="008D4D5C">
      <w:pPr>
        <w:pStyle w:val="ListParagraph"/>
        <w:numPr>
          <w:ilvl w:val="0"/>
          <w:numId w:val="6"/>
        </w:numPr>
        <w:spacing w:after="120"/>
        <w:contextualSpacing w:val="0"/>
        <w:rPr>
          <w:sz w:val="20"/>
        </w:rPr>
      </w:pPr>
      <w:r w:rsidRPr="003A2548">
        <w:rPr>
          <w:rFonts w:ascii="Arial" w:hAnsi="Arial" w:cs="Arial"/>
          <w:sz w:val="20"/>
        </w:rPr>
        <w:t>Global economic uncertainty affecting demand, but outlook is still positive with all-time record production levels expected within</w:t>
      </w:r>
      <w:r w:rsidR="00CD1B9E">
        <w:rPr>
          <w:rFonts w:ascii="Arial" w:hAnsi="Arial" w:cs="Arial"/>
          <w:sz w:val="20"/>
        </w:rPr>
        <w:t xml:space="preserve"> the</w:t>
      </w:r>
      <w:r w:rsidRPr="003A2548">
        <w:rPr>
          <w:rFonts w:ascii="Arial" w:hAnsi="Arial" w:cs="Arial"/>
          <w:sz w:val="20"/>
        </w:rPr>
        <w:t xml:space="preserve"> next few years</w:t>
      </w:r>
      <w:r w:rsidR="005A69CE" w:rsidRPr="003A2548">
        <w:rPr>
          <w:rFonts w:ascii="Arial" w:hAnsi="Arial" w:cs="Arial"/>
          <w:sz w:val="20"/>
        </w:rPr>
        <w:t>.</w:t>
      </w:r>
    </w:p>
    <w:p w:rsidR="00D16FB8" w:rsidRPr="003A2548" w:rsidRDefault="00CD1B9E" w:rsidP="008D4D5C">
      <w:pPr>
        <w:pStyle w:val="ListParagraph"/>
        <w:numPr>
          <w:ilvl w:val="0"/>
          <w:numId w:val="6"/>
        </w:numPr>
        <w:spacing w:after="120"/>
        <w:contextualSpacing w:val="0"/>
        <w:rPr>
          <w:rFonts w:ascii="Arial" w:hAnsi="Arial" w:cs="Arial"/>
          <w:sz w:val="20"/>
        </w:rPr>
      </w:pPr>
      <w:r>
        <w:rPr>
          <w:rFonts w:ascii="Arial" w:hAnsi="Arial" w:cs="Arial"/>
          <w:sz w:val="20"/>
        </w:rPr>
        <w:t xml:space="preserve">Around </w:t>
      </w:r>
      <w:r w:rsidR="00D16FB8" w:rsidRPr="003A2548">
        <w:rPr>
          <w:rFonts w:ascii="Arial" w:hAnsi="Arial" w:cs="Arial"/>
          <w:sz w:val="20"/>
        </w:rPr>
        <w:t xml:space="preserve">80% of UK-built cars are exported, with </w:t>
      </w:r>
      <w:r>
        <w:rPr>
          <w:rFonts w:ascii="Arial" w:hAnsi="Arial" w:cs="Arial"/>
          <w:sz w:val="20"/>
        </w:rPr>
        <w:t xml:space="preserve">the </w:t>
      </w:r>
      <w:r w:rsidR="00681ACD" w:rsidRPr="003A2548">
        <w:rPr>
          <w:rFonts w:ascii="Arial" w:hAnsi="Arial" w:cs="Arial"/>
          <w:sz w:val="20"/>
        </w:rPr>
        <w:t>diverse product mix</w:t>
      </w:r>
      <w:r w:rsidR="00D16FB8" w:rsidRPr="003A2548">
        <w:rPr>
          <w:rFonts w:ascii="Arial" w:hAnsi="Arial" w:cs="Arial"/>
          <w:sz w:val="20"/>
        </w:rPr>
        <w:t xml:space="preserve"> </w:t>
      </w:r>
      <w:r w:rsidR="00C802D4" w:rsidRPr="003A2548">
        <w:rPr>
          <w:rFonts w:ascii="Arial" w:hAnsi="Arial" w:cs="Arial"/>
          <w:sz w:val="20"/>
        </w:rPr>
        <w:t>giving</w:t>
      </w:r>
      <w:r w:rsidR="00D16FB8" w:rsidRPr="003A2548">
        <w:rPr>
          <w:rFonts w:ascii="Arial" w:hAnsi="Arial" w:cs="Arial"/>
          <w:sz w:val="20"/>
        </w:rPr>
        <w:t xml:space="preserve"> a 50/50 split between </w:t>
      </w:r>
      <w:r w:rsidR="00C802D4" w:rsidRPr="003A2548">
        <w:rPr>
          <w:rFonts w:ascii="Arial" w:hAnsi="Arial" w:cs="Arial"/>
          <w:sz w:val="20"/>
        </w:rPr>
        <w:t>EU and non-EU exports.</w:t>
      </w:r>
    </w:p>
    <w:p w:rsidR="008D4D5C" w:rsidRDefault="008D4D5C" w:rsidP="008D4D5C">
      <w:r>
        <w:rPr>
          <w:rFonts w:ascii="Arial" w:hAnsi="Arial" w:cs="Arial"/>
          <w:sz w:val="16"/>
          <w:szCs w:val="16"/>
        </w:rPr>
        <w:t> </w:t>
      </w:r>
    </w:p>
    <w:p w:rsidR="008D4D5C" w:rsidRDefault="008D4D5C" w:rsidP="00681ACD">
      <w:pPr>
        <w:spacing w:line="276" w:lineRule="auto"/>
      </w:pPr>
      <w:r>
        <w:rPr>
          <w:rFonts w:ascii="Arial" w:hAnsi="Arial" w:cs="Arial"/>
          <w:sz w:val="20"/>
        </w:rPr>
        <w:t>"</w:t>
      </w:r>
      <w:r w:rsidR="00AE21CA">
        <w:rPr>
          <w:rFonts w:ascii="Arial" w:hAnsi="Arial" w:cs="Arial"/>
          <w:sz w:val="20"/>
        </w:rPr>
        <w:t xml:space="preserve">The UK’s car manufacturing </w:t>
      </w:r>
      <w:r w:rsidR="0000491C">
        <w:rPr>
          <w:rFonts w:ascii="Arial" w:hAnsi="Arial" w:cs="Arial"/>
          <w:sz w:val="20"/>
        </w:rPr>
        <w:t xml:space="preserve">industry </w:t>
      </w:r>
      <w:r w:rsidR="00170EFD">
        <w:rPr>
          <w:rFonts w:ascii="Arial" w:hAnsi="Arial" w:cs="Arial"/>
          <w:sz w:val="20"/>
        </w:rPr>
        <w:t>is still in a strong position</w:t>
      </w:r>
      <w:r w:rsidR="0000491C">
        <w:rPr>
          <w:rFonts w:ascii="Arial" w:hAnsi="Arial" w:cs="Arial"/>
          <w:sz w:val="20"/>
        </w:rPr>
        <w:t xml:space="preserve"> in spite of the growing uncertainty surrounding the global economy</w:t>
      </w:r>
      <w:r>
        <w:rPr>
          <w:rFonts w:ascii="Arial" w:hAnsi="Arial" w:cs="Arial"/>
          <w:sz w:val="20"/>
        </w:rPr>
        <w:t>," said Mik</w:t>
      </w:r>
      <w:r w:rsidR="00170111">
        <w:rPr>
          <w:rFonts w:ascii="Arial" w:hAnsi="Arial" w:cs="Arial"/>
          <w:sz w:val="20"/>
        </w:rPr>
        <w:t>e Hawes, SMMT Chief Executive. "</w:t>
      </w:r>
      <w:r w:rsidR="0000491C">
        <w:rPr>
          <w:rFonts w:ascii="Arial" w:hAnsi="Arial" w:cs="Arial"/>
          <w:sz w:val="20"/>
        </w:rPr>
        <w:t xml:space="preserve">Billions of pounds have been invested into UK </w:t>
      </w:r>
      <w:r w:rsidR="000D245D">
        <w:rPr>
          <w:rFonts w:ascii="Arial" w:hAnsi="Arial" w:cs="Arial"/>
          <w:sz w:val="20"/>
        </w:rPr>
        <w:t>facilities in the past two years</w:t>
      </w:r>
      <w:r w:rsidR="0000491C">
        <w:rPr>
          <w:rFonts w:ascii="Arial" w:hAnsi="Arial" w:cs="Arial"/>
          <w:sz w:val="20"/>
        </w:rPr>
        <w:t>, with several new models</w:t>
      </w:r>
      <w:r w:rsidR="000D245D">
        <w:rPr>
          <w:rFonts w:ascii="Arial" w:hAnsi="Arial" w:cs="Arial"/>
          <w:sz w:val="20"/>
        </w:rPr>
        <w:t xml:space="preserve"> starting production this year</w:t>
      </w:r>
      <w:r w:rsidR="00170EFD">
        <w:rPr>
          <w:rFonts w:ascii="Arial" w:hAnsi="Arial" w:cs="Arial"/>
          <w:sz w:val="20"/>
        </w:rPr>
        <w:t xml:space="preserve"> and more in the pipeline</w:t>
      </w:r>
      <w:r w:rsidR="000D245D">
        <w:rPr>
          <w:rFonts w:ascii="Arial" w:hAnsi="Arial" w:cs="Arial"/>
          <w:sz w:val="20"/>
        </w:rPr>
        <w:t>.</w:t>
      </w:r>
      <w:r w:rsidR="00170EFD">
        <w:rPr>
          <w:rFonts w:ascii="Arial" w:hAnsi="Arial" w:cs="Arial"/>
          <w:sz w:val="20"/>
        </w:rPr>
        <w:t xml:space="preserve"> There is still demand for UK-built products given their reputation for quality, design and engineering excellence.</w:t>
      </w:r>
      <w:r>
        <w:rPr>
          <w:rFonts w:ascii="Arial" w:hAnsi="Arial" w:cs="Arial"/>
          <w:sz w:val="20"/>
        </w:rPr>
        <w:t>"</w:t>
      </w:r>
    </w:p>
    <w:bookmarkEnd w:id="0"/>
    <w:p w:rsidR="00F72297" w:rsidRPr="006B5D2C" w:rsidRDefault="00F72297" w:rsidP="005D34F5">
      <w:pPr>
        <w:spacing w:line="276" w:lineRule="auto"/>
        <w:rPr>
          <w:rFonts w:ascii="Arial" w:hAnsi="Arial" w:cs="Arial"/>
          <w:sz w:val="16"/>
          <w:szCs w:val="16"/>
        </w:rPr>
      </w:pPr>
    </w:p>
    <w:tbl>
      <w:tblPr>
        <w:tblW w:w="9227" w:type="dxa"/>
        <w:tblInd w:w="95" w:type="dxa"/>
        <w:tblBorders>
          <w:top w:val="single" w:sz="8" w:space="0" w:color="548DD4"/>
          <w:left w:val="single" w:sz="8" w:space="0" w:color="548DD4"/>
          <w:bottom w:val="single" w:sz="8" w:space="0" w:color="548DD4"/>
          <w:right w:val="single" w:sz="8" w:space="0" w:color="548DD4"/>
          <w:insideH w:val="single" w:sz="6" w:space="0" w:color="548DD4"/>
          <w:insideV w:val="single" w:sz="8" w:space="0" w:color="548DD4"/>
        </w:tblBorders>
        <w:tblLook w:val="04A0"/>
      </w:tblPr>
      <w:tblGrid>
        <w:gridCol w:w="2140"/>
        <w:gridCol w:w="1059"/>
        <w:gridCol w:w="939"/>
        <w:gridCol w:w="1262"/>
        <w:gridCol w:w="1276"/>
        <w:gridCol w:w="1275"/>
        <w:gridCol w:w="1276"/>
      </w:tblGrid>
      <w:tr w:rsidR="009524D1" w:rsidRPr="009524D1" w:rsidTr="003E784C">
        <w:trPr>
          <w:trHeight w:val="270"/>
        </w:trPr>
        <w:tc>
          <w:tcPr>
            <w:tcW w:w="2140" w:type="dxa"/>
            <w:shd w:val="clear" w:color="auto" w:fill="auto"/>
            <w:noWrap/>
            <w:vAlign w:val="bottom"/>
            <w:hideMark/>
          </w:tcPr>
          <w:p w:rsidR="00345B59" w:rsidRPr="009524D1" w:rsidRDefault="00345B59" w:rsidP="003E784C">
            <w:pPr>
              <w:jc w:val="center"/>
              <w:rPr>
                <w:rFonts w:ascii="Arial" w:hAnsi="Arial" w:cs="Arial"/>
                <w:b/>
                <w:color w:val="002060"/>
                <w:sz w:val="20"/>
              </w:rPr>
            </w:pPr>
            <w:r w:rsidRPr="009524D1">
              <w:rPr>
                <w:rFonts w:ascii="Arial" w:hAnsi="Arial" w:cs="Arial"/>
                <w:b/>
                <w:color w:val="002060"/>
                <w:sz w:val="20"/>
              </w:rPr>
              <w:t>Car manufacturing</w:t>
            </w:r>
          </w:p>
        </w:tc>
        <w:tc>
          <w:tcPr>
            <w:tcW w:w="1059" w:type="dxa"/>
            <w:shd w:val="clear" w:color="auto" w:fill="auto"/>
            <w:noWrap/>
            <w:vAlign w:val="bottom"/>
            <w:hideMark/>
          </w:tcPr>
          <w:p w:rsidR="00345B59" w:rsidRPr="009524D1" w:rsidRDefault="003E784C" w:rsidP="003E784C">
            <w:pPr>
              <w:jc w:val="center"/>
              <w:rPr>
                <w:rFonts w:ascii="Arial" w:hAnsi="Arial" w:cs="Arial"/>
                <w:b/>
                <w:color w:val="002060"/>
                <w:sz w:val="20"/>
              </w:rPr>
            </w:pPr>
            <w:r>
              <w:rPr>
                <w:rFonts w:ascii="Arial" w:hAnsi="Arial" w:cs="Arial"/>
                <w:b/>
                <w:color w:val="002060"/>
                <w:sz w:val="20"/>
              </w:rPr>
              <w:t>Oct</w:t>
            </w:r>
            <w:r w:rsidR="00345B59" w:rsidRPr="009524D1">
              <w:rPr>
                <w:rFonts w:ascii="Arial" w:hAnsi="Arial" w:cs="Arial"/>
                <w:b/>
                <w:color w:val="002060"/>
                <w:sz w:val="20"/>
              </w:rPr>
              <w:t>-13</w:t>
            </w:r>
          </w:p>
        </w:tc>
        <w:tc>
          <w:tcPr>
            <w:tcW w:w="939" w:type="dxa"/>
            <w:shd w:val="clear" w:color="auto" w:fill="auto"/>
            <w:noWrap/>
            <w:vAlign w:val="bottom"/>
            <w:hideMark/>
          </w:tcPr>
          <w:p w:rsidR="00345B59" w:rsidRPr="009524D1" w:rsidRDefault="003E784C" w:rsidP="003E784C">
            <w:pPr>
              <w:jc w:val="center"/>
              <w:rPr>
                <w:rFonts w:ascii="Arial" w:hAnsi="Arial" w:cs="Arial"/>
                <w:b/>
                <w:color w:val="002060"/>
                <w:sz w:val="20"/>
              </w:rPr>
            </w:pPr>
            <w:r>
              <w:rPr>
                <w:rFonts w:ascii="Arial" w:hAnsi="Arial" w:cs="Arial"/>
                <w:b/>
                <w:color w:val="002060"/>
                <w:sz w:val="20"/>
              </w:rPr>
              <w:t>Oct</w:t>
            </w:r>
            <w:r w:rsidR="00345B59" w:rsidRPr="009524D1">
              <w:rPr>
                <w:rFonts w:ascii="Arial" w:hAnsi="Arial" w:cs="Arial"/>
                <w:b/>
                <w:color w:val="002060"/>
                <w:sz w:val="20"/>
              </w:rPr>
              <w:t>-14</w:t>
            </w:r>
          </w:p>
        </w:tc>
        <w:tc>
          <w:tcPr>
            <w:tcW w:w="1262" w:type="dxa"/>
            <w:shd w:val="clear" w:color="auto" w:fill="auto"/>
            <w:noWrap/>
            <w:vAlign w:val="bottom"/>
            <w:hideMark/>
          </w:tcPr>
          <w:p w:rsidR="00345B59" w:rsidRPr="009524D1" w:rsidRDefault="00345B59" w:rsidP="003E784C">
            <w:pPr>
              <w:jc w:val="center"/>
              <w:rPr>
                <w:rFonts w:ascii="Arial" w:hAnsi="Arial" w:cs="Arial"/>
                <w:b/>
                <w:color w:val="002060"/>
                <w:sz w:val="20"/>
              </w:rPr>
            </w:pPr>
            <w:r w:rsidRPr="009524D1">
              <w:rPr>
                <w:rFonts w:ascii="Arial" w:hAnsi="Arial" w:cs="Arial"/>
                <w:b/>
                <w:color w:val="002060"/>
                <w:sz w:val="20"/>
              </w:rPr>
              <w:t>% Change</w:t>
            </w:r>
          </w:p>
        </w:tc>
        <w:tc>
          <w:tcPr>
            <w:tcW w:w="1276" w:type="dxa"/>
            <w:shd w:val="clear" w:color="auto" w:fill="auto"/>
            <w:noWrap/>
            <w:vAlign w:val="bottom"/>
            <w:hideMark/>
          </w:tcPr>
          <w:p w:rsidR="00345B59" w:rsidRPr="009524D1" w:rsidRDefault="00345B59" w:rsidP="003E784C">
            <w:pPr>
              <w:jc w:val="center"/>
              <w:rPr>
                <w:rFonts w:ascii="Arial" w:hAnsi="Arial" w:cs="Arial"/>
                <w:b/>
                <w:color w:val="002060"/>
                <w:sz w:val="20"/>
              </w:rPr>
            </w:pPr>
            <w:r w:rsidRPr="009524D1">
              <w:rPr>
                <w:rFonts w:ascii="Arial" w:hAnsi="Arial" w:cs="Arial"/>
                <w:b/>
                <w:color w:val="002060"/>
                <w:sz w:val="20"/>
              </w:rPr>
              <w:t>YTD-13</w:t>
            </w:r>
          </w:p>
        </w:tc>
        <w:tc>
          <w:tcPr>
            <w:tcW w:w="1275" w:type="dxa"/>
            <w:shd w:val="clear" w:color="auto" w:fill="auto"/>
            <w:noWrap/>
            <w:vAlign w:val="bottom"/>
            <w:hideMark/>
          </w:tcPr>
          <w:p w:rsidR="00345B59" w:rsidRPr="009524D1" w:rsidRDefault="00345B59" w:rsidP="003E784C">
            <w:pPr>
              <w:jc w:val="center"/>
              <w:rPr>
                <w:rFonts w:ascii="Arial" w:hAnsi="Arial" w:cs="Arial"/>
                <w:b/>
                <w:color w:val="002060"/>
                <w:sz w:val="20"/>
              </w:rPr>
            </w:pPr>
            <w:r w:rsidRPr="009524D1">
              <w:rPr>
                <w:rFonts w:ascii="Arial" w:hAnsi="Arial" w:cs="Arial"/>
                <w:b/>
                <w:color w:val="002060"/>
                <w:sz w:val="20"/>
              </w:rPr>
              <w:t>YTD-14</w:t>
            </w:r>
          </w:p>
        </w:tc>
        <w:tc>
          <w:tcPr>
            <w:tcW w:w="1276" w:type="dxa"/>
            <w:shd w:val="clear" w:color="auto" w:fill="auto"/>
            <w:noWrap/>
            <w:vAlign w:val="bottom"/>
            <w:hideMark/>
          </w:tcPr>
          <w:p w:rsidR="00345B59" w:rsidRPr="009524D1" w:rsidRDefault="00345B59" w:rsidP="003E784C">
            <w:pPr>
              <w:jc w:val="center"/>
              <w:rPr>
                <w:rFonts w:ascii="Arial" w:hAnsi="Arial" w:cs="Arial"/>
                <w:b/>
                <w:color w:val="002060"/>
                <w:sz w:val="20"/>
              </w:rPr>
            </w:pPr>
            <w:r w:rsidRPr="009524D1">
              <w:rPr>
                <w:rFonts w:ascii="Arial" w:hAnsi="Arial" w:cs="Arial"/>
                <w:b/>
                <w:color w:val="002060"/>
                <w:sz w:val="20"/>
              </w:rPr>
              <w:t>% Change</w:t>
            </w:r>
          </w:p>
        </w:tc>
      </w:tr>
      <w:tr w:rsidR="003E784C" w:rsidRPr="009524D1" w:rsidTr="00345B59">
        <w:trPr>
          <w:trHeight w:val="270"/>
        </w:trPr>
        <w:tc>
          <w:tcPr>
            <w:tcW w:w="2140" w:type="dxa"/>
            <w:shd w:val="clear" w:color="auto" w:fill="auto"/>
            <w:noWrap/>
            <w:vAlign w:val="bottom"/>
            <w:hideMark/>
          </w:tcPr>
          <w:p w:rsidR="003E784C" w:rsidRPr="009524D1" w:rsidRDefault="003E784C">
            <w:pPr>
              <w:jc w:val="right"/>
              <w:rPr>
                <w:rFonts w:ascii="Arial" w:hAnsi="Arial" w:cs="Arial"/>
                <w:b/>
                <w:color w:val="002060"/>
                <w:sz w:val="20"/>
              </w:rPr>
            </w:pPr>
            <w:r w:rsidRPr="009524D1">
              <w:rPr>
                <w:rFonts w:ascii="Arial" w:hAnsi="Arial" w:cs="Arial"/>
                <w:b/>
                <w:color w:val="002060"/>
                <w:sz w:val="20"/>
              </w:rPr>
              <w:t>Total</w:t>
            </w:r>
          </w:p>
        </w:tc>
        <w:tc>
          <w:tcPr>
            <w:tcW w:w="1059" w:type="dxa"/>
            <w:shd w:val="clear" w:color="auto" w:fill="auto"/>
            <w:noWrap/>
            <w:vAlign w:val="bottom"/>
            <w:hideMark/>
          </w:tcPr>
          <w:p w:rsidR="003E784C" w:rsidRPr="003E784C" w:rsidRDefault="003E784C" w:rsidP="003E784C">
            <w:pPr>
              <w:jc w:val="right"/>
              <w:rPr>
                <w:rFonts w:ascii="Arial" w:eastAsia="Times New Roman" w:hAnsi="Arial" w:cs="Arial"/>
                <w:b/>
                <w:color w:val="0D2255"/>
                <w:sz w:val="18"/>
                <w:szCs w:val="18"/>
              </w:rPr>
            </w:pPr>
            <w:r w:rsidRPr="003E784C">
              <w:rPr>
                <w:rFonts w:ascii="Arial" w:eastAsia="Times New Roman" w:hAnsi="Arial" w:cs="Arial"/>
                <w:b/>
                <w:color w:val="0D2255"/>
                <w:sz w:val="20"/>
                <w:szCs w:val="18"/>
              </w:rPr>
              <w:t>160,898</w:t>
            </w:r>
          </w:p>
        </w:tc>
        <w:tc>
          <w:tcPr>
            <w:tcW w:w="939" w:type="dxa"/>
            <w:shd w:val="clear" w:color="auto" w:fill="auto"/>
            <w:noWrap/>
            <w:vAlign w:val="bottom"/>
            <w:hideMark/>
          </w:tcPr>
          <w:p w:rsidR="003E784C" w:rsidRPr="003E784C" w:rsidRDefault="003E784C" w:rsidP="003E784C">
            <w:pPr>
              <w:jc w:val="right"/>
              <w:rPr>
                <w:rFonts w:ascii="Arial" w:eastAsia="Times New Roman" w:hAnsi="Arial" w:cs="Arial"/>
                <w:b/>
                <w:color w:val="0D2255"/>
                <w:sz w:val="20"/>
              </w:rPr>
            </w:pPr>
            <w:r w:rsidRPr="003E784C">
              <w:rPr>
                <w:rFonts w:ascii="Arial" w:eastAsia="Times New Roman" w:hAnsi="Arial" w:cs="Arial"/>
                <w:b/>
                <w:color w:val="0D2255"/>
                <w:sz w:val="20"/>
              </w:rPr>
              <w:t>150,060</w:t>
            </w:r>
          </w:p>
        </w:tc>
        <w:tc>
          <w:tcPr>
            <w:tcW w:w="1262" w:type="dxa"/>
            <w:shd w:val="clear" w:color="auto" w:fill="auto"/>
            <w:noWrap/>
            <w:vAlign w:val="bottom"/>
            <w:hideMark/>
          </w:tcPr>
          <w:p w:rsidR="003E784C" w:rsidRPr="003E784C" w:rsidRDefault="003E784C" w:rsidP="003E784C">
            <w:pPr>
              <w:jc w:val="right"/>
              <w:rPr>
                <w:rFonts w:ascii="Arial" w:eastAsia="Times New Roman" w:hAnsi="Arial" w:cs="Arial"/>
                <w:b/>
                <w:color w:val="0D2255"/>
                <w:sz w:val="18"/>
                <w:szCs w:val="18"/>
              </w:rPr>
            </w:pPr>
            <w:r w:rsidRPr="003E784C">
              <w:rPr>
                <w:rFonts w:ascii="Arial" w:eastAsia="Times New Roman" w:hAnsi="Arial" w:cs="Arial"/>
                <w:b/>
                <w:color w:val="0D2255"/>
                <w:sz w:val="18"/>
                <w:szCs w:val="18"/>
              </w:rPr>
              <w:t>-6.7%</w:t>
            </w:r>
          </w:p>
        </w:tc>
        <w:tc>
          <w:tcPr>
            <w:tcW w:w="1276" w:type="dxa"/>
            <w:shd w:val="clear" w:color="auto" w:fill="auto"/>
            <w:noWrap/>
            <w:vAlign w:val="bottom"/>
            <w:hideMark/>
          </w:tcPr>
          <w:p w:rsidR="003E784C" w:rsidRPr="003E784C" w:rsidRDefault="003E784C" w:rsidP="003E784C">
            <w:pPr>
              <w:jc w:val="right"/>
              <w:rPr>
                <w:rFonts w:ascii="Arial" w:eastAsia="Times New Roman" w:hAnsi="Arial" w:cs="Arial"/>
                <w:b/>
                <w:color w:val="0D2255"/>
                <w:sz w:val="20"/>
              </w:rPr>
            </w:pPr>
            <w:r w:rsidRPr="003E784C">
              <w:rPr>
                <w:rFonts w:ascii="Arial" w:eastAsia="Times New Roman" w:hAnsi="Arial" w:cs="Arial"/>
                <w:b/>
                <w:color w:val="0D2255"/>
                <w:sz w:val="20"/>
              </w:rPr>
              <w:t>1,286,572</w:t>
            </w:r>
          </w:p>
        </w:tc>
        <w:tc>
          <w:tcPr>
            <w:tcW w:w="1275" w:type="dxa"/>
            <w:shd w:val="clear" w:color="auto" w:fill="auto"/>
            <w:noWrap/>
            <w:vAlign w:val="bottom"/>
            <w:hideMark/>
          </w:tcPr>
          <w:p w:rsidR="003E784C" w:rsidRPr="003E784C" w:rsidRDefault="003E784C" w:rsidP="003E784C">
            <w:pPr>
              <w:jc w:val="right"/>
              <w:rPr>
                <w:rFonts w:ascii="Arial" w:eastAsia="Times New Roman" w:hAnsi="Arial" w:cs="Arial"/>
                <w:b/>
                <w:color w:val="0D2255"/>
                <w:sz w:val="20"/>
              </w:rPr>
            </w:pPr>
            <w:r w:rsidRPr="003E784C">
              <w:rPr>
                <w:rFonts w:ascii="Arial" w:eastAsia="Times New Roman" w:hAnsi="Arial" w:cs="Arial"/>
                <w:b/>
                <w:color w:val="0D2255"/>
                <w:sz w:val="20"/>
              </w:rPr>
              <w:t>1,282,077</w:t>
            </w:r>
          </w:p>
        </w:tc>
        <w:tc>
          <w:tcPr>
            <w:tcW w:w="1276" w:type="dxa"/>
            <w:shd w:val="clear" w:color="auto" w:fill="auto"/>
            <w:noWrap/>
            <w:vAlign w:val="bottom"/>
            <w:hideMark/>
          </w:tcPr>
          <w:p w:rsidR="003E784C" w:rsidRPr="003E784C" w:rsidRDefault="003E784C" w:rsidP="003E784C">
            <w:pPr>
              <w:jc w:val="right"/>
              <w:rPr>
                <w:rFonts w:ascii="Arial" w:eastAsia="Times New Roman" w:hAnsi="Arial" w:cs="Arial"/>
                <w:b/>
                <w:color w:val="0D2255"/>
                <w:sz w:val="18"/>
                <w:szCs w:val="18"/>
              </w:rPr>
            </w:pPr>
            <w:r w:rsidRPr="003E784C">
              <w:rPr>
                <w:rFonts w:ascii="Arial" w:eastAsia="Times New Roman" w:hAnsi="Arial" w:cs="Arial"/>
                <w:b/>
                <w:color w:val="0D2255"/>
                <w:sz w:val="18"/>
                <w:szCs w:val="18"/>
              </w:rPr>
              <w:t>-0.3%</w:t>
            </w:r>
          </w:p>
        </w:tc>
      </w:tr>
      <w:tr w:rsidR="003E784C" w:rsidRPr="009524D1" w:rsidTr="00345B59">
        <w:trPr>
          <w:trHeight w:val="270"/>
        </w:trPr>
        <w:tc>
          <w:tcPr>
            <w:tcW w:w="2140" w:type="dxa"/>
            <w:shd w:val="clear" w:color="auto" w:fill="auto"/>
            <w:noWrap/>
            <w:vAlign w:val="bottom"/>
            <w:hideMark/>
          </w:tcPr>
          <w:p w:rsidR="003E784C" w:rsidRPr="009524D1" w:rsidRDefault="003E784C">
            <w:pPr>
              <w:jc w:val="right"/>
              <w:rPr>
                <w:rFonts w:ascii="Arial" w:hAnsi="Arial" w:cs="Arial"/>
                <w:color w:val="002060"/>
                <w:sz w:val="20"/>
              </w:rPr>
            </w:pPr>
            <w:r w:rsidRPr="009524D1">
              <w:rPr>
                <w:rFonts w:ascii="Arial" w:hAnsi="Arial" w:cs="Arial"/>
                <w:color w:val="002060"/>
                <w:sz w:val="20"/>
              </w:rPr>
              <w:t>Home</w:t>
            </w:r>
          </w:p>
        </w:tc>
        <w:tc>
          <w:tcPr>
            <w:tcW w:w="1059" w:type="dxa"/>
            <w:shd w:val="clear" w:color="auto" w:fill="auto"/>
            <w:noWrap/>
            <w:vAlign w:val="bottom"/>
            <w:hideMark/>
          </w:tcPr>
          <w:p w:rsidR="003E784C" w:rsidRPr="003E784C" w:rsidRDefault="003E784C" w:rsidP="003E784C">
            <w:pPr>
              <w:jc w:val="right"/>
              <w:rPr>
                <w:rFonts w:ascii="Arial" w:eastAsia="Times New Roman" w:hAnsi="Arial" w:cs="Arial"/>
                <w:color w:val="0D2255"/>
                <w:sz w:val="20"/>
              </w:rPr>
            </w:pPr>
            <w:r w:rsidRPr="003E784C">
              <w:rPr>
                <w:rFonts w:ascii="Arial" w:eastAsia="Times New Roman" w:hAnsi="Arial" w:cs="Arial"/>
                <w:color w:val="0D2255"/>
                <w:sz w:val="20"/>
              </w:rPr>
              <w:t>30,635</w:t>
            </w:r>
          </w:p>
        </w:tc>
        <w:tc>
          <w:tcPr>
            <w:tcW w:w="939" w:type="dxa"/>
            <w:shd w:val="clear" w:color="auto" w:fill="auto"/>
            <w:noWrap/>
            <w:vAlign w:val="bottom"/>
            <w:hideMark/>
          </w:tcPr>
          <w:p w:rsidR="003E784C" w:rsidRPr="003E784C" w:rsidRDefault="003E784C" w:rsidP="003E784C">
            <w:pPr>
              <w:jc w:val="right"/>
              <w:rPr>
                <w:rFonts w:ascii="Arial" w:eastAsia="Times New Roman" w:hAnsi="Arial" w:cs="Arial"/>
                <w:color w:val="0D2255"/>
                <w:sz w:val="20"/>
              </w:rPr>
            </w:pPr>
            <w:r w:rsidRPr="003E784C">
              <w:rPr>
                <w:rFonts w:ascii="Arial" w:eastAsia="Times New Roman" w:hAnsi="Arial" w:cs="Arial"/>
                <w:color w:val="0D2255"/>
                <w:sz w:val="20"/>
              </w:rPr>
              <w:t>33,895</w:t>
            </w:r>
          </w:p>
        </w:tc>
        <w:tc>
          <w:tcPr>
            <w:tcW w:w="1262" w:type="dxa"/>
            <w:shd w:val="clear" w:color="auto" w:fill="auto"/>
            <w:noWrap/>
            <w:vAlign w:val="bottom"/>
            <w:hideMark/>
          </w:tcPr>
          <w:p w:rsidR="003E784C" w:rsidRPr="003E784C" w:rsidRDefault="003E784C" w:rsidP="003E784C">
            <w:pPr>
              <w:jc w:val="right"/>
              <w:rPr>
                <w:rFonts w:ascii="Arial" w:eastAsia="Times New Roman" w:hAnsi="Arial" w:cs="Arial"/>
                <w:color w:val="0D2255"/>
                <w:sz w:val="18"/>
                <w:szCs w:val="18"/>
              </w:rPr>
            </w:pPr>
            <w:r w:rsidRPr="003E784C">
              <w:rPr>
                <w:rFonts w:ascii="Arial" w:eastAsia="Times New Roman" w:hAnsi="Arial" w:cs="Arial"/>
                <w:color w:val="0D2255"/>
                <w:sz w:val="18"/>
                <w:szCs w:val="18"/>
              </w:rPr>
              <w:t>10.6%</w:t>
            </w:r>
          </w:p>
        </w:tc>
        <w:tc>
          <w:tcPr>
            <w:tcW w:w="1276" w:type="dxa"/>
            <w:shd w:val="clear" w:color="auto" w:fill="auto"/>
            <w:noWrap/>
            <w:vAlign w:val="bottom"/>
            <w:hideMark/>
          </w:tcPr>
          <w:p w:rsidR="003E784C" w:rsidRPr="003E784C" w:rsidRDefault="003E784C" w:rsidP="003E784C">
            <w:pPr>
              <w:jc w:val="right"/>
              <w:rPr>
                <w:rFonts w:ascii="Arial" w:eastAsia="Times New Roman" w:hAnsi="Arial" w:cs="Arial"/>
                <w:color w:val="0D2255"/>
                <w:sz w:val="20"/>
              </w:rPr>
            </w:pPr>
            <w:r w:rsidRPr="003E784C">
              <w:rPr>
                <w:rFonts w:ascii="Arial" w:eastAsia="Times New Roman" w:hAnsi="Arial" w:cs="Arial"/>
                <w:color w:val="0D2255"/>
                <w:sz w:val="20"/>
              </w:rPr>
              <w:t>271,578</w:t>
            </w:r>
          </w:p>
        </w:tc>
        <w:tc>
          <w:tcPr>
            <w:tcW w:w="1275" w:type="dxa"/>
            <w:shd w:val="clear" w:color="auto" w:fill="auto"/>
            <w:noWrap/>
            <w:vAlign w:val="bottom"/>
            <w:hideMark/>
          </w:tcPr>
          <w:p w:rsidR="003E784C" w:rsidRPr="003E784C" w:rsidRDefault="003E784C" w:rsidP="003E784C">
            <w:pPr>
              <w:jc w:val="right"/>
              <w:rPr>
                <w:rFonts w:ascii="Arial" w:eastAsia="Times New Roman" w:hAnsi="Arial" w:cs="Arial"/>
                <w:color w:val="0D2255"/>
                <w:sz w:val="20"/>
              </w:rPr>
            </w:pPr>
            <w:r w:rsidRPr="003E784C">
              <w:rPr>
                <w:rFonts w:ascii="Arial" w:eastAsia="Times New Roman" w:hAnsi="Arial" w:cs="Arial"/>
                <w:color w:val="0D2255"/>
                <w:sz w:val="20"/>
              </w:rPr>
              <w:t>281,788</w:t>
            </w:r>
          </w:p>
        </w:tc>
        <w:tc>
          <w:tcPr>
            <w:tcW w:w="1276" w:type="dxa"/>
            <w:shd w:val="clear" w:color="auto" w:fill="auto"/>
            <w:noWrap/>
            <w:vAlign w:val="bottom"/>
            <w:hideMark/>
          </w:tcPr>
          <w:p w:rsidR="003E784C" w:rsidRPr="003E784C" w:rsidRDefault="003E784C" w:rsidP="003E784C">
            <w:pPr>
              <w:jc w:val="right"/>
              <w:rPr>
                <w:rFonts w:ascii="Arial" w:eastAsia="Times New Roman" w:hAnsi="Arial" w:cs="Arial"/>
                <w:color w:val="0D2255"/>
                <w:sz w:val="18"/>
                <w:szCs w:val="18"/>
              </w:rPr>
            </w:pPr>
            <w:r w:rsidRPr="003E784C">
              <w:rPr>
                <w:rFonts w:ascii="Arial" w:eastAsia="Times New Roman" w:hAnsi="Arial" w:cs="Arial"/>
                <w:color w:val="0D2255"/>
                <w:sz w:val="18"/>
                <w:szCs w:val="18"/>
              </w:rPr>
              <w:t>3.8%</w:t>
            </w:r>
          </w:p>
        </w:tc>
      </w:tr>
      <w:tr w:rsidR="003E784C" w:rsidRPr="009524D1" w:rsidTr="00345B59">
        <w:trPr>
          <w:trHeight w:val="270"/>
        </w:trPr>
        <w:tc>
          <w:tcPr>
            <w:tcW w:w="2140" w:type="dxa"/>
            <w:shd w:val="clear" w:color="auto" w:fill="auto"/>
            <w:noWrap/>
            <w:vAlign w:val="bottom"/>
            <w:hideMark/>
          </w:tcPr>
          <w:p w:rsidR="003E784C" w:rsidRPr="009524D1" w:rsidRDefault="003E784C">
            <w:pPr>
              <w:jc w:val="right"/>
              <w:rPr>
                <w:rFonts w:ascii="Arial" w:hAnsi="Arial" w:cs="Arial"/>
                <w:color w:val="002060"/>
                <w:sz w:val="20"/>
              </w:rPr>
            </w:pPr>
            <w:r w:rsidRPr="009524D1">
              <w:rPr>
                <w:rFonts w:ascii="Arial" w:hAnsi="Arial" w:cs="Arial"/>
                <w:color w:val="002060"/>
                <w:sz w:val="20"/>
              </w:rPr>
              <w:t>Export</w:t>
            </w:r>
          </w:p>
        </w:tc>
        <w:tc>
          <w:tcPr>
            <w:tcW w:w="1059" w:type="dxa"/>
            <w:shd w:val="clear" w:color="auto" w:fill="auto"/>
            <w:noWrap/>
            <w:vAlign w:val="bottom"/>
            <w:hideMark/>
          </w:tcPr>
          <w:p w:rsidR="003E784C" w:rsidRPr="003E784C" w:rsidRDefault="003E784C" w:rsidP="003E784C">
            <w:pPr>
              <w:jc w:val="right"/>
              <w:rPr>
                <w:rFonts w:ascii="Arial" w:eastAsia="Times New Roman" w:hAnsi="Arial" w:cs="Arial"/>
                <w:color w:val="0D2255"/>
                <w:sz w:val="20"/>
              </w:rPr>
            </w:pPr>
            <w:r w:rsidRPr="003E784C">
              <w:rPr>
                <w:rFonts w:ascii="Arial" w:eastAsia="Times New Roman" w:hAnsi="Arial" w:cs="Arial"/>
                <w:color w:val="0D2255"/>
                <w:sz w:val="20"/>
              </w:rPr>
              <w:t>130,263</w:t>
            </w:r>
          </w:p>
        </w:tc>
        <w:tc>
          <w:tcPr>
            <w:tcW w:w="939" w:type="dxa"/>
            <w:shd w:val="clear" w:color="auto" w:fill="auto"/>
            <w:noWrap/>
            <w:vAlign w:val="bottom"/>
            <w:hideMark/>
          </w:tcPr>
          <w:p w:rsidR="003E784C" w:rsidRPr="003E784C" w:rsidRDefault="003E784C" w:rsidP="003E784C">
            <w:pPr>
              <w:jc w:val="right"/>
              <w:rPr>
                <w:rFonts w:ascii="Arial" w:eastAsia="Times New Roman" w:hAnsi="Arial" w:cs="Arial"/>
                <w:color w:val="0D2255"/>
                <w:sz w:val="20"/>
              </w:rPr>
            </w:pPr>
            <w:r w:rsidRPr="003E784C">
              <w:rPr>
                <w:rFonts w:ascii="Arial" w:eastAsia="Times New Roman" w:hAnsi="Arial" w:cs="Arial"/>
                <w:color w:val="0D2255"/>
                <w:sz w:val="20"/>
              </w:rPr>
              <w:t>116,165</w:t>
            </w:r>
          </w:p>
        </w:tc>
        <w:tc>
          <w:tcPr>
            <w:tcW w:w="1262" w:type="dxa"/>
            <w:shd w:val="clear" w:color="auto" w:fill="auto"/>
            <w:noWrap/>
            <w:vAlign w:val="bottom"/>
            <w:hideMark/>
          </w:tcPr>
          <w:p w:rsidR="003E784C" w:rsidRPr="003E784C" w:rsidRDefault="003E784C" w:rsidP="003E784C">
            <w:pPr>
              <w:jc w:val="right"/>
              <w:rPr>
                <w:rFonts w:ascii="Arial" w:eastAsia="Times New Roman" w:hAnsi="Arial" w:cs="Arial"/>
                <w:color w:val="0D2255"/>
                <w:sz w:val="18"/>
                <w:szCs w:val="18"/>
              </w:rPr>
            </w:pPr>
            <w:r w:rsidRPr="003E784C">
              <w:rPr>
                <w:rFonts w:ascii="Arial" w:eastAsia="Times New Roman" w:hAnsi="Arial" w:cs="Arial"/>
                <w:color w:val="0D2255"/>
                <w:sz w:val="18"/>
                <w:szCs w:val="18"/>
              </w:rPr>
              <w:t>-10.8%</w:t>
            </w:r>
          </w:p>
        </w:tc>
        <w:tc>
          <w:tcPr>
            <w:tcW w:w="1276" w:type="dxa"/>
            <w:shd w:val="clear" w:color="auto" w:fill="auto"/>
            <w:noWrap/>
            <w:vAlign w:val="bottom"/>
            <w:hideMark/>
          </w:tcPr>
          <w:p w:rsidR="003E784C" w:rsidRPr="003E784C" w:rsidRDefault="003E784C" w:rsidP="003E784C">
            <w:pPr>
              <w:jc w:val="right"/>
              <w:rPr>
                <w:rFonts w:ascii="Arial" w:eastAsia="Times New Roman" w:hAnsi="Arial" w:cs="Arial"/>
                <w:color w:val="0D2255"/>
                <w:sz w:val="20"/>
              </w:rPr>
            </w:pPr>
            <w:r w:rsidRPr="003E784C">
              <w:rPr>
                <w:rFonts w:ascii="Arial" w:eastAsia="Times New Roman" w:hAnsi="Arial" w:cs="Arial"/>
                <w:color w:val="0D2255"/>
                <w:sz w:val="20"/>
              </w:rPr>
              <w:t>1,014,994</w:t>
            </w:r>
          </w:p>
        </w:tc>
        <w:tc>
          <w:tcPr>
            <w:tcW w:w="1275" w:type="dxa"/>
            <w:shd w:val="clear" w:color="auto" w:fill="auto"/>
            <w:noWrap/>
            <w:vAlign w:val="bottom"/>
            <w:hideMark/>
          </w:tcPr>
          <w:p w:rsidR="003E784C" w:rsidRPr="003E784C" w:rsidRDefault="003E784C" w:rsidP="003E784C">
            <w:pPr>
              <w:jc w:val="right"/>
              <w:rPr>
                <w:rFonts w:ascii="Arial" w:eastAsia="Times New Roman" w:hAnsi="Arial" w:cs="Arial"/>
                <w:color w:val="0D2255"/>
                <w:sz w:val="20"/>
              </w:rPr>
            </w:pPr>
            <w:r w:rsidRPr="003E784C">
              <w:rPr>
                <w:rFonts w:ascii="Arial" w:eastAsia="Times New Roman" w:hAnsi="Arial" w:cs="Arial"/>
                <w:color w:val="0D2255"/>
                <w:sz w:val="20"/>
              </w:rPr>
              <w:t>1,000,289</w:t>
            </w:r>
          </w:p>
        </w:tc>
        <w:tc>
          <w:tcPr>
            <w:tcW w:w="1276" w:type="dxa"/>
            <w:shd w:val="clear" w:color="auto" w:fill="auto"/>
            <w:noWrap/>
            <w:vAlign w:val="bottom"/>
            <w:hideMark/>
          </w:tcPr>
          <w:p w:rsidR="003E784C" w:rsidRPr="003E784C" w:rsidRDefault="003E784C" w:rsidP="003E784C">
            <w:pPr>
              <w:jc w:val="right"/>
              <w:rPr>
                <w:rFonts w:ascii="Arial" w:eastAsia="Times New Roman" w:hAnsi="Arial" w:cs="Arial"/>
                <w:color w:val="0D2255"/>
                <w:sz w:val="18"/>
                <w:szCs w:val="18"/>
              </w:rPr>
            </w:pPr>
            <w:r w:rsidRPr="003E784C">
              <w:rPr>
                <w:rFonts w:ascii="Arial" w:eastAsia="Times New Roman" w:hAnsi="Arial" w:cs="Arial"/>
                <w:color w:val="0D2255"/>
                <w:sz w:val="18"/>
                <w:szCs w:val="18"/>
              </w:rPr>
              <w:t>-1.4%</w:t>
            </w:r>
          </w:p>
        </w:tc>
      </w:tr>
      <w:tr w:rsidR="003E784C" w:rsidRPr="009524D1" w:rsidTr="00345B59">
        <w:trPr>
          <w:trHeight w:val="270"/>
        </w:trPr>
        <w:tc>
          <w:tcPr>
            <w:tcW w:w="2140" w:type="dxa"/>
            <w:shd w:val="clear" w:color="auto" w:fill="auto"/>
            <w:noWrap/>
            <w:vAlign w:val="bottom"/>
            <w:hideMark/>
          </w:tcPr>
          <w:p w:rsidR="003E784C" w:rsidRPr="009524D1" w:rsidRDefault="003E784C">
            <w:pPr>
              <w:jc w:val="right"/>
              <w:rPr>
                <w:rFonts w:ascii="Arial" w:hAnsi="Arial" w:cs="Arial"/>
                <w:color w:val="002060"/>
                <w:sz w:val="20"/>
              </w:rPr>
            </w:pPr>
            <w:r w:rsidRPr="009524D1">
              <w:rPr>
                <w:rFonts w:ascii="Arial" w:hAnsi="Arial" w:cs="Arial"/>
                <w:color w:val="002060"/>
                <w:sz w:val="20"/>
              </w:rPr>
              <w:t>% export</w:t>
            </w:r>
          </w:p>
        </w:tc>
        <w:tc>
          <w:tcPr>
            <w:tcW w:w="1059" w:type="dxa"/>
            <w:shd w:val="clear" w:color="auto" w:fill="auto"/>
            <w:noWrap/>
            <w:vAlign w:val="bottom"/>
            <w:hideMark/>
          </w:tcPr>
          <w:p w:rsidR="003E784C" w:rsidRPr="003E784C" w:rsidRDefault="003E784C" w:rsidP="003E784C">
            <w:pPr>
              <w:jc w:val="right"/>
              <w:rPr>
                <w:rFonts w:ascii="Arial" w:eastAsia="Times New Roman" w:hAnsi="Arial" w:cs="Arial"/>
                <w:color w:val="0D2255"/>
                <w:sz w:val="20"/>
              </w:rPr>
            </w:pPr>
            <w:r w:rsidRPr="003E784C">
              <w:rPr>
                <w:rFonts w:ascii="Arial" w:eastAsia="Times New Roman" w:hAnsi="Arial" w:cs="Arial"/>
                <w:color w:val="0D2255"/>
                <w:sz w:val="20"/>
              </w:rPr>
              <w:t>81.0%</w:t>
            </w:r>
          </w:p>
        </w:tc>
        <w:tc>
          <w:tcPr>
            <w:tcW w:w="939" w:type="dxa"/>
            <w:shd w:val="clear" w:color="auto" w:fill="auto"/>
            <w:noWrap/>
            <w:vAlign w:val="bottom"/>
            <w:hideMark/>
          </w:tcPr>
          <w:p w:rsidR="003E784C" w:rsidRPr="003E784C" w:rsidRDefault="003E784C" w:rsidP="003E784C">
            <w:pPr>
              <w:jc w:val="right"/>
              <w:rPr>
                <w:rFonts w:ascii="Arial" w:eastAsia="Times New Roman" w:hAnsi="Arial" w:cs="Arial"/>
                <w:color w:val="0D2255"/>
                <w:sz w:val="20"/>
              </w:rPr>
            </w:pPr>
            <w:r w:rsidRPr="003E784C">
              <w:rPr>
                <w:rFonts w:ascii="Arial" w:eastAsia="Times New Roman" w:hAnsi="Arial" w:cs="Arial"/>
                <w:color w:val="0D2255"/>
                <w:sz w:val="20"/>
              </w:rPr>
              <w:t>77.4%</w:t>
            </w:r>
          </w:p>
        </w:tc>
        <w:tc>
          <w:tcPr>
            <w:tcW w:w="1262" w:type="dxa"/>
            <w:shd w:val="clear" w:color="auto" w:fill="auto"/>
            <w:noWrap/>
            <w:vAlign w:val="bottom"/>
            <w:hideMark/>
          </w:tcPr>
          <w:p w:rsidR="003E784C" w:rsidRPr="003E784C" w:rsidRDefault="003E784C" w:rsidP="003E784C">
            <w:pPr>
              <w:jc w:val="right"/>
              <w:rPr>
                <w:rFonts w:ascii="Arial" w:eastAsia="Times New Roman" w:hAnsi="Arial" w:cs="Arial"/>
                <w:color w:val="0D2255"/>
                <w:sz w:val="20"/>
              </w:rPr>
            </w:pPr>
            <w:r w:rsidRPr="003E784C">
              <w:rPr>
                <w:rFonts w:ascii="Arial" w:eastAsia="Times New Roman" w:hAnsi="Arial" w:cs="Arial"/>
                <w:color w:val="0D2255"/>
                <w:sz w:val="20"/>
              </w:rPr>
              <w:t> </w:t>
            </w:r>
          </w:p>
        </w:tc>
        <w:tc>
          <w:tcPr>
            <w:tcW w:w="1276" w:type="dxa"/>
            <w:shd w:val="clear" w:color="auto" w:fill="auto"/>
            <w:noWrap/>
            <w:vAlign w:val="bottom"/>
            <w:hideMark/>
          </w:tcPr>
          <w:p w:rsidR="003E784C" w:rsidRPr="003E784C" w:rsidRDefault="003E784C" w:rsidP="003E784C">
            <w:pPr>
              <w:jc w:val="right"/>
              <w:rPr>
                <w:rFonts w:ascii="Arial" w:eastAsia="Times New Roman" w:hAnsi="Arial" w:cs="Arial"/>
                <w:color w:val="0D2255"/>
                <w:sz w:val="20"/>
              </w:rPr>
            </w:pPr>
            <w:r w:rsidRPr="003E784C">
              <w:rPr>
                <w:rFonts w:ascii="Arial" w:eastAsia="Times New Roman" w:hAnsi="Arial" w:cs="Arial"/>
                <w:color w:val="0D2255"/>
                <w:sz w:val="20"/>
              </w:rPr>
              <w:t>78.9%</w:t>
            </w:r>
          </w:p>
        </w:tc>
        <w:tc>
          <w:tcPr>
            <w:tcW w:w="1275" w:type="dxa"/>
            <w:shd w:val="clear" w:color="auto" w:fill="auto"/>
            <w:noWrap/>
            <w:vAlign w:val="bottom"/>
            <w:hideMark/>
          </w:tcPr>
          <w:p w:rsidR="003E784C" w:rsidRPr="003E784C" w:rsidRDefault="003E784C" w:rsidP="003E784C">
            <w:pPr>
              <w:jc w:val="right"/>
              <w:rPr>
                <w:rFonts w:ascii="Arial" w:eastAsia="Times New Roman" w:hAnsi="Arial" w:cs="Arial"/>
                <w:color w:val="0D2255"/>
                <w:sz w:val="20"/>
              </w:rPr>
            </w:pPr>
            <w:r w:rsidRPr="003E784C">
              <w:rPr>
                <w:rFonts w:ascii="Arial" w:eastAsia="Times New Roman" w:hAnsi="Arial" w:cs="Arial"/>
                <w:color w:val="0D2255"/>
                <w:sz w:val="20"/>
              </w:rPr>
              <w:t>78.0%</w:t>
            </w:r>
          </w:p>
        </w:tc>
        <w:tc>
          <w:tcPr>
            <w:tcW w:w="1276" w:type="dxa"/>
            <w:shd w:val="clear" w:color="auto" w:fill="auto"/>
            <w:noWrap/>
            <w:vAlign w:val="bottom"/>
            <w:hideMark/>
          </w:tcPr>
          <w:p w:rsidR="003E784C" w:rsidRPr="003E784C" w:rsidRDefault="003E784C" w:rsidP="003E784C">
            <w:pPr>
              <w:jc w:val="right"/>
              <w:rPr>
                <w:rFonts w:ascii="Arial" w:eastAsia="Times New Roman" w:hAnsi="Arial" w:cs="Arial"/>
                <w:color w:val="0D2255"/>
                <w:sz w:val="20"/>
              </w:rPr>
            </w:pPr>
            <w:r w:rsidRPr="003E784C">
              <w:rPr>
                <w:rFonts w:ascii="Arial" w:eastAsia="Times New Roman" w:hAnsi="Arial" w:cs="Arial"/>
                <w:color w:val="0D2255"/>
                <w:sz w:val="20"/>
              </w:rPr>
              <w:t> </w:t>
            </w:r>
          </w:p>
        </w:tc>
      </w:tr>
    </w:tbl>
    <w:p w:rsidR="00585DB0" w:rsidRPr="009524D1" w:rsidRDefault="00585DB0" w:rsidP="009F47F6">
      <w:pPr>
        <w:keepNext/>
        <w:rPr>
          <w:rFonts w:ascii="Arial" w:hAnsi="Arial" w:cs="Arial"/>
          <w:b/>
          <w:color w:val="1F497D" w:themeColor="text2"/>
          <w:sz w:val="20"/>
        </w:rPr>
      </w:pPr>
      <w:r w:rsidRPr="009524D1">
        <w:rPr>
          <w:rFonts w:ascii="Arial" w:hAnsi="Arial" w:cs="Arial"/>
          <w:b/>
          <w:color w:val="1F497D" w:themeColor="text2"/>
          <w:sz w:val="20"/>
        </w:rPr>
        <w:tab/>
      </w:r>
      <w:r w:rsidR="0028787F" w:rsidRPr="009524D1">
        <w:rPr>
          <w:rFonts w:ascii="Arial" w:hAnsi="Arial" w:cs="Arial"/>
          <w:b/>
          <w:color w:val="1F497D" w:themeColor="text2"/>
          <w:sz w:val="20"/>
        </w:rPr>
        <w:t xml:space="preserve">      </w:t>
      </w:r>
    </w:p>
    <w:p w:rsidR="009F47F6" w:rsidRDefault="009F47F6" w:rsidP="001A77A6">
      <w:pPr>
        <w:tabs>
          <w:tab w:val="right" w:pos="9332"/>
        </w:tabs>
        <w:rPr>
          <w:rFonts w:ascii="Arial" w:hAnsi="Arial" w:cs="Arial"/>
          <w:b/>
          <w:color w:val="0D2255"/>
          <w:sz w:val="20"/>
        </w:rPr>
      </w:pPr>
      <w:r>
        <w:rPr>
          <w:rFonts w:ascii="Arial" w:hAnsi="Arial" w:cs="Arial"/>
          <w:b/>
          <w:color w:val="0D2255"/>
          <w:sz w:val="20"/>
        </w:rPr>
        <w:t xml:space="preserve">        Car output </w:t>
      </w:r>
      <w:r w:rsidR="00A94C58">
        <w:rPr>
          <w:rFonts w:ascii="Arial" w:hAnsi="Arial" w:cs="Arial"/>
          <w:b/>
          <w:color w:val="0D2255"/>
          <w:sz w:val="20"/>
        </w:rPr>
        <w:t xml:space="preserve">– </w:t>
      </w:r>
      <w:r>
        <w:rPr>
          <w:rFonts w:ascii="Arial" w:hAnsi="Arial" w:cs="Arial"/>
          <w:b/>
          <w:color w:val="0D2255"/>
          <w:sz w:val="20"/>
        </w:rPr>
        <w:t xml:space="preserve">rolling year total                                        </w:t>
      </w:r>
      <w:r w:rsidR="00A94C58">
        <w:rPr>
          <w:rFonts w:ascii="Arial" w:hAnsi="Arial" w:cs="Arial"/>
          <w:b/>
          <w:color w:val="0D2255"/>
          <w:sz w:val="20"/>
        </w:rPr>
        <w:t xml:space="preserve">   Car output –</w:t>
      </w:r>
      <w:r>
        <w:rPr>
          <w:rFonts w:ascii="Arial" w:hAnsi="Arial" w:cs="Arial"/>
          <w:b/>
          <w:color w:val="0D2255"/>
          <w:sz w:val="20"/>
        </w:rPr>
        <w:t xml:space="preserve"> </w:t>
      </w:r>
      <w:r w:rsidR="00A94C58">
        <w:rPr>
          <w:rFonts w:ascii="Arial" w:hAnsi="Arial" w:cs="Arial"/>
          <w:b/>
          <w:color w:val="0D2255"/>
          <w:sz w:val="20"/>
        </w:rPr>
        <w:t>January-October totals</w:t>
      </w:r>
    </w:p>
    <w:p w:rsidR="009F47F6" w:rsidRDefault="003E784C" w:rsidP="001A77A6">
      <w:pPr>
        <w:tabs>
          <w:tab w:val="right" w:pos="9332"/>
        </w:tabs>
        <w:rPr>
          <w:rFonts w:ascii="Arial" w:hAnsi="Arial" w:cs="Arial"/>
          <w:sz w:val="16"/>
          <w:szCs w:val="16"/>
        </w:rPr>
      </w:pPr>
      <w:r w:rsidRPr="003E784C">
        <w:rPr>
          <w:noProof/>
        </w:rPr>
        <w:drawing>
          <wp:inline distT="0" distB="0" distL="0" distR="0">
            <wp:extent cx="2724150" cy="1895475"/>
            <wp:effectExtent l="0" t="0" r="0" b="0"/>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DB4704">
        <w:rPr>
          <w:noProof/>
        </w:rPr>
        <w:t xml:space="preserve">      </w:t>
      </w:r>
      <w:r w:rsidRPr="003E784C">
        <w:rPr>
          <w:noProof/>
        </w:rPr>
        <w:drawing>
          <wp:inline distT="0" distB="0" distL="0" distR="0">
            <wp:extent cx="2876550" cy="1933575"/>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sectPr w:rsidR="009F47F6" w:rsidSect="00F72297">
      <w:headerReference w:type="default" r:id="rId10"/>
      <w:footerReference w:type="default" r:id="rId11"/>
      <w:pgSz w:w="11906" w:h="16838"/>
      <w:pgMar w:top="1440" w:right="1134" w:bottom="1440"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84C" w:rsidRDefault="003E784C" w:rsidP="00C80E70">
      <w:r>
        <w:separator/>
      </w:r>
    </w:p>
  </w:endnote>
  <w:endnote w:type="continuationSeparator" w:id="0">
    <w:p w:rsidR="003E784C" w:rsidRDefault="003E784C"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84C" w:rsidRPr="00853E71" w:rsidRDefault="003E784C" w:rsidP="00853E71">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3E784C" w:rsidRPr="00853E71" w:rsidRDefault="003E784C" w:rsidP="00853E71">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3E784C" w:rsidRPr="00853E71" w:rsidRDefault="003E784C" w:rsidP="00853E71">
    <w:pPr>
      <w:spacing w:afterAutospacing="1"/>
      <w:contextualSpacing/>
      <w:rPr>
        <w:rFonts w:ascii="Arial" w:eastAsia="Times New Roman" w:hAnsi="Arial" w:cs="Arial"/>
        <w:color w:val="1074CB"/>
        <w:sz w:val="16"/>
        <w:szCs w:val="16"/>
      </w:rPr>
    </w:pPr>
  </w:p>
  <w:p w:rsidR="003E784C" w:rsidRPr="00853E71" w:rsidRDefault="003E784C" w:rsidP="00853E71">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 xml:space="preserve">The automotive industry is a vital part of the UK economy accounting for more than </w:t>
    </w:r>
    <w:r w:rsidRPr="00853E71">
      <w:rPr>
        <w:rFonts w:ascii="Arial" w:eastAsia="Calibri" w:hAnsi="Arial" w:cs="Arial"/>
        <w:b/>
        <w:bCs/>
        <w:color w:val="1074CB"/>
        <w:sz w:val="16"/>
      </w:rPr>
      <w:t>£64 billion turnover</w:t>
    </w:r>
    <w:r w:rsidRPr="00853E71">
      <w:rPr>
        <w:rFonts w:ascii="Arial" w:eastAsia="Times New Roman" w:hAnsi="Arial" w:cs="Arial"/>
        <w:color w:val="1074CB"/>
        <w:sz w:val="16"/>
        <w:szCs w:val="16"/>
      </w:rPr>
      <w:t xml:space="preserve"> and </w:t>
    </w:r>
    <w:r w:rsidRPr="00853E71">
      <w:rPr>
        <w:rFonts w:ascii="Arial" w:eastAsia="Calibri" w:hAnsi="Arial" w:cs="Arial"/>
        <w:b/>
        <w:bCs/>
        <w:color w:val="1074CB"/>
        <w:sz w:val="16"/>
      </w:rPr>
      <w:t>£12 billion value added</w:t>
    </w:r>
    <w:r w:rsidRPr="00853E71">
      <w:rPr>
        <w:rFonts w:ascii="Arial" w:eastAsia="Times New Roman" w:hAnsi="Arial" w:cs="Arial"/>
        <w:color w:val="1074CB"/>
        <w:sz w:val="16"/>
        <w:szCs w:val="16"/>
      </w:rPr>
      <w:t xml:space="preserve">. With more than </w:t>
    </w:r>
    <w:r w:rsidRPr="00853E71">
      <w:rPr>
        <w:rFonts w:ascii="Arial" w:eastAsia="Times New Roman" w:hAnsi="Arial" w:cs="Arial"/>
        <w:b/>
        <w:bCs/>
        <w:color w:val="1074CB"/>
        <w:sz w:val="16"/>
        <w:szCs w:val="16"/>
      </w:rPr>
      <w:t>160,000</w:t>
    </w:r>
    <w:r w:rsidRPr="00853E71">
      <w:rPr>
        <w:rFonts w:ascii="Arial" w:eastAsia="Times New Roman" w:hAnsi="Arial" w:cs="Arial"/>
        <w:color w:val="1074CB"/>
        <w:sz w:val="16"/>
        <w:szCs w:val="16"/>
      </w:rPr>
      <w:t xml:space="preserve"> people employed directly in manufacturing and in excess of </w:t>
    </w:r>
    <w:r w:rsidRPr="00853E71">
      <w:rPr>
        <w:rFonts w:ascii="Arial" w:eastAsia="Calibri" w:hAnsi="Arial" w:cs="Arial"/>
        <w:b/>
        <w:bCs/>
        <w:color w:val="1074CB"/>
        <w:sz w:val="16"/>
      </w:rPr>
      <w:t xml:space="preserve">770,000 across </w:t>
    </w:r>
    <w:r w:rsidRPr="00853E71">
      <w:rPr>
        <w:rFonts w:ascii="Arial" w:eastAsia="Times New Roman" w:hAnsi="Arial" w:cs="Arial"/>
        <w:color w:val="1074CB"/>
        <w:sz w:val="16"/>
        <w:szCs w:val="16"/>
      </w:rPr>
      <w:t xml:space="preserve">the wider automotive industry, it accounts for </w:t>
    </w:r>
    <w:r w:rsidRPr="00853E71">
      <w:rPr>
        <w:rFonts w:ascii="Arial" w:eastAsia="Calibri" w:hAnsi="Arial" w:cs="Arial"/>
        <w:b/>
        <w:bCs/>
        <w:color w:val="1074CB"/>
        <w:sz w:val="16"/>
      </w:rPr>
      <w:t>10% of total UK export</w:t>
    </w:r>
    <w:r w:rsidRPr="00853E71">
      <w:rPr>
        <w:rFonts w:ascii="Arial" w:eastAsia="Times New Roman" w:hAnsi="Arial" w:cs="Arial"/>
        <w:b/>
        <w:bCs/>
        <w:color w:val="1074CB"/>
        <w:sz w:val="16"/>
        <w:szCs w:val="16"/>
      </w:rPr>
      <w:t xml:space="preserve"> of goods</w:t>
    </w:r>
    <w:r w:rsidRPr="00853E71">
      <w:rPr>
        <w:rFonts w:ascii="Arial" w:eastAsia="Times New Roman" w:hAnsi="Arial" w:cs="Arial"/>
        <w:color w:val="1074CB"/>
        <w:sz w:val="16"/>
        <w:szCs w:val="16"/>
      </w:rPr>
      <w:t xml:space="preserve"> and invests </w:t>
    </w:r>
    <w:r w:rsidRPr="00853E71">
      <w:rPr>
        <w:rFonts w:ascii="Arial" w:eastAsia="Calibri" w:hAnsi="Arial" w:cs="Arial"/>
        <w:b/>
        <w:bCs/>
        <w:color w:val="1074CB"/>
        <w:sz w:val="16"/>
      </w:rPr>
      <w:t>£1.9 billion</w:t>
    </w:r>
    <w:r w:rsidRPr="00853E71">
      <w:rPr>
        <w:rFonts w:ascii="Arial" w:eastAsia="Times New Roman" w:hAnsi="Arial" w:cs="Arial"/>
        <w:color w:val="1074CB"/>
        <w:sz w:val="16"/>
        <w:szCs w:val="16"/>
      </w:rPr>
      <w:t xml:space="preserve"> each year in automotive R&amp;D. More than </w:t>
    </w:r>
    <w:r w:rsidRPr="00853E71">
      <w:rPr>
        <w:rFonts w:ascii="Arial" w:eastAsia="Calibri" w:hAnsi="Arial" w:cs="Arial"/>
        <w:b/>
        <w:bCs/>
        <w:color w:val="1074CB"/>
        <w:sz w:val="16"/>
      </w:rPr>
      <w:t>30 manufacturers</w:t>
    </w:r>
    <w:r w:rsidRPr="00853E71">
      <w:rPr>
        <w:rFonts w:ascii="Arial" w:eastAsia="Times New Roman" w:hAnsi="Arial" w:cs="Arial"/>
        <w:color w:val="1074CB"/>
        <w:sz w:val="16"/>
        <w:szCs w:val="16"/>
      </w:rPr>
      <w:t xml:space="preserve"> build in excess of </w:t>
    </w:r>
    <w:r w:rsidRPr="00853E71">
      <w:rPr>
        <w:rFonts w:ascii="Arial" w:eastAsia="Calibri" w:hAnsi="Arial" w:cs="Arial"/>
        <w:b/>
        <w:bCs/>
        <w:color w:val="1074CB"/>
        <w:sz w:val="16"/>
      </w:rPr>
      <w:t>70 models</w:t>
    </w:r>
    <w:r w:rsidRPr="00853E71">
      <w:rPr>
        <w:rFonts w:ascii="Arial" w:eastAsia="Times New Roman" w:hAnsi="Arial" w:cs="Arial"/>
        <w:color w:val="1074CB"/>
        <w:sz w:val="16"/>
        <w:szCs w:val="16"/>
      </w:rPr>
      <w:t xml:space="preserve"> of vehicle in the UK supported by around </w:t>
    </w:r>
    <w:r w:rsidRPr="00853E71">
      <w:rPr>
        <w:rFonts w:ascii="Arial" w:eastAsia="Calibri" w:hAnsi="Arial" w:cs="Arial"/>
        <w:b/>
        <w:bCs/>
        <w:color w:val="1074CB"/>
        <w:sz w:val="16"/>
      </w:rPr>
      <w:t>2,500 component providers</w:t>
    </w:r>
    <w:r w:rsidRPr="00853E71">
      <w:rPr>
        <w:rFonts w:ascii="Arial" w:eastAsia="Times New Roman" w:hAnsi="Arial" w:cs="Arial"/>
        <w:color w:val="1074CB"/>
        <w:sz w:val="16"/>
        <w:szCs w:val="16"/>
      </w:rPr>
      <w:t xml:space="preserve"> and some of the world's most </w:t>
    </w:r>
    <w:r w:rsidRPr="00853E71">
      <w:rPr>
        <w:rFonts w:ascii="Arial" w:eastAsia="Calibri" w:hAnsi="Arial" w:cs="Arial"/>
        <w:b/>
        <w:bCs/>
        <w:color w:val="1074CB"/>
        <w:sz w:val="16"/>
      </w:rPr>
      <w:t>skilled engineers</w:t>
    </w:r>
    <w:r w:rsidRPr="00853E71">
      <w:rPr>
        <w:rFonts w:ascii="Arial" w:eastAsia="Times New Roman" w:hAnsi="Arial" w:cs="Arial"/>
        <w:color w:val="1074CB"/>
        <w:sz w:val="16"/>
        <w:szCs w:val="16"/>
      </w:rPr>
      <w:t>.</w:t>
    </w:r>
  </w:p>
  <w:p w:rsidR="003E784C" w:rsidRPr="00853E71" w:rsidRDefault="003E784C" w:rsidP="00853E71">
    <w:pPr>
      <w:spacing w:afterAutospacing="1"/>
      <w:contextualSpacing/>
      <w:rPr>
        <w:rFonts w:ascii="Arial" w:eastAsia="Times New Roman" w:hAnsi="Arial" w:cs="Arial"/>
        <w:color w:val="1074CB"/>
        <w:sz w:val="16"/>
        <w:szCs w:val="16"/>
      </w:rPr>
    </w:pPr>
  </w:p>
  <w:p w:rsidR="003E784C" w:rsidRPr="00853E71" w:rsidRDefault="003E784C" w:rsidP="00853E71">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 xml:space="preserve">More detail on UK automotive available in SMMT's Motor Industry Facts 2014 publication at </w:t>
    </w:r>
    <w:hyperlink r:id="rId1" w:history="1">
      <w:r w:rsidRPr="00853E71">
        <w:rPr>
          <w:rFonts w:ascii="Arial" w:eastAsia="Times New Roman" w:hAnsi="Arial" w:cs="Arial"/>
          <w:color w:val="0000FF"/>
          <w:sz w:val="16"/>
          <w:u w:val="single"/>
        </w:rPr>
        <w:t>www.smmt.co.uk/facts14</w:t>
      </w:r>
    </w:hyperlink>
    <w:r w:rsidRPr="00853E71">
      <w:rPr>
        <w:rFonts w:ascii="Arial" w:eastAsia="Times New Roman" w:hAnsi="Arial" w:cs="Arial"/>
        <w:color w:val="1074CB"/>
        <w:sz w:val="16"/>
        <w:szCs w:val="16"/>
      </w:rPr>
      <w:t>.</w:t>
    </w:r>
  </w:p>
  <w:p w:rsidR="003E784C" w:rsidRPr="00853E71" w:rsidRDefault="003E784C" w:rsidP="00853E71">
    <w:pPr>
      <w:spacing w:afterAutospacing="1"/>
      <w:contextualSpacing/>
      <w:rPr>
        <w:rFonts w:ascii="Arial" w:eastAsia="Times New Roman" w:hAnsi="Arial" w:cs="Arial"/>
        <w:color w:val="1074CB"/>
        <w:sz w:val="16"/>
        <w:szCs w:val="16"/>
      </w:rPr>
    </w:pPr>
  </w:p>
  <w:p w:rsidR="003E784C" w:rsidRPr="00853E71" w:rsidRDefault="003E784C" w:rsidP="00853E71">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p w:rsidR="003E784C" w:rsidRPr="00853E71" w:rsidRDefault="003E784C" w:rsidP="00853E71">
    <w:pPr>
      <w:rPr>
        <w:rFonts w:ascii="Arial" w:eastAsia="Times New Roman" w:hAnsi="Arial" w:cs="Arial"/>
        <w:color w:val="1074CB"/>
        <w:sz w:val="16"/>
        <w:szCs w:val="16"/>
      </w:rPr>
    </w:pPr>
    <w:r w:rsidRPr="00853E71">
      <w:rPr>
        <w:rFonts w:ascii="Arial" w:eastAsia="Times New Roman" w:hAnsi="Arial" w:cs="Arial"/>
        <w:b/>
        <w:color w:val="1074CB"/>
        <w:sz w:val="16"/>
        <w:szCs w:val="16"/>
      </w:rPr>
      <w:t>Media contacts</w:t>
    </w:r>
  </w:p>
  <w:p w:rsidR="003E784C" w:rsidRDefault="003E784C" w:rsidP="009524D1">
    <w:pPr>
      <w:rPr>
        <w:rFonts w:ascii="Arial" w:eastAsia="Times New Roman" w:hAnsi="Arial" w:cs="Arial"/>
        <w:color w:val="1074CB"/>
        <w:sz w:val="16"/>
        <w:szCs w:val="16"/>
      </w:rPr>
    </w:pPr>
    <w:r>
      <w:rPr>
        <w:rFonts w:ascii="Arial" w:eastAsia="Times New Roman" w:hAnsi="Arial" w:cs="Arial"/>
        <w:color w:val="1074CB"/>
        <w:sz w:val="16"/>
        <w:szCs w:val="16"/>
      </w:rPr>
      <w:t>Ben Foulds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020 7344 9222</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2" w:history="1">
      <w:r w:rsidRPr="00C6769D">
        <w:rPr>
          <w:rStyle w:val="Hyperlink"/>
          <w:rFonts w:ascii="Arial" w:eastAsia="Times New Roman" w:hAnsi="Arial" w:cs="Arial"/>
          <w:sz w:val="16"/>
          <w:szCs w:val="16"/>
        </w:rPr>
        <w:t>bfoulds@smmt.co.uk</w:t>
      </w:r>
    </w:hyperlink>
  </w:p>
  <w:p w:rsidR="003E784C" w:rsidRPr="00D16FB8" w:rsidRDefault="003E784C" w:rsidP="009524D1">
    <w:pPr>
      <w:rPr>
        <w:rFonts w:ascii="Arial" w:eastAsia="Times New Roman" w:hAnsi="Arial" w:cs="Arial"/>
        <w:color w:val="0000FF"/>
        <w:sz w:val="16"/>
        <w:szCs w:val="16"/>
        <w:u w:val="single"/>
      </w:rPr>
    </w:pPr>
    <w:r>
      <w:rPr>
        <w:rFonts w:ascii="Arial" w:eastAsia="Times New Roman" w:hAnsi="Arial" w:cs="Arial"/>
        <w:color w:val="1074CB"/>
        <w:sz w:val="16"/>
        <w:szCs w:val="16"/>
      </w:rPr>
      <w:t>Alex Michaelides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020 7344 1667</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3" w:history="1">
      <w:r w:rsidRPr="00120B6E">
        <w:rPr>
          <w:rStyle w:val="Hyperlink"/>
          <w:rFonts w:ascii="Arial" w:eastAsia="Times New Roman" w:hAnsi="Arial" w:cs="Arial"/>
          <w:sz w:val="16"/>
          <w:szCs w:val="16"/>
        </w:rPr>
        <w:t>amichaelides@smmt.co.uk</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84C" w:rsidRDefault="003E784C" w:rsidP="00C80E70">
      <w:r>
        <w:separator/>
      </w:r>
    </w:p>
  </w:footnote>
  <w:footnote w:type="continuationSeparator" w:id="0">
    <w:p w:rsidR="003E784C" w:rsidRDefault="003E784C"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84C" w:rsidRDefault="003E784C"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A05EB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C80E70"/>
    <w:rsid w:val="00000EA7"/>
    <w:rsid w:val="00002F84"/>
    <w:rsid w:val="0000491C"/>
    <w:rsid w:val="00006B7F"/>
    <w:rsid w:val="000109D8"/>
    <w:rsid w:val="00031DB4"/>
    <w:rsid w:val="00046A50"/>
    <w:rsid w:val="00066F55"/>
    <w:rsid w:val="000A4DE9"/>
    <w:rsid w:val="000A5DC2"/>
    <w:rsid w:val="000B47D6"/>
    <w:rsid w:val="000C0CE4"/>
    <w:rsid w:val="000D1505"/>
    <w:rsid w:val="000D245D"/>
    <w:rsid w:val="00100F35"/>
    <w:rsid w:val="00102817"/>
    <w:rsid w:val="00107861"/>
    <w:rsid w:val="00111C19"/>
    <w:rsid w:val="00116498"/>
    <w:rsid w:val="00116666"/>
    <w:rsid w:val="00133B87"/>
    <w:rsid w:val="00143CC9"/>
    <w:rsid w:val="00153740"/>
    <w:rsid w:val="00156CB8"/>
    <w:rsid w:val="00157C8D"/>
    <w:rsid w:val="00161C0A"/>
    <w:rsid w:val="00166121"/>
    <w:rsid w:val="00170111"/>
    <w:rsid w:val="00170EFD"/>
    <w:rsid w:val="001737CD"/>
    <w:rsid w:val="001854E1"/>
    <w:rsid w:val="00192CE4"/>
    <w:rsid w:val="00192FBC"/>
    <w:rsid w:val="001A67B5"/>
    <w:rsid w:val="001A77A6"/>
    <w:rsid w:val="001B1AA6"/>
    <w:rsid w:val="001C171F"/>
    <w:rsid w:val="001C389E"/>
    <w:rsid w:val="001D6CB9"/>
    <w:rsid w:val="001D7212"/>
    <w:rsid w:val="001E33CE"/>
    <w:rsid w:val="001E7E3E"/>
    <w:rsid w:val="001F7740"/>
    <w:rsid w:val="00200F65"/>
    <w:rsid w:val="0020649D"/>
    <w:rsid w:val="002161F4"/>
    <w:rsid w:val="00224DDD"/>
    <w:rsid w:val="00226D70"/>
    <w:rsid w:val="0025075E"/>
    <w:rsid w:val="00252DCB"/>
    <w:rsid w:val="00264687"/>
    <w:rsid w:val="00266A9A"/>
    <w:rsid w:val="00286B24"/>
    <w:rsid w:val="0028787F"/>
    <w:rsid w:val="002933CF"/>
    <w:rsid w:val="002A5934"/>
    <w:rsid w:val="002B3FAF"/>
    <w:rsid w:val="002B4F7D"/>
    <w:rsid w:val="002C7321"/>
    <w:rsid w:val="002D0197"/>
    <w:rsid w:val="002E4A51"/>
    <w:rsid w:val="002E5457"/>
    <w:rsid w:val="002F673C"/>
    <w:rsid w:val="003050BA"/>
    <w:rsid w:val="00345B59"/>
    <w:rsid w:val="003552CF"/>
    <w:rsid w:val="00356443"/>
    <w:rsid w:val="00371917"/>
    <w:rsid w:val="00375DF8"/>
    <w:rsid w:val="00377406"/>
    <w:rsid w:val="003A01D6"/>
    <w:rsid w:val="003A2548"/>
    <w:rsid w:val="003A645F"/>
    <w:rsid w:val="003B1C39"/>
    <w:rsid w:val="003C684D"/>
    <w:rsid w:val="003D08D1"/>
    <w:rsid w:val="003D5FBD"/>
    <w:rsid w:val="003D6FB9"/>
    <w:rsid w:val="003E423F"/>
    <w:rsid w:val="003E53DB"/>
    <w:rsid w:val="003E69D3"/>
    <w:rsid w:val="003E784C"/>
    <w:rsid w:val="004002C5"/>
    <w:rsid w:val="00410539"/>
    <w:rsid w:val="004319DB"/>
    <w:rsid w:val="00443FDD"/>
    <w:rsid w:val="00447CDA"/>
    <w:rsid w:val="00456EBB"/>
    <w:rsid w:val="00465C9D"/>
    <w:rsid w:val="00467D20"/>
    <w:rsid w:val="00477E03"/>
    <w:rsid w:val="00482D22"/>
    <w:rsid w:val="00483A6D"/>
    <w:rsid w:val="0048607B"/>
    <w:rsid w:val="00486897"/>
    <w:rsid w:val="004919AF"/>
    <w:rsid w:val="00493B48"/>
    <w:rsid w:val="00494E5E"/>
    <w:rsid w:val="00495611"/>
    <w:rsid w:val="004B0132"/>
    <w:rsid w:val="004B727E"/>
    <w:rsid w:val="004C0CA5"/>
    <w:rsid w:val="004C6507"/>
    <w:rsid w:val="004E239F"/>
    <w:rsid w:val="004E48D4"/>
    <w:rsid w:val="004F195D"/>
    <w:rsid w:val="00505C8C"/>
    <w:rsid w:val="005218AC"/>
    <w:rsid w:val="00525D1A"/>
    <w:rsid w:val="00534F79"/>
    <w:rsid w:val="005407A6"/>
    <w:rsid w:val="00542422"/>
    <w:rsid w:val="0055683E"/>
    <w:rsid w:val="005709F5"/>
    <w:rsid w:val="005733CD"/>
    <w:rsid w:val="00577A32"/>
    <w:rsid w:val="005830EF"/>
    <w:rsid w:val="00583B9B"/>
    <w:rsid w:val="00583E20"/>
    <w:rsid w:val="00585DB0"/>
    <w:rsid w:val="005A0ACF"/>
    <w:rsid w:val="005A69CE"/>
    <w:rsid w:val="005B33EF"/>
    <w:rsid w:val="005B536B"/>
    <w:rsid w:val="005C668F"/>
    <w:rsid w:val="005C7E78"/>
    <w:rsid w:val="005D34F5"/>
    <w:rsid w:val="005E0768"/>
    <w:rsid w:val="005E2C9D"/>
    <w:rsid w:val="005F44DC"/>
    <w:rsid w:val="005F7C94"/>
    <w:rsid w:val="0060762E"/>
    <w:rsid w:val="00616CD2"/>
    <w:rsid w:val="006315A6"/>
    <w:rsid w:val="006523B5"/>
    <w:rsid w:val="006623D6"/>
    <w:rsid w:val="00662FB8"/>
    <w:rsid w:val="006639EF"/>
    <w:rsid w:val="0066425C"/>
    <w:rsid w:val="00672A24"/>
    <w:rsid w:val="00681ACD"/>
    <w:rsid w:val="00686576"/>
    <w:rsid w:val="006A0B4F"/>
    <w:rsid w:val="006B47DA"/>
    <w:rsid w:val="006B4C72"/>
    <w:rsid w:val="006B5968"/>
    <w:rsid w:val="006B5D2C"/>
    <w:rsid w:val="006B65B6"/>
    <w:rsid w:val="006B7F8A"/>
    <w:rsid w:val="006D458E"/>
    <w:rsid w:val="006D538E"/>
    <w:rsid w:val="006E2AC9"/>
    <w:rsid w:val="006E4BD9"/>
    <w:rsid w:val="006E534D"/>
    <w:rsid w:val="006E5BF9"/>
    <w:rsid w:val="00707D9A"/>
    <w:rsid w:val="0071028F"/>
    <w:rsid w:val="00714EF7"/>
    <w:rsid w:val="0073709A"/>
    <w:rsid w:val="00742FA5"/>
    <w:rsid w:val="007433FE"/>
    <w:rsid w:val="00761183"/>
    <w:rsid w:val="007679BE"/>
    <w:rsid w:val="0077274C"/>
    <w:rsid w:val="007736AF"/>
    <w:rsid w:val="00777E82"/>
    <w:rsid w:val="00783D6D"/>
    <w:rsid w:val="007851A1"/>
    <w:rsid w:val="00787B6E"/>
    <w:rsid w:val="00791C3D"/>
    <w:rsid w:val="007951F0"/>
    <w:rsid w:val="0079765E"/>
    <w:rsid w:val="007A0020"/>
    <w:rsid w:val="007A3F55"/>
    <w:rsid w:val="007A7B05"/>
    <w:rsid w:val="007B20DF"/>
    <w:rsid w:val="007B7669"/>
    <w:rsid w:val="007D2D63"/>
    <w:rsid w:val="007D31B3"/>
    <w:rsid w:val="007D4EAB"/>
    <w:rsid w:val="007E3B55"/>
    <w:rsid w:val="007F10B4"/>
    <w:rsid w:val="007F73B4"/>
    <w:rsid w:val="008030A3"/>
    <w:rsid w:val="00804C47"/>
    <w:rsid w:val="00806662"/>
    <w:rsid w:val="00806C8E"/>
    <w:rsid w:val="008152E4"/>
    <w:rsid w:val="00835F96"/>
    <w:rsid w:val="008372BE"/>
    <w:rsid w:val="00853B7F"/>
    <w:rsid w:val="00853E71"/>
    <w:rsid w:val="00856BDA"/>
    <w:rsid w:val="00861E9C"/>
    <w:rsid w:val="0086619E"/>
    <w:rsid w:val="00866A2F"/>
    <w:rsid w:val="008716AA"/>
    <w:rsid w:val="00871FF2"/>
    <w:rsid w:val="00875A4A"/>
    <w:rsid w:val="008B04AD"/>
    <w:rsid w:val="008B287D"/>
    <w:rsid w:val="008B39A0"/>
    <w:rsid w:val="008B46EA"/>
    <w:rsid w:val="008B50CB"/>
    <w:rsid w:val="008B5B80"/>
    <w:rsid w:val="008C49F7"/>
    <w:rsid w:val="008D4D5C"/>
    <w:rsid w:val="008E4462"/>
    <w:rsid w:val="008E7A24"/>
    <w:rsid w:val="008F126A"/>
    <w:rsid w:val="008F17E6"/>
    <w:rsid w:val="008F40B8"/>
    <w:rsid w:val="008F4D92"/>
    <w:rsid w:val="008F55A4"/>
    <w:rsid w:val="0091033F"/>
    <w:rsid w:val="00924274"/>
    <w:rsid w:val="00931C26"/>
    <w:rsid w:val="009524D1"/>
    <w:rsid w:val="009529B3"/>
    <w:rsid w:val="00957143"/>
    <w:rsid w:val="00963663"/>
    <w:rsid w:val="00964455"/>
    <w:rsid w:val="0097483C"/>
    <w:rsid w:val="00981DD8"/>
    <w:rsid w:val="00983575"/>
    <w:rsid w:val="009B01D2"/>
    <w:rsid w:val="009C2F5C"/>
    <w:rsid w:val="009C6875"/>
    <w:rsid w:val="009C74E7"/>
    <w:rsid w:val="009D58F5"/>
    <w:rsid w:val="009D6484"/>
    <w:rsid w:val="009E6768"/>
    <w:rsid w:val="009E79A4"/>
    <w:rsid w:val="009F1E13"/>
    <w:rsid w:val="009F47F6"/>
    <w:rsid w:val="009F480D"/>
    <w:rsid w:val="009F5D30"/>
    <w:rsid w:val="00A11D46"/>
    <w:rsid w:val="00A2060E"/>
    <w:rsid w:val="00A24874"/>
    <w:rsid w:val="00A25078"/>
    <w:rsid w:val="00A32987"/>
    <w:rsid w:val="00A46B80"/>
    <w:rsid w:val="00A46C94"/>
    <w:rsid w:val="00A65EDE"/>
    <w:rsid w:val="00A67F90"/>
    <w:rsid w:val="00A77124"/>
    <w:rsid w:val="00A773DB"/>
    <w:rsid w:val="00A85A7A"/>
    <w:rsid w:val="00A86E0E"/>
    <w:rsid w:val="00A92CB7"/>
    <w:rsid w:val="00A93DE9"/>
    <w:rsid w:val="00A94474"/>
    <w:rsid w:val="00A94C58"/>
    <w:rsid w:val="00A97A7E"/>
    <w:rsid w:val="00AA048C"/>
    <w:rsid w:val="00AA1402"/>
    <w:rsid w:val="00AA2084"/>
    <w:rsid w:val="00AA432C"/>
    <w:rsid w:val="00AB33BB"/>
    <w:rsid w:val="00AC363D"/>
    <w:rsid w:val="00AE21CA"/>
    <w:rsid w:val="00AE3831"/>
    <w:rsid w:val="00AF5209"/>
    <w:rsid w:val="00AF7D70"/>
    <w:rsid w:val="00B02E7D"/>
    <w:rsid w:val="00B062C8"/>
    <w:rsid w:val="00B228C1"/>
    <w:rsid w:val="00B36DF8"/>
    <w:rsid w:val="00B40BAA"/>
    <w:rsid w:val="00B52EB2"/>
    <w:rsid w:val="00B67EBD"/>
    <w:rsid w:val="00B8295C"/>
    <w:rsid w:val="00BA570F"/>
    <w:rsid w:val="00BA64BD"/>
    <w:rsid w:val="00BB2704"/>
    <w:rsid w:val="00BC48CA"/>
    <w:rsid w:val="00BC5083"/>
    <w:rsid w:val="00BC7B6B"/>
    <w:rsid w:val="00BD12B0"/>
    <w:rsid w:val="00BE5BD9"/>
    <w:rsid w:val="00BF0D4C"/>
    <w:rsid w:val="00BF0E2C"/>
    <w:rsid w:val="00BF4C94"/>
    <w:rsid w:val="00C07099"/>
    <w:rsid w:val="00C13462"/>
    <w:rsid w:val="00C23320"/>
    <w:rsid w:val="00C51D6F"/>
    <w:rsid w:val="00C657AB"/>
    <w:rsid w:val="00C73F08"/>
    <w:rsid w:val="00C802D4"/>
    <w:rsid w:val="00C80E70"/>
    <w:rsid w:val="00C81B6C"/>
    <w:rsid w:val="00C84572"/>
    <w:rsid w:val="00CA3369"/>
    <w:rsid w:val="00CD1B9E"/>
    <w:rsid w:val="00CD2B5F"/>
    <w:rsid w:val="00CE21EA"/>
    <w:rsid w:val="00CE230C"/>
    <w:rsid w:val="00CE3518"/>
    <w:rsid w:val="00CF0876"/>
    <w:rsid w:val="00D16FB8"/>
    <w:rsid w:val="00D215AE"/>
    <w:rsid w:val="00D27995"/>
    <w:rsid w:val="00D446D8"/>
    <w:rsid w:val="00D55AD9"/>
    <w:rsid w:val="00D561FB"/>
    <w:rsid w:val="00D6067E"/>
    <w:rsid w:val="00D6336B"/>
    <w:rsid w:val="00D750C6"/>
    <w:rsid w:val="00D80BA0"/>
    <w:rsid w:val="00D86627"/>
    <w:rsid w:val="00D911A4"/>
    <w:rsid w:val="00D92B21"/>
    <w:rsid w:val="00D9331D"/>
    <w:rsid w:val="00DA01A2"/>
    <w:rsid w:val="00DA726D"/>
    <w:rsid w:val="00DB3768"/>
    <w:rsid w:val="00DB4704"/>
    <w:rsid w:val="00DC45C1"/>
    <w:rsid w:val="00DD0C07"/>
    <w:rsid w:val="00DD26FB"/>
    <w:rsid w:val="00DD3689"/>
    <w:rsid w:val="00DD5AF0"/>
    <w:rsid w:val="00DE5D6C"/>
    <w:rsid w:val="00DF19D9"/>
    <w:rsid w:val="00DF5C28"/>
    <w:rsid w:val="00E03CCD"/>
    <w:rsid w:val="00E07249"/>
    <w:rsid w:val="00E166AD"/>
    <w:rsid w:val="00E270BD"/>
    <w:rsid w:val="00E3007C"/>
    <w:rsid w:val="00E343D2"/>
    <w:rsid w:val="00E45A7A"/>
    <w:rsid w:val="00E60BCB"/>
    <w:rsid w:val="00E61191"/>
    <w:rsid w:val="00E63248"/>
    <w:rsid w:val="00E634A1"/>
    <w:rsid w:val="00E67C34"/>
    <w:rsid w:val="00E93BC7"/>
    <w:rsid w:val="00EA2295"/>
    <w:rsid w:val="00EA5064"/>
    <w:rsid w:val="00EB2FB8"/>
    <w:rsid w:val="00EB5924"/>
    <w:rsid w:val="00EB5EA2"/>
    <w:rsid w:val="00EC65AF"/>
    <w:rsid w:val="00ED05CB"/>
    <w:rsid w:val="00EE3781"/>
    <w:rsid w:val="00EF35D8"/>
    <w:rsid w:val="00EF5953"/>
    <w:rsid w:val="00F205F0"/>
    <w:rsid w:val="00F24827"/>
    <w:rsid w:val="00F43472"/>
    <w:rsid w:val="00F50743"/>
    <w:rsid w:val="00F72297"/>
    <w:rsid w:val="00F73D70"/>
    <w:rsid w:val="00F83C9A"/>
    <w:rsid w:val="00F850C5"/>
    <w:rsid w:val="00F85A76"/>
    <w:rsid w:val="00FC14BC"/>
    <w:rsid w:val="00FF63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webSettings.xml><?xml version="1.0" encoding="utf-8"?>
<w:webSettings xmlns:r="http://schemas.openxmlformats.org/officeDocument/2006/relationships" xmlns:w="http://schemas.openxmlformats.org/wordprocessingml/2006/main">
  <w:divs>
    <w:div w:id="12461639">
      <w:bodyDiv w:val="1"/>
      <w:marLeft w:val="0"/>
      <w:marRight w:val="0"/>
      <w:marTop w:val="0"/>
      <w:marBottom w:val="0"/>
      <w:divBdr>
        <w:top w:val="none" w:sz="0" w:space="0" w:color="auto"/>
        <w:left w:val="none" w:sz="0" w:space="0" w:color="auto"/>
        <w:bottom w:val="none" w:sz="0" w:space="0" w:color="auto"/>
        <w:right w:val="none" w:sz="0" w:space="0" w:color="auto"/>
      </w:divBdr>
    </w:div>
    <w:div w:id="209607903">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574782068">
      <w:bodyDiv w:val="1"/>
      <w:marLeft w:val="0"/>
      <w:marRight w:val="0"/>
      <w:marTop w:val="0"/>
      <w:marBottom w:val="0"/>
      <w:divBdr>
        <w:top w:val="none" w:sz="0" w:space="0" w:color="auto"/>
        <w:left w:val="none" w:sz="0" w:space="0" w:color="auto"/>
        <w:bottom w:val="none" w:sz="0" w:space="0" w:color="auto"/>
        <w:right w:val="none" w:sz="0" w:space="0" w:color="auto"/>
      </w:divBdr>
    </w:div>
    <w:div w:id="597326607">
      <w:bodyDiv w:val="1"/>
      <w:marLeft w:val="0"/>
      <w:marRight w:val="0"/>
      <w:marTop w:val="0"/>
      <w:marBottom w:val="0"/>
      <w:divBdr>
        <w:top w:val="none" w:sz="0" w:space="0" w:color="auto"/>
        <w:left w:val="none" w:sz="0" w:space="0" w:color="auto"/>
        <w:bottom w:val="none" w:sz="0" w:space="0" w:color="auto"/>
        <w:right w:val="none" w:sz="0" w:space="0" w:color="auto"/>
      </w:divBdr>
    </w:div>
    <w:div w:id="600720820">
      <w:bodyDiv w:val="1"/>
      <w:marLeft w:val="0"/>
      <w:marRight w:val="0"/>
      <w:marTop w:val="0"/>
      <w:marBottom w:val="0"/>
      <w:divBdr>
        <w:top w:val="none" w:sz="0" w:space="0" w:color="auto"/>
        <w:left w:val="none" w:sz="0" w:space="0" w:color="auto"/>
        <w:bottom w:val="none" w:sz="0" w:space="0" w:color="auto"/>
        <w:right w:val="none" w:sz="0" w:space="0" w:color="auto"/>
      </w:divBdr>
    </w:div>
    <w:div w:id="720903926">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86937993">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1916696119">
      <w:bodyDiv w:val="1"/>
      <w:marLeft w:val="0"/>
      <w:marRight w:val="0"/>
      <w:marTop w:val="0"/>
      <w:marBottom w:val="0"/>
      <w:divBdr>
        <w:top w:val="none" w:sz="0" w:space="0" w:color="auto"/>
        <w:left w:val="none" w:sz="0" w:space="0" w:color="auto"/>
        <w:bottom w:val="none" w:sz="0" w:space="0" w:color="auto"/>
        <w:right w:val="none" w:sz="0" w:space="0" w:color="auto"/>
      </w:divBdr>
    </w:div>
    <w:div w:id="1999965223">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hyperlink" Target="mailto:amichaelides@smmt.co.uk" TargetMode="External"/><Relationship Id="rId2" Type="http://schemas.openxmlformats.org/officeDocument/2006/relationships/hyperlink" Target="mailto:bfoulds@smmt.co.uk" TargetMode="External"/><Relationship Id="rId1" Type="http://schemas.openxmlformats.org/officeDocument/2006/relationships/hyperlink" Target="http://www.smmt.co.uk/facts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GPS-SRV06\SMMTData\PPVL\TEAMS\ECONOMICS\UKASSEMBLY\ANALY-MONITOR\PR-HEADLINE-CARCVOUT2014(OCT).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S-SRV06\SMMTData\PPVL\TEAMS\ECONOMICS\UK-SMMT-PRESS-RELEASES\UK-Production\2014\Oct\Oct%20Production%20P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manualLayout>
          <c:layoutTarget val="inner"/>
          <c:xMode val="edge"/>
          <c:yMode val="edge"/>
          <c:x val="0.22035899358734018"/>
          <c:y val="6.5973903799659409E-2"/>
          <c:w val="0.70416301015808191"/>
          <c:h val="0.73574592120708582"/>
        </c:manualLayout>
      </c:layout>
      <c:lineChart>
        <c:grouping val="standard"/>
        <c:ser>
          <c:idx val="0"/>
          <c:order val="0"/>
          <c:tx>
            <c:strRef>
              <c:f>'PR&amp;12MONTHROLL-CHARTS'!$B$4</c:f>
              <c:strCache>
                <c:ptCount val="1"/>
                <c:pt idx="0">
                  <c:v>Total Car</c:v>
                </c:pt>
              </c:strCache>
            </c:strRef>
          </c:tx>
          <c:spPr>
            <a:ln>
              <a:solidFill>
                <a:schemeClr val="tx2">
                  <a:lumMod val="75000"/>
                </a:schemeClr>
              </a:solidFill>
            </a:ln>
          </c:spPr>
          <c:marker>
            <c:symbol val="none"/>
          </c:marker>
          <c:cat>
            <c:numRef>
              <c:f>'PR&amp;12MONTHROLL-CHARTS'!$C$3:$CH$3</c:f>
              <c:numCache>
                <c:formatCode>General</c:formatCode>
                <c:ptCount val="84"/>
                <c:pt idx="0">
                  <c:v>2008</c:v>
                </c:pt>
                <c:pt idx="12">
                  <c:v>2009</c:v>
                </c:pt>
                <c:pt idx="24">
                  <c:v>2010</c:v>
                </c:pt>
                <c:pt idx="36">
                  <c:v>2011</c:v>
                </c:pt>
                <c:pt idx="48">
                  <c:v>2012</c:v>
                </c:pt>
                <c:pt idx="60">
                  <c:v>2013</c:v>
                </c:pt>
                <c:pt idx="72">
                  <c:v>2014</c:v>
                </c:pt>
              </c:numCache>
            </c:numRef>
          </c:cat>
          <c:val>
            <c:numRef>
              <c:f>'PR&amp;12MONTHROLL-CHARTS'!$C$4:$CH$4</c:f>
              <c:numCache>
                <c:formatCode>General</c:formatCode>
                <c:ptCount val="84"/>
                <c:pt idx="0">
                  <c:v>1559.021</c:v>
                </c:pt>
                <c:pt idx="1">
                  <c:v>1589.1929999999998</c:v>
                </c:pt>
                <c:pt idx="2">
                  <c:v>1578.221</c:v>
                </c:pt>
                <c:pt idx="3">
                  <c:v>1610.53</c:v>
                </c:pt>
                <c:pt idx="4">
                  <c:v>1600.8989999999999</c:v>
                </c:pt>
                <c:pt idx="5">
                  <c:v>1594.8639999999998</c:v>
                </c:pt>
                <c:pt idx="6">
                  <c:v>1596.2080000000001</c:v>
                </c:pt>
                <c:pt idx="7">
                  <c:v>1578.866</c:v>
                </c:pt>
                <c:pt idx="8">
                  <c:v>1582.1889999999999</c:v>
                </c:pt>
                <c:pt idx="9">
                  <c:v>1544.019</c:v>
                </c:pt>
                <c:pt idx="10">
                  <c:v>1495.3869999999999</c:v>
                </c:pt>
                <c:pt idx="11">
                  <c:v>1446.6189999999999</c:v>
                </c:pt>
                <c:pt idx="12">
                  <c:v>1359.3789999999999</c:v>
                </c:pt>
                <c:pt idx="13">
                  <c:v>1273.3329999999999</c:v>
                </c:pt>
                <c:pt idx="14">
                  <c:v>1208.098</c:v>
                </c:pt>
                <c:pt idx="15">
                  <c:v>1123.6299999999999</c:v>
                </c:pt>
                <c:pt idx="16">
                  <c:v>1072.518</c:v>
                </c:pt>
                <c:pt idx="17">
                  <c:v>1032.768</c:v>
                </c:pt>
                <c:pt idx="18">
                  <c:v>1009.3649999999994</c:v>
                </c:pt>
                <c:pt idx="19">
                  <c:v>983.24400000000003</c:v>
                </c:pt>
                <c:pt idx="20">
                  <c:v>960.25400000000002</c:v>
                </c:pt>
                <c:pt idx="21">
                  <c:v>952.62300000000005</c:v>
                </c:pt>
                <c:pt idx="22">
                  <c:v>967.9669999999993</c:v>
                </c:pt>
                <c:pt idx="23">
                  <c:v>999.45999999999947</c:v>
                </c:pt>
                <c:pt idx="24">
                  <c:v>1039.2460000000001</c:v>
                </c:pt>
                <c:pt idx="25">
                  <c:v>1076.7239999999999</c:v>
                </c:pt>
                <c:pt idx="26">
                  <c:v>1132.5170000000001</c:v>
                </c:pt>
                <c:pt idx="27">
                  <c:v>1162.549</c:v>
                </c:pt>
                <c:pt idx="28">
                  <c:v>1199.1599999999999</c:v>
                </c:pt>
                <c:pt idx="29">
                  <c:v>1225.3799999999999</c:v>
                </c:pt>
                <c:pt idx="30">
                  <c:v>1214.5050000000001</c:v>
                </c:pt>
                <c:pt idx="31">
                  <c:v>1235.6499999999999</c:v>
                </c:pt>
                <c:pt idx="32">
                  <c:v>1242.5819999999999</c:v>
                </c:pt>
                <c:pt idx="33">
                  <c:v>1248.953</c:v>
                </c:pt>
                <c:pt idx="34">
                  <c:v>1261.4349999999999</c:v>
                </c:pt>
                <c:pt idx="35">
                  <c:v>1270.444</c:v>
                </c:pt>
                <c:pt idx="36">
                  <c:v>1279.4490000000001</c:v>
                </c:pt>
                <c:pt idx="37">
                  <c:v>1294.1769999999999</c:v>
                </c:pt>
                <c:pt idx="38">
                  <c:v>1311.607</c:v>
                </c:pt>
                <c:pt idx="39">
                  <c:v>1299.6229999999998</c:v>
                </c:pt>
                <c:pt idx="40">
                  <c:v>1294.538</c:v>
                </c:pt>
                <c:pt idx="41">
                  <c:v>1296.636</c:v>
                </c:pt>
                <c:pt idx="42">
                  <c:v>1297.9290000000001</c:v>
                </c:pt>
                <c:pt idx="43">
                  <c:v>1306.297</c:v>
                </c:pt>
                <c:pt idx="44">
                  <c:v>1315.8</c:v>
                </c:pt>
                <c:pt idx="45">
                  <c:v>1331.6559999999999</c:v>
                </c:pt>
                <c:pt idx="46">
                  <c:v>1342.337</c:v>
                </c:pt>
                <c:pt idx="47">
                  <c:v>1343.81</c:v>
                </c:pt>
                <c:pt idx="48">
                  <c:v>1361.165</c:v>
                </c:pt>
                <c:pt idx="49">
                  <c:v>1387.665</c:v>
                </c:pt>
                <c:pt idx="50">
                  <c:v>1388.0050000000001</c:v>
                </c:pt>
                <c:pt idx="51">
                  <c:v>1396.0509999999999</c:v>
                </c:pt>
                <c:pt idx="52">
                  <c:v>1437.9170000000001</c:v>
                </c:pt>
                <c:pt idx="53">
                  <c:v>1437.0739999999998</c:v>
                </c:pt>
                <c:pt idx="54">
                  <c:v>1459.3709999999999</c:v>
                </c:pt>
                <c:pt idx="55">
                  <c:v>1451.6979999999999</c:v>
                </c:pt>
                <c:pt idx="56">
                  <c:v>1443.876</c:v>
                </c:pt>
                <c:pt idx="57">
                  <c:v>1452.25</c:v>
                </c:pt>
                <c:pt idx="58">
                  <c:v>1458.9639999999999</c:v>
                </c:pt>
                <c:pt idx="59">
                  <c:v>1464.9060000000011</c:v>
                </c:pt>
                <c:pt idx="60">
                  <c:v>1466.4050000000011</c:v>
                </c:pt>
                <c:pt idx="61">
                  <c:v>1465.3799999999999</c:v>
                </c:pt>
                <c:pt idx="62">
                  <c:v>1456.8969999999999</c:v>
                </c:pt>
                <c:pt idx="63">
                  <c:v>1472.578</c:v>
                </c:pt>
                <c:pt idx="64">
                  <c:v>1460.787</c:v>
                </c:pt>
                <c:pt idx="65">
                  <c:v>1473.1799999999998</c:v>
                </c:pt>
                <c:pt idx="66">
                  <c:v>1481.7349999999999</c:v>
                </c:pt>
                <c:pt idx="67">
                  <c:v>1494.44</c:v>
                </c:pt>
                <c:pt idx="68">
                  <c:v>1507.2670000000001</c:v>
                </c:pt>
                <c:pt idx="69">
                  <c:v>1531.1369999999999</c:v>
                </c:pt>
                <c:pt idx="70">
                  <c:v>1525.9360000000001</c:v>
                </c:pt>
                <c:pt idx="71">
                  <c:v>1509.7619999999999</c:v>
                </c:pt>
                <c:pt idx="72">
                  <c:v>1509.6279999999999</c:v>
                </c:pt>
                <c:pt idx="73">
                  <c:v>1505.9</c:v>
                </c:pt>
                <c:pt idx="74">
                  <c:v>1521.1489999999999</c:v>
                </c:pt>
                <c:pt idx="75">
                  <c:v>1544.5529999999999</c:v>
                </c:pt>
                <c:pt idx="76">
                  <c:v>1531.8529999999998</c:v>
                </c:pt>
                <c:pt idx="77">
                  <c:v>1536.6859999999999</c:v>
                </c:pt>
                <c:pt idx="78">
                  <c:v>1540.31</c:v>
                </c:pt>
                <c:pt idx="79">
                  <c:v>1520.0929999999998</c:v>
                </c:pt>
                <c:pt idx="80">
                  <c:v>1516.105</c:v>
                </c:pt>
                <c:pt idx="81">
                  <c:v>1505.2670000000001</c:v>
                </c:pt>
              </c:numCache>
            </c:numRef>
          </c:val>
        </c:ser>
        <c:ser>
          <c:idx val="1"/>
          <c:order val="1"/>
          <c:tx>
            <c:strRef>
              <c:f>'PR&amp;12MONTHROLL-CHARTS'!$B$5</c:f>
              <c:strCache>
                <c:ptCount val="1"/>
                <c:pt idx="0">
                  <c:v>Car Exports</c:v>
                </c:pt>
              </c:strCache>
            </c:strRef>
          </c:tx>
          <c:spPr>
            <a:ln>
              <a:solidFill>
                <a:schemeClr val="tx2">
                  <a:lumMod val="40000"/>
                  <a:lumOff val="60000"/>
                </a:schemeClr>
              </a:solidFill>
            </a:ln>
          </c:spPr>
          <c:marker>
            <c:symbol val="none"/>
          </c:marker>
          <c:cat>
            <c:numRef>
              <c:f>'PR&amp;12MONTHROLL-CHARTS'!$C$3:$CH$3</c:f>
              <c:numCache>
                <c:formatCode>General</c:formatCode>
                <c:ptCount val="84"/>
                <c:pt idx="0">
                  <c:v>2008</c:v>
                </c:pt>
                <c:pt idx="12">
                  <c:v>2009</c:v>
                </c:pt>
                <c:pt idx="24">
                  <c:v>2010</c:v>
                </c:pt>
                <c:pt idx="36">
                  <c:v>2011</c:v>
                </c:pt>
                <c:pt idx="48">
                  <c:v>2012</c:v>
                </c:pt>
                <c:pt idx="60">
                  <c:v>2013</c:v>
                </c:pt>
                <c:pt idx="72">
                  <c:v>2014</c:v>
                </c:pt>
              </c:numCache>
            </c:numRef>
          </c:cat>
          <c:val>
            <c:numRef>
              <c:f>'PR&amp;12MONTHROLL-CHARTS'!$C$5:$CH$5</c:f>
              <c:numCache>
                <c:formatCode>General</c:formatCode>
                <c:ptCount val="84"/>
                <c:pt idx="0">
                  <c:v>1202.5839999999998</c:v>
                </c:pt>
                <c:pt idx="1">
                  <c:v>1228.625</c:v>
                </c:pt>
                <c:pt idx="2">
                  <c:v>1226.4100000000001</c:v>
                </c:pt>
                <c:pt idx="3">
                  <c:v>1252.585</c:v>
                </c:pt>
                <c:pt idx="4">
                  <c:v>1242.4749999999999</c:v>
                </c:pt>
                <c:pt idx="5">
                  <c:v>1234.6959999999999</c:v>
                </c:pt>
                <c:pt idx="6">
                  <c:v>1234.9680000000001</c:v>
                </c:pt>
                <c:pt idx="7">
                  <c:v>1225.3579999999999</c:v>
                </c:pt>
                <c:pt idx="8">
                  <c:v>1231.2439999999999</c:v>
                </c:pt>
                <c:pt idx="9">
                  <c:v>1201.3009999999999</c:v>
                </c:pt>
                <c:pt idx="10">
                  <c:v>1165.7170000000001</c:v>
                </c:pt>
                <c:pt idx="11">
                  <c:v>1128.586</c:v>
                </c:pt>
                <c:pt idx="12">
                  <c:v>1067.8409999999999</c:v>
                </c:pt>
                <c:pt idx="13">
                  <c:v>1003.4599999999995</c:v>
                </c:pt>
                <c:pt idx="14">
                  <c:v>951.97</c:v>
                </c:pt>
                <c:pt idx="15">
                  <c:v>887.52599999999939</c:v>
                </c:pt>
                <c:pt idx="16">
                  <c:v>848.56499999999949</c:v>
                </c:pt>
                <c:pt idx="17">
                  <c:v>819.971</c:v>
                </c:pt>
                <c:pt idx="18">
                  <c:v>801.24800000000005</c:v>
                </c:pt>
                <c:pt idx="19">
                  <c:v>778.755</c:v>
                </c:pt>
                <c:pt idx="20">
                  <c:v>743.75099999999998</c:v>
                </c:pt>
                <c:pt idx="21">
                  <c:v>737.03599999999949</c:v>
                </c:pt>
                <c:pt idx="22">
                  <c:v>742.12099999999998</c:v>
                </c:pt>
                <c:pt idx="23">
                  <c:v>762.23400000000004</c:v>
                </c:pt>
                <c:pt idx="24">
                  <c:v>784.01499999999999</c:v>
                </c:pt>
                <c:pt idx="25">
                  <c:v>807.88</c:v>
                </c:pt>
                <c:pt idx="26">
                  <c:v>846.79900000000055</c:v>
                </c:pt>
                <c:pt idx="27">
                  <c:v>862.95899999999949</c:v>
                </c:pt>
                <c:pt idx="28">
                  <c:v>883.37900000000002</c:v>
                </c:pt>
                <c:pt idx="29">
                  <c:v>895.63599999999997</c:v>
                </c:pt>
                <c:pt idx="30">
                  <c:v>886.52199999999948</c:v>
                </c:pt>
                <c:pt idx="31">
                  <c:v>905.96299999999917</c:v>
                </c:pt>
                <c:pt idx="32">
                  <c:v>922.69299999999998</c:v>
                </c:pt>
                <c:pt idx="33">
                  <c:v>928.33599999999944</c:v>
                </c:pt>
                <c:pt idx="34">
                  <c:v>946.99900000000002</c:v>
                </c:pt>
                <c:pt idx="35">
                  <c:v>961.42</c:v>
                </c:pt>
                <c:pt idx="36">
                  <c:v>982.45899999999949</c:v>
                </c:pt>
                <c:pt idx="37">
                  <c:v>1005.0119999999994</c:v>
                </c:pt>
                <c:pt idx="38">
                  <c:v>1029.3819999999998</c:v>
                </c:pt>
                <c:pt idx="39">
                  <c:v>1030.5829999999999</c:v>
                </c:pt>
                <c:pt idx="40">
                  <c:v>1038.749</c:v>
                </c:pt>
                <c:pt idx="41">
                  <c:v>1051.087</c:v>
                </c:pt>
                <c:pt idx="42">
                  <c:v>1062.3429999999998</c:v>
                </c:pt>
                <c:pt idx="43">
                  <c:v>1072.626</c:v>
                </c:pt>
                <c:pt idx="44">
                  <c:v>1092.9190000000001</c:v>
                </c:pt>
                <c:pt idx="45">
                  <c:v>1111.2160000000001</c:v>
                </c:pt>
                <c:pt idx="46">
                  <c:v>1124.2280000000001</c:v>
                </c:pt>
                <c:pt idx="47">
                  <c:v>1124.6759999999999</c:v>
                </c:pt>
                <c:pt idx="48">
                  <c:v>1136.7739999999999</c:v>
                </c:pt>
                <c:pt idx="49">
                  <c:v>1156.9939999999999</c:v>
                </c:pt>
                <c:pt idx="50">
                  <c:v>1154.95</c:v>
                </c:pt>
                <c:pt idx="51">
                  <c:v>1162.258</c:v>
                </c:pt>
                <c:pt idx="52">
                  <c:v>1199.8119999999999</c:v>
                </c:pt>
                <c:pt idx="53">
                  <c:v>1199.9050000000011</c:v>
                </c:pt>
                <c:pt idx="54">
                  <c:v>1217.319</c:v>
                </c:pt>
                <c:pt idx="55">
                  <c:v>1211.8429999999998</c:v>
                </c:pt>
                <c:pt idx="56">
                  <c:v>1201.8609999999999</c:v>
                </c:pt>
                <c:pt idx="57">
                  <c:v>1207.1529999999998</c:v>
                </c:pt>
                <c:pt idx="58">
                  <c:v>1208.6089999999999</c:v>
                </c:pt>
                <c:pt idx="59">
                  <c:v>1211.788</c:v>
                </c:pt>
                <c:pt idx="60">
                  <c:v>1207.7360000000001</c:v>
                </c:pt>
                <c:pt idx="61">
                  <c:v>1196.6879999999999</c:v>
                </c:pt>
                <c:pt idx="62">
                  <c:v>1187.8029999999999</c:v>
                </c:pt>
                <c:pt idx="63">
                  <c:v>1194.6219999999998</c:v>
                </c:pt>
                <c:pt idx="64">
                  <c:v>1179.846</c:v>
                </c:pt>
                <c:pt idx="65">
                  <c:v>1188.1099999999999</c:v>
                </c:pt>
                <c:pt idx="66">
                  <c:v>1188.787</c:v>
                </c:pt>
                <c:pt idx="67">
                  <c:v>1197.9590000000001</c:v>
                </c:pt>
                <c:pt idx="68">
                  <c:v>1207.6539999999998</c:v>
                </c:pt>
                <c:pt idx="69">
                  <c:v>1221.018</c:v>
                </c:pt>
                <c:pt idx="70">
                  <c:v>1215.625</c:v>
                </c:pt>
                <c:pt idx="71">
                  <c:v>1201.395</c:v>
                </c:pt>
                <c:pt idx="72">
                  <c:v>1202.7909999999999</c:v>
                </c:pt>
                <c:pt idx="73">
                  <c:v>1206.4010000000001</c:v>
                </c:pt>
                <c:pt idx="74">
                  <c:v>1216.53</c:v>
                </c:pt>
                <c:pt idx="75">
                  <c:v>1235.2819999999999</c:v>
                </c:pt>
                <c:pt idx="76">
                  <c:v>1224.7049999999999</c:v>
                </c:pt>
                <c:pt idx="77">
                  <c:v>1225.2180000000001</c:v>
                </c:pt>
                <c:pt idx="78">
                  <c:v>1228.1479999999999</c:v>
                </c:pt>
                <c:pt idx="79">
                  <c:v>1209.9010000000001</c:v>
                </c:pt>
                <c:pt idx="80">
                  <c:v>1200.788</c:v>
                </c:pt>
                <c:pt idx="81">
                  <c:v>1186.6899999999998</c:v>
                </c:pt>
              </c:numCache>
            </c:numRef>
          </c:val>
        </c:ser>
        <c:marker val="1"/>
        <c:axId val="99779712"/>
        <c:axId val="99781248"/>
      </c:lineChart>
      <c:catAx>
        <c:axId val="99779712"/>
        <c:scaling>
          <c:orientation val="minMax"/>
        </c:scaling>
        <c:axPos val="b"/>
        <c:numFmt formatCode="General" sourceLinked="1"/>
        <c:majorTickMark val="in"/>
        <c:tickLblPos val="nextTo"/>
        <c:txPr>
          <a:bodyPr rot="-1980000" vert="horz"/>
          <a:lstStyle/>
          <a:p>
            <a:pPr>
              <a:defRPr sz="1000" b="0" i="0" u="none" strike="noStrike" baseline="0">
                <a:solidFill>
                  <a:srgbClr val="0D2255"/>
                </a:solidFill>
                <a:latin typeface="Arial"/>
                <a:ea typeface="Arial"/>
                <a:cs typeface="Arial"/>
              </a:defRPr>
            </a:pPr>
            <a:endParaRPr lang="en-US"/>
          </a:p>
        </c:txPr>
        <c:crossAx val="99781248"/>
        <c:crosses val="autoZero"/>
        <c:auto val="1"/>
        <c:lblAlgn val="ctr"/>
        <c:lblOffset val="100"/>
        <c:tickMarkSkip val="12"/>
      </c:catAx>
      <c:valAx>
        <c:axId val="99781248"/>
        <c:scaling>
          <c:orientation val="minMax"/>
          <c:min val="600"/>
        </c:scaling>
        <c:axPos val="l"/>
        <c:majorGridlines/>
        <c:title>
          <c:tx>
            <c:rich>
              <a:bodyPr/>
              <a:lstStyle/>
              <a:p>
                <a:pPr>
                  <a:defRPr sz="1000" b="0" i="1" u="none" strike="noStrike" baseline="0">
                    <a:solidFill>
                      <a:srgbClr val="0D2255"/>
                    </a:solidFill>
                    <a:latin typeface="Arial"/>
                    <a:ea typeface="Arial"/>
                    <a:cs typeface="Arial"/>
                  </a:defRPr>
                </a:pPr>
                <a:r>
                  <a:rPr lang="en-GB" b="1" i="1">
                    <a:solidFill>
                      <a:srgbClr val="0D2255"/>
                    </a:solidFill>
                  </a:rPr>
                  <a:t>Millions</a:t>
                </a:r>
              </a:p>
            </c:rich>
          </c:tx>
          <c:layout>
            <c:manualLayout>
              <c:xMode val="edge"/>
              <c:yMode val="edge"/>
              <c:x val="2.2528337803928371E-2"/>
              <c:y val="0.28232237301995594"/>
            </c:manualLayout>
          </c:layout>
        </c:title>
        <c:numFmt formatCode="General" sourceLinked="1"/>
        <c:majorTickMark val="none"/>
        <c:tickLblPos val="nextTo"/>
        <c:txPr>
          <a:bodyPr rot="0" vert="horz"/>
          <a:lstStyle/>
          <a:p>
            <a:pPr>
              <a:defRPr sz="1000" b="0" i="0" u="none" strike="noStrike" baseline="0">
                <a:solidFill>
                  <a:srgbClr val="0D2255"/>
                </a:solidFill>
                <a:latin typeface="Arial"/>
                <a:ea typeface="Arial"/>
                <a:cs typeface="Arial"/>
              </a:defRPr>
            </a:pPr>
            <a:endParaRPr lang="en-US"/>
          </a:p>
        </c:txPr>
        <c:crossAx val="99779712"/>
        <c:crosses val="autoZero"/>
        <c:crossBetween val="between"/>
        <c:dispUnits>
          <c:builtInUnit val="thousands"/>
        </c:dispUnits>
      </c:valAx>
    </c:plotArea>
    <c:legend>
      <c:legendPos val="r"/>
      <c:layout>
        <c:manualLayout>
          <c:xMode val="edge"/>
          <c:yMode val="edge"/>
          <c:x val="0.63329846269216417"/>
          <c:y val="0.54113076445154451"/>
          <c:w val="0.27025319854820129"/>
          <c:h val="0.24260793487770568"/>
        </c:manualLayout>
      </c:layout>
      <c:txPr>
        <a:bodyPr/>
        <a:lstStyle/>
        <a:p>
          <a:pPr>
            <a:defRPr sz="700" b="0" i="0" u="none" strike="noStrike" baseline="0">
              <a:solidFill>
                <a:srgbClr val="0D2255"/>
              </a:solidFill>
              <a:latin typeface="Arial"/>
              <a:ea typeface="Arial"/>
              <a:cs typeface="Arial"/>
            </a:defRPr>
          </a:pPr>
          <a:endParaRPr lang="en-US"/>
        </a:p>
      </c:txPr>
    </c:legend>
    <c:plotVisOnly val="1"/>
    <c:dispBlanksAs val="gap"/>
  </c:chart>
  <c:spPr>
    <a:ln>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style val="3"/>
  <c:chart>
    <c:autoTitleDeleted val="1"/>
    <c:plotArea>
      <c:layout>
        <c:manualLayout>
          <c:layoutTarget val="inner"/>
          <c:xMode val="edge"/>
          <c:yMode val="edge"/>
          <c:x val="0.18585010207057451"/>
          <c:y val="3.5723361569714313E-2"/>
          <c:w val="0.79204590417188891"/>
          <c:h val="0.87614394887763059"/>
        </c:manualLayout>
      </c:layout>
      <c:barChart>
        <c:barDir val="col"/>
        <c:grouping val="stacked"/>
        <c:ser>
          <c:idx val="0"/>
          <c:order val="0"/>
          <c:tx>
            <c:strRef>
              <c:f>Sheet1!$B$7</c:f>
              <c:strCache>
                <c:ptCount val="1"/>
                <c:pt idx="0">
                  <c:v>Export</c:v>
                </c:pt>
              </c:strCache>
            </c:strRef>
          </c:tx>
          <c:spPr>
            <a:ln>
              <a:solidFill>
                <a:sysClr val="windowText" lastClr="000000"/>
              </a:solidFill>
            </a:ln>
          </c:spPr>
          <c:cat>
            <c:numRef>
              <c:f>Sheet1!$C$6:$G$6</c:f>
              <c:numCache>
                <c:formatCode>General</c:formatCode>
                <c:ptCount val="5"/>
                <c:pt idx="0">
                  <c:v>2008</c:v>
                </c:pt>
                <c:pt idx="1">
                  <c:v>2009</c:v>
                </c:pt>
                <c:pt idx="2">
                  <c:v>2012</c:v>
                </c:pt>
                <c:pt idx="3">
                  <c:v>2013</c:v>
                </c:pt>
                <c:pt idx="4">
                  <c:v>2014</c:v>
                </c:pt>
              </c:numCache>
            </c:numRef>
          </c:cat>
          <c:val>
            <c:numRef>
              <c:f>Sheet1!$C$7:$G$7</c:f>
              <c:numCache>
                <c:formatCode>General</c:formatCode>
                <c:ptCount val="5"/>
                <c:pt idx="0">
                  <c:v>998939</c:v>
                </c:pt>
                <c:pt idx="1">
                  <c:v>607389</c:v>
                </c:pt>
                <c:pt idx="2">
                  <c:v>1005764</c:v>
                </c:pt>
                <c:pt idx="3">
                  <c:v>1014994</c:v>
                </c:pt>
                <c:pt idx="4">
                  <c:v>1000289</c:v>
                </c:pt>
              </c:numCache>
            </c:numRef>
          </c:val>
        </c:ser>
        <c:ser>
          <c:idx val="1"/>
          <c:order val="1"/>
          <c:tx>
            <c:strRef>
              <c:f>Sheet1!$B$8</c:f>
              <c:strCache>
                <c:ptCount val="1"/>
                <c:pt idx="0">
                  <c:v>Home</c:v>
                </c:pt>
              </c:strCache>
            </c:strRef>
          </c:tx>
          <c:spPr>
            <a:ln>
              <a:solidFill>
                <a:sysClr val="windowText" lastClr="000000"/>
              </a:solidFill>
            </a:ln>
          </c:spPr>
          <c:cat>
            <c:numRef>
              <c:f>Sheet1!$C$6:$G$6</c:f>
              <c:numCache>
                <c:formatCode>General</c:formatCode>
                <c:ptCount val="5"/>
                <c:pt idx="0">
                  <c:v>2008</c:v>
                </c:pt>
                <c:pt idx="1">
                  <c:v>2009</c:v>
                </c:pt>
                <c:pt idx="2">
                  <c:v>2012</c:v>
                </c:pt>
                <c:pt idx="3">
                  <c:v>2013</c:v>
                </c:pt>
                <c:pt idx="4">
                  <c:v>2014</c:v>
                </c:pt>
              </c:numCache>
            </c:numRef>
          </c:cat>
          <c:val>
            <c:numRef>
              <c:f>Sheet1!$C$8:$G$8</c:f>
              <c:numCache>
                <c:formatCode>General</c:formatCode>
                <c:ptCount val="5"/>
                <c:pt idx="0">
                  <c:v>296253</c:v>
                </c:pt>
                <c:pt idx="1">
                  <c:v>193807</c:v>
                </c:pt>
                <c:pt idx="2">
                  <c:v>214577</c:v>
                </c:pt>
                <c:pt idx="3">
                  <c:v>271578</c:v>
                </c:pt>
                <c:pt idx="4">
                  <c:v>281788</c:v>
                </c:pt>
              </c:numCache>
            </c:numRef>
          </c:val>
        </c:ser>
        <c:gapWidth val="55"/>
        <c:overlap val="100"/>
        <c:axId val="101222272"/>
        <c:axId val="101223808"/>
      </c:barChart>
      <c:catAx>
        <c:axId val="101222272"/>
        <c:scaling>
          <c:orientation val="minMax"/>
        </c:scaling>
        <c:axPos val="b"/>
        <c:numFmt formatCode="General" sourceLinked="1"/>
        <c:majorTickMark val="none"/>
        <c:tickLblPos val="nextTo"/>
        <c:txPr>
          <a:bodyPr/>
          <a:lstStyle/>
          <a:p>
            <a:pPr>
              <a:defRPr>
                <a:solidFill>
                  <a:srgbClr val="0D2255"/>
                </a:solidFill>
              </a:defRPr>
            </a:pPr>
            <a:endParaRPr lang="en-US"/>
          </a:p>
        </c:txPr>
        <c:crossAx val="101223808"/>
        <c:crosses val="autoZero"/>
        <c:auto val="1"/>
        <c:lblAlgn val="ctr"/>
        <c:lblOffset val="100"/>
      </c:catAx>
      <c:valAx>
        <c:axId val="101223808"/>
        <c:scaling>
          <c:orientation val="minMax"/>
        </c:scaling>
        <c:axPos val="l"/>
        <c:majorGridlines/>
        <c:numFmt formatCode="General" sourceLinked="1"/>
        <c:majorTickMark val="none"/>
        <c:tickLblPos val="nextTo"/>
        <c:txPr>
          <a:bodyPr/>
          <a:lstStyle/>
          <a:p>
            <a:pPr>
              <a:defRPr>
                <a:solidFill>
                  <a:srgbClr val="0D2255"/>
                </a:solidFill>
              </a:defRPr>
            </a:pPr>
            <a:endParaRPr lang="en-US"/>
          </a:p>
        </c:txPr>
        <c:crossAx val="101222272"/>
        <c:crosses val="autoZero"/>
        <c:crossBetween val="between"/>
        <c:dispUnits>
          <c:builtInUnit val="millions"/>
          <c:dispUnitsLbl>
            <c:layout>
              <c:manualLayout>
                <c:xMode val="edge"/>
                <c:yMode val="edge"/>
                <c:x val="0"/>
                <c:y val="0.29178800925746351"/>
              </c:manualLayout>
            </c:layout>
            <c:txPr>
              <a:bodyPr/>
              <a:lstStyle/>
              <a:p>
                <a:pPr>
                  <a:defRPr i="1">
                    <a:solidFill>
                      <a:srgbClr val="0D2255"/>
                    </a:solidFill>
                  </a:defRPr>
                </a:pPr>
                <a:endParaRPr lang="en-US"/>
              </a:p>
            </c:txPr>
          </c:dispUnitsLbl>
        </c:dispUnits>
      </c:valAx>
    </c:plotArea>
    <c:legend>
      <c:legendPos val="r"/>
      <c:layout>
        <c:manualLayout>
          <c:xMode val="edge"/>
          <c:yMode val="edge"/>
          <c:x val="0.31891986474663653"/>
          <c:y val="7.6026013989630645E-2"/>
          <c:w val="0.21190071961725504"/>
          <c:h val="0.19193824909817317"/>
        </c:manualLayout>
      </c:layout>
      <c:txPr>
        <a:bodyPr/>
        <a:lstStyle/>
        <a:p>
          <a:pPr>
            <a:defRPr>
              <a:solidFill>
                <a:srgbClr val="0D2255"/>
              </a:solidFill>
            </a:defRPr>
          </a:pPr>
          <a:endParaRPr lang="en-US"/>
        </a:p>
      </c:txPr>
    </c:legend>
    <c:plotVisOnly val="1"/>
  </c:chart>
  <c:spPr>
    <a:ln>
      <a:noFill/>
    </a:ln>
  </c:spPr>
  <c:txPr>
    <a:bodyPr/>
    <a:lstStyle/>
    <a:p>
      <a:pPr>
        <a:defRPr>
          <a:latin typeface="Arial" pitchFamily="34" charset="0"/>
          <a:cs typeface="Arial" pitchFamily="34"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D1C1C-4449-447E-A267-3F452DF36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fouldb</cp:lastModifiedBy>
  <cp:revision>13</cp:revision>
  <cp:lastPrinted>2014-11-19T09:41:00Z</cp:lastPrinted>
  <dcterms:created xsi:type="dcterms:W3CDTF">2014-10-22T08:20:00Z</dcterms:created>
  <dcterms:modified xsi:type="dcterms:W3CDTF">2014-11-19T09:57:00Z</dcterms:modified>
</cp:coreProperties>
</file>