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6" w:rsidRPr="00176BC5" w:rsidRDefault="009E7466" w:rsidP="009E7466">
      <w:pPr>
        <w:pStyle w:val="Heading1"/>
        <w:ind w:right="142"/>
        <w:rPr>
          <w:rFonts w:ascii="Arial" w:eastAsiaTheme="minorEastAsia" w:hAnsi="Arial" w:cs="Arial"/>
          <w:bCs/>
          <w:color w:val="1074CB"/>
          <w:sz w:val="44"/>
          <w:szCs w:val="44"/>
        </w:rPr>
      </w:pPr>
      <w:r w:rsidRPr="005C2E16">
        <w:rPr>
          <w:rFonts w:ascii="Arial" w:eastAsiaTheme="minorEastAsia" w:hAnsi="Arial" w:cs="Arial"/>
          <w:bCs/>
          <w:color w:val="1074CB"/>
          <w:sz w:val="44"/>
          <w:szCs w:val="44"/>
        </w:rPr>
        <w:t>SMMT AUTOMOTIVE MANUFACTURING</w:t>
      </w:r>
    </w:p>
    <w:p w:rsidR="009E7466" w:rsidRDefault="009E7466" w:rsidP="009E7466">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w:t>
      </w:r>
      <w:r w:rsidR="000C285D">
        <w:rPr>
          <w:rFonts w:ascii="Arial" w:eastAsiaTheme="minorEastAsia" w:hAnsi="Arial" w:cs="Arial"/>
          <w:b w:val="0"/>
          <w:bCs/>
          <w:color w:val="1074CB"/>
          <w:sz w:val="44"/>
          <w:szCs w:val="44"/>
        </w:rPr>
        <w:t>7</w:t>
      </w:r>
      <w:r>
        <w:rPr>
          <w:rFonts w:ascii="Arial" w:eastAsiaTheme="minorEastAsia" w:hAnsi="Arial" w:cs="Arial"/>
          <w:b w:val="0"/>
          <w:bCs/>
          <w:color w:val="1074CB"/>
          <w:sz w:val="44"/>
          <w:szCs w:val="44"/>
        </w:rPr>
        <w:t xml:space="preserve"> </w:t>
      </w:r>
      <w:r w:rsidR="000C285D">
        <w:rPr>
          <w:rFonts w:ascii="Arial" w:eastAsiaTheme="minorEastAsia" w:hAnsi="Arial" w:cs="Arial"/>
          <w:b w:val="0"/>
          <w:bCs/>
          <w:color w:val="1074CB"/>
          <w:sz w:val="44"/>
          <w:szCs w:val="44"/>
        </w:rPr>
        <w:t>May</w:t>
      </w:r>
      <w:r w:rsidRPr="00176BC5">
        <w:rPr>
          <w:rFonts w:ascii="Arial" w:eastAsiaTheme="minorEastAsia" w:hAnsi="Arial" w:cs="Arial"/>
          <w:b w:val="0"/>
          <w:bCs/>
          <w:color w:val="1074CB"/>
          <w:sz w:val="44"/>
          <w:szCs w:val="44"/>
        </w:rPr>
        <w:t xml:space="preserve"> 201</w:t>
      </w:r>
      <w:r>
        <w:rPr>
          <w:rFonts w:ascii="Arial" w:eastAsiaTheme="minorEastAsia" w:hAnsi="Arial" w:cs="Arial"/>
          <w:b w:val="0"/>
          <w:bCs/>
          <w:color w:val="1074CB"/>
          <w:sz w:val="44"/>
          <w:szCs w:val="44"/>
        </w:rPr>
        <w:t>2</w:t>
      </w:r>
      <w:r w:rsidRPr="00176BC5">
        <w:rPr>
          <w:rFonts w:ascii="Arial" w:eastAsiaTheme="minorEastAsia" w:hAnsi="Arial" w:cs="Arial"/>
          <w:b w:val="0"/>
          <w:bCs/>
          <w:color w:val="1074CB"/>
          <w:sz w:val="44"/>
          <w:szCs w:val="44"/>
        </w:rPr>
        <w:t xml:space="preserve"> </w:t>
      </w:r>
      <w:r w:rsidRPr="00176BC5">
        <w:rPr>
          <w:rFonts w:ascii="Arial" w:eastAsiaTheme="minorEastAsia" w:hAnsi="Arial" w:cs="Arial"/>
          <w:b w:val="0"/>
          <w:bCs/>
          <w:color w:val="1074CB"/>
          <w:sz w:val="32"/>
          <w:szCs w:val="32"/>
        </w:rPr>
        <w:t xml:space="preserve">(data for </w:t>
      </w:r>
      <w:r w:rsidR="000C285D">
        <w:rPr>
          <w:rFonts w:ascii="Arial" w:eastAsiaTheme="minorEastAsia" w:hAnsi="Arial" w:cs="Arial"/>
          <w:b w:val="0"/>
          <w:bCs/>
          <w:color w:val="1074CB"/>
          <w:sz w:val="32"/>
          <w:szCs w:val="32"/>
        </w:rPr>
        <w:t>April</w:t>
      </w:r>
      <w:r>
        <w:rPr>
          <w:rFonts w:ascii="Arial" w:eastAsiaTheme="minorEastAsia" w:hAnsi="Arial" w:cs="Arial"/>
          <w:b w:val="0"/>
          <w:bCs/>
          <w:color w:val="1074CB"/>
          <w:sz w:val="32"/>
          <w:szCs w:val="32"/>
        </w:rPr>
        <w:t xml:space="preserve"> 2012</w:t>
      </w:r>
      <w:r w:rsidRPr="00176BC5">
        <w:rPr>
          <w:rFonts w:ascii="Arial" w:eastAsiaTheme="minorEastAsia" w:hAnsi="Arial" w:cs="Arial"/>
          <w:b w:val="0"/>
          <w:bCs/>
          <w:color w:val="1074CB"/>
          <w:sz w:val="32"/>
          <w:szCs w:val="32"/>
        </w:rPr>
        <w:t>)</w:t>
      </w:r>
    </w:p>
    <w:p w:rsidR="009E7466" w:rsidRPr="009F32FF" w:rsidRDefault="009E7466" w:rsidP="009E7466">
      <w:pPr>
        <w:rPr>
          <w:sz w:val="8"/>
          <w:szCs w:val="8"/>
        </w:rPr>
      </w:pPr>
    </w:p>
    <w:p w:rsidR="009E7466" w:rsidRPr="001A5B1A" w:rsidRDefault="009E7466" w:rsidP="009E7466">
      <w:pPr>
        <w:pStyle w:val="Heading1"/>
        <w:ind w:left="0" w:right="142" w:firstLine="0"/>
        <w:rPr>
          <w:rFonts w:ascii="Arial" w:eastAsiaTheme="minorEastAsia" w:hAnsi="Arial" w:cs="Arial"/>
          <w:b w:val="0"/>
          <w:bCs/>
          <w:color w:val="1074CB"/>
        </w:rPr>
      </w:pPr>
      <w:r w:rsidRPr="001A5B1A">
        <w:rPr>
          <w:rFonts w:ascii="Arial" w:eastAsiaTheme="minorEastAsia" w:hAnsi="Arial" w:cs="Arial"/>
          <w:b w:val="0"/>
          <w:bCs/>
          <w:color w:val="1074CB"/>
        </w:rPr>
        <w:t>NEWS RELEASE NUMBER</w:t>
      </w:r>
      <w:r>
        <w:rPr>
          <w:rFonts w:ascii="Arial" w:eastAsiaTheme="minorEastAsia" w:hAnsi="Arial" w:cs="Arial"/>
          <w:b w:val="0"/>
          <w:bCs/>
          <w:color w:val="1074CB"/>
        </w:rPr>
        <w:t>:</w:t>
      </w:r>
      <w:r w:rsidRPr="001A5B1A">
        <w:rPr>
          <w:rFonts w:ascii="Arial" w:eastAsiaTheme="minorEastAsia" w:hAnsi="Arial" w:cs="Arial"/>
          <w:b w:val="0"/>
          <w:bCs/>
          <w:color w:val="1074CB"/>
        </w:rPr>
        <w:t xml:space="preserve"> </w:t>
      </w:r>
      <w:r w:rsidR="00E56034">
        <w:rPr>
          <w:rFonts w:ascii="Arial" w:eastAsiaTheme="minorEastAsia" w:hAnsi="Arial" w:cs="Arial"/>
          <w:b w:val="0"/>
          <w:bCs/>
          <w:color w:val="1074CB"/>
        </w:rPr>
        <w:t>5014</w:t>
      </w:r>
      <w:r w:rsidRPr="001A5B1A">
        <w:rPr>
          <w:rFonts w:ascii="Arial" w:eastAsiaTheme="minorEastAsia" w:hAnsi="Arial" w:cs="Arial"/>
          <w:b w:val="0"/>
          <w:bCs/>
          <w:color w:val="1074CB"/>
        </w:rPr>
        <w:t xml:space="preserve">                                                             FOR RELEASE</w:t>
      </w:r>
      <w:r>
        <w:rPr>
          <w:rFonts w:ascii="Arial" w:eastAsiaTheme="minorEastAsia" w:hAnsi="Arial" w:cs="Arial"/>
          <w:b w:val="0"/>
          <w:bCs/>
          <w:color w:val="1074CB"/>
        </w:rPr>
        <w:t>:</w:t>
      </w:r>
      <w:r w:rsidRPr="001A5B1A">
        <w:rPr>
          <w:rFonts w:ascii="Arial" w:eastAsiaTheme="minorEastAsia" w:hAnsi="Arial" w:cs="Arial"/>
          <w:b w:val="0"/>
          <w:bCs/>
          <w:color w:val="1074CB"/>
        </w:rPr>
        <w:t xml:space="preserve"> IMMEDIATE</w:t>
      </w:r>
    </w:p>
    <w:p w:rsidR="009E7466" w:rsidRPr="00176BC5" w:rsidRDefault="00376211" w:rsidP="009E7466">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45" style="position:absolute;z-index:251671552" from=".55pt,3.1pt" to="455.9pt,3.1pt" strokecolor="#1074cb"/>
        </w:pict>
      </w:r>
    </w:p>
    <w:p w:rsidR="00593F7B" w:rsidRPr="00176BC5" w:rsidRDefault="00593F7B" w:rsidP="00593F7B">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w:t>
      </w:r>
      <w:r w:rsidR="005C7AD6">
        <w:rPr>
          <w:rFonts w:ascii="Arial" w:eastAsiaTheme="minorEastAsia" w:hAnsi="Arial" w:cs="Arial"/>
          <w:bCs/>
          <w:color w:val="1074CB"/>
          <w:sz w:val="36"/>
          <w:szCs w:val="36"/>
        </w:rPr>
        <w:t xml:space="preserve">automotive </w:t>
      </w:r>
      <w:r w:rsidR="00795668">
        <w:rPr>
          <w:rFonts w:ascii="Arial" w:eastAsiaTheme="minorEastAsia" w:hAnsi="Arial" w:cs="Arial"/>
          <w:bCs/>
          <w:color w:val="1074CB"/>
          <w:sz w:val="36"/>
          <w:szCs w:val="36"/>
        </w:rPr>
        <w:t>output</w:t>
      </w:r>
      <w:r>
        <w:rPr>
          <w:rFonts w:ascii="Arial" w:eastAsiaTheme="minorEastAsia" w:hAnsi="Arial" w:cs="Arial"/>
          <w:bCs/>
          <w:color w:val="1074CB"/>
          <w:sz w:val="36"/>
          <w:szCs w:val="36"/>
        </w:rPr>
        <w:t xml:space="preserve"> </w:t>
      </w:r>
      <w:r w:rsidR="005C7AD6">
        <w:rPr>
          <w:rFonts w:ascii="Arial" w:eastAsiaTheme="minorEastAsia" w:hAnsi="Arial" w:cs="Arial"/>
          <w:bCs/>
          <w:color w:val="1074CB"/>
          <w:sz w:val="36"/>
          <w:szCs w:val="36"/>
        </w:rPr>
        <w:t>sustains growth run in April</w:t>
      </w:r>
    </w:p>
    <w:p w:rsidR="00593F7B" w:rsidRPr="006F34BF" w:rsidRDefault="00593F7B" w:rsidP="00593F7B">
      <w:pPr>
        <w:ind w:right="283"/>
        <w:rPr>
          <w:sz w:val="12"/>
          <w:szCs w:val="12"/>
        </w:rPr>
      </w:pPr>
    </w:p>
    <w:p w:rsidR="00593F7B" w:rsidRPr="00CB5253" w:rsidRDefault="00593F7B" w:rsidP="00593F7B">
      <w:pPr>
        <w:numPr>
          <w:ilvl w:val="0"/>
          <w:numId w:val="10"/>
        </w:numPr>
        <w:spacing w:line="288" w:lineRule="auto"/>
        <w:rPr>
          <w:rFonts w:ascii="Arial" w:hAnsi="Arial" w:cs="Arial"/>
          <w:sz w:val="20"/>
        </w:rPr>
      </w:pPr>
      <w:r w:rsidRPr="00CB5253">
        <w:rPr>
          <w:rFonts w:ascii="Arial" w:hAnsi="Arial" w:cs="Arial"/>
          <w:sz w:val="20"/>
        </w:rPr>
        <w:t xml:space="preserve">Car </w:t>
      </w:r>
      <w:r>
        <w:rPr>
          <w:rFonts w:ascii="Arial" w:hAnsi="Arial" w:cs="Arial"/>
          <w:sz w:val="20"/>
        </w:rPr>
        <w:t>manufacturing</w:t>
      </w:r>
      <w:r w:rsidRPr="00CB5253">
        <w:rPr>
          <w:rFonts w:ascii="Arial" w:hAnsi="Arial" w:cs="Arial"/>
          <w:sz w:val="20"/>
        </w:rPr>
        <w:t xml:space="preserve"> rose </w:t>
      </w:r>
      <w:r w:rsidR="005C7AD6">
        <w:rPr>
          <w:rFonts w:ascii="Arial" w:hAnsi="Arial" w:cs="Arial"/>
          <w:sz w:val="20"/>
        </w:rPr>
        <w:t>by 9</w:t>
      </w:r>
      <w:r w:rsidR="001B22DD">
        <w:rPr>
          <w:rFonts w:ascii="Arial" w:hAnsi="Arial" w:cs="Arial"/>
          <w:sz w:val="20"/>
        </w:rPr>
        <w:t>.3</w:t>
      </w:r>
      <w:r w:rsidRPr="00CB5253">
        <w:rPr>
          <w:rFonts w:ascii="Arial" w:hAnsi="Arial" w:cs="Arial"/>
          <w:sz w:val="20"/>
        </w:rPr>
        <w:t xml:space="preserve">% in </w:t>
      </w:r>
      <w:r w:rsidR="005C7AD6">
        <w:rPr>
          <w:rFonts w:ascii="Arial" w:hAnsi="Arial" w:cs="Arial"/>
          <w:sz w:val="20"/>
        </w:rPr>
        <w:t>April</w:t>
      </w:r>
      <w:r w:rsidR="0047461A">
        <w:rPr>
          <w:rFonts w:ascii="Arial" w:hAnsi="Arial" w:cs="Arial"/>
          <w:sz w:val="20"/>
        </w:rPr>
        <w:t xml:space="preserve">, </w:t>
      </w:r>
      <w:r w:rsidR="001B22DD">
        <w:rPr>
          <w:rFonts w:ascii="Arial" w:hAnsi="Arial" w:cs="Arial"/>
          <w:sz w:val="20"/>
        </w:rPr>
        <w:t xml:space="preserve">and was </w:t>
      </w:r>
      <w:r>
        <w:rPr>
          <w:rFonts w:ascii="Arial" w:hAnsi="Arial" w:cs="Arial"/>
          <w:sz w:val="20"/>
        </w:rPr>
        <w:t>up 1</w:t>
      </w:r>
      <w:r w:rsidR="005C7AD6">
        <w:rPr>
          <w:rFonts w:ascii="Arial" w:hAnsi="Arial" w:cs="Arial"/>
          <w:sz w:val="20"/>
        </w:rPr>
        <w:t>1.8</w:t>
      </w:r>
      <w:r>
        <w:rPr>
          <w:rFonts w:ascii="Arial" w:hAnsi="Arial" w:cs="Arial"/>
          <w:sz w:val="20"/>
        </w:rPr>
        <w:t xml:space="preserve">% over the </w:t>
      </w:r>
      <w:r w:rsidR="005C7AD6">
        <w:rPr>
          <w:rFonts w:ascii="Arial" w:hAnsi="Arial" w:cs="Arial"/>
          <w:sz w:val="20"/>
        </w:rPr>
        <w:t>first four months of the year</w:t>
      </w:r>
      <w:r>
        <w:rPr>
          <w:rFonts w:ascii="Arial" w:hAnsi="Arial" w:cs="Arial"/>
          <w:sz w:val="20"/>
        </w:rPr>
        <w:t>.</w:t>
      </w:r>
      <w:r w:rsidRPr="00CB5253">
        <w:rPr>
          <w:rFonts w:ascii="Arial" w:hAnsi="Arial" w:cs="Arial"/>
          <w:sz w:val="20"/>
        </w:rPr>
        <w:t xml:space="preserve">  </w:t>
      </w:r>
    </w:p>
    <w:p w:rsidR="00593F7B" w:rsidRPr="00CB5253" w:rsidRDefault="00593F7B" w:rsidP="00593F7B">
      <w:pPr>
        <w:numPr>
          <w:ilvl w:val="0"/>
          <w:numId w:val="10"/>
        </w:numPr>
        <w:spacing w:line="288" w:lineRule="auto"/>
        <w:rPr>
          <w:rFonts w:ascii="Arial" w:hAnsi="Arial" w:cs="Arial"/>
          <w:sz w:val="20"/>
        </w:rPr>
      </w:pPr>
      <w:r>
        <w:rPr>
          <w:rFonts w:ascii="Arial" w:hAnsi="Arial" w:cs="Arial"/>
          <w:sz w:val="20"/>
        </w:rPr>
        <w:t xml:space="preserve">CV output </w:t>
      </w:r>
      <w:r w:rsidR="005C7AD6">
        <w:rPr>
          <w:rFonts w:ascii="Arial" w:hAnsi="Arial" w:cs="Arial"/>
          <w:sz w:val="20"/>
        </w:rPr>
        <w:t xml:space="preserve">rose by </w:t>
      </w:r>
      <w:r w:rsidR="001B22DD">
        <w:rPr>
          <w:rFonts w:ascii="Arial" w:hAnsi="Arial" w:cs="Arial"/>
          <w:sz w:val="20"/>
        </w:rPr>
        <w:t>3</w:t>
      </w:r>
      <w:r w:rsidR="005C7AD6">
        <w:rPr>
          <w:rFonts w:ascii="Arial" w:hAnsi="Arial" w:cs="Arial"/>
          <w:sz w:val="20"/>
        </w:rPr>
        <w:t>.2</w:t>
      </w:r>
      <w:r w:rsidR="009E4728">
        <w:rPr>
          <w:rFonts w:ascii="Arial" w:hAnsi="Arial" w:cs="Arial"/>
          <w:sz w:val="20"/>
        </w:rPr>
        <w:t xml:space="preserve">% in </w:t>
      </w:r>
      <w:r w:rsidR="005C7AD6">
        <w:rPr>
          <w:rFonts w:ascii="Arial" w:hAnsi="Arial" w:cs="Arial"/>
          <w:sz w:val="20"/>
        </w:rPr>
        <w:t>April</w:t>
      </w:r>
      <w:r w:rsidR="0047461A">
        <w:rPr>
          <w:rFonts w:ascii="Arial" w:hAnsi="Arial" w:cs="Arial"/>
          <w:sz w:val="20"/>
        </w:rPr>
        <w:t xml:space="preserve">, </w:t>
      </w:r>
      <w:r w:rsidR="005C7AD6">
        <w:rPr>
          <w:rFonts w:ascii="Arial" w:hAnsi="Arial" w:cs="Arial"/>
          <w:sz w:val="20"/>
        </w:rPr>
        <w:t xml:space="preserve">but was down </w:t>
      </w:r>
      <w:r w:rsidR="001B22DD">
        <w:rPr>
          <w:rFonts w:ascii="Arial" w:hAnsi="Arial" w:cs="Arial"/>
          <w:sz w:val="20"/>
        </w:rPr>
        <w:t>9.</w:t>
      </w:r>
      <w:r w:rsidR="005C7AD6">
        <w:rPr>
          <w:rFonts w:ascii="Arial" w:hAnsi="Arial" w:cs="Arial"/>
          <w:sz w:val="20"/>
        </w:rPr>
        <w:t>2</w:t>
      </w:r>
      <w:r>
        <w:rPr>
          <w:rFonts w:ascii="Arial" w:hAnsi="Arial" w:cs="Arial"/>
          <w:sz w:val="20"/>
        </w:rPr>
        <w:t xml:space="preserve">% over the </w:t>
      </w:r>
      <w:r w:rsidR="005C7AD6">
        <w:rPr>
          <w:rFonts w:ascii="Arial" w:hAnsi="Arial" w:cs="Arial"/>
          <w:sz w:val="20"/>
        </w:rPr>
        <w:t>January-April period</w:t>
      </w:r>
      <w:r w:rsidRPr="00CB5253">
        <w:rPr>
          <w:rFonts w:ascii="Arial" w:hAnsi="Arial" w:cs="Arial"/>
          <w:sz w:val="20"/>
        </w:rPr>
        <w:t>.</w:t>
      </w:r>
    </w:p>
    <w:p w:rsidR="004F7ED2" w:rsidRDefault="00593F7B" w:rsidP="00C30BD2">
      <w:pPr>
        <w:numPr>
          <w:ilvl w:val="0"/>
          <w:numId w:val="10"/>
        </w:numPr>
        <w:spacing w:line="288" w:lineRule="auto"/>
        <w:rPr>
          <w:rFonts w:ascii="Arial" w:hAnsi="Arial" w:cs="Arial"/>
          <w:sz w:val="20"/>
        </w:rPr>
      </w:pPr>
      <w:r w:rsidRPr="00CB5253">
        <w:rPr>
          <w:rFonts w:ascii="Arial" w:hAnsi="Arial" w:cs="Arial"/>
          <w:sz w:val="20"/>
        </w:rPr>
        <w:t>UK</w:t>
      </w:r>
      <w:r w:rsidR="001B22DD">
        <w:rPr>
          <w:rFonts w:ascii="Arial" w:hAnsi="Arial" w:cs="Arial"/>
          <w:sz w:val="20"/>
        </w:rPr>
        <w:t xml:space="preserve"> engine production </w:t>
      </w:r>
      <w:r w:rsidR="005C7AD6">
        <w:rPr>
          <w:rFonts w:ascii="Arial" w:hAnsi="Arial" w:cs="Arial"/>
          <w:sz w:val="20"/>
        </w:rPr>
        <w:t>rose by 1.2</w:t>
      </w:r>
      <w:r>
        <w:rPr>
          <w:rFonts w:ascii="Arial" w:hAnsi="Arial" w:cs="Arial"/>
          <w:sz w:val="20"/>
        </w:rPr>
        <w:t xml:space="preserve">% in </w:t>
      </w:r>
      <w:r w:rsidR="005C7AD6">
        <w:rPr>
          <w:rFonts w:ascii="Arial" w:hAnsi="Arial" w:cs="Arial"/>
          <w:sz w:val="20"/>
        </w:rPr>
        <w:t xml:space="preserve">April and was up 1.7% </w:t>
      </w:r>
      <w:r>
        <w:rPr>
          <w:rFonts w:ascii="Arial" w:hAnsi="Arial" w:cs="Arial"/>
          <w:sz w:val="20"/>
        </w:rPr>
        <w:t>over the year-to-date</w:t>
      </w:r>
      <w:r w:rsidRPr="00CB5253">
        <w:rPr>
          <w:rFonts w:ascii="Arial" w:hAnsi="Arial" w:cs="Arial"/>
          <w:sz w:val="20"/>
        </w:rPr>
        <w:t>.</w:t>
      </w:r>
    </w:p>
    <w:p w:rsidR="00E56034" w:rsidRPr="00E56034" w:rsidRDefault="009645CF" w:rsidP="00E56034">
      <w:pPr>
        <w:rPr>
          <w:rFonts w:ascii="Arial" w:hAnsi="Arial" w:cs="Arial"/>
          <w:sz w:val="20"/>
        </w:rPr>
      </w:pPr>
      <w:r>
        <w:rPr>
          <w:rFonts w:cs="Arial"/>
        </w:rPr>
        <w:br/>
      </w:r>
      <w:r w:rsidR="00E56034" w:rsidRPr="00E56034">
        <w:rPr>
          <w:rFonts w:ascii="Arial" w:hAnsi="Arial" w:cs="Arial"/>
          <w:sz w:val="20"/>
        </w:rPr>
        <w:t xml:space="preserve">“UK </w:t>
      </w:r>
      <w:r w:rsidR="00C25BC5">
        <w:rPr>
          <w:rFonts w:ascii="Arial" w:hAnsi="Arial" w:cs="Arial"/>
          <w:sz w:val="20"/>
        </w:rPr>
        <w:t xml:space="preserve">manufacturing </w:t>
      </w:r>
      <w:r w:rsidR="00E56034" w:rsidRPr="00E56034">
        <w:rPr>
          <w:rFonts w:ascii="Arial" w:hAnsi="Arial" w:cs="Arial"/>
          <w:sz w:val="20"/>
        </w:rPr>
        <w:t>of cars, commercial vehicles and engines increased in April</w:t>
      </w:r>
      <w:r w:rsidR="00C25BC5">
        <w:rPr>
          <w:rFonts w:ascii="Arial" w:hAnsi="Arial" w:cs="Arial"/>
          <w:sz w:val="20"/>
        </w:rPr>
        <w:t xml:space="preserve">, </w:t>
      </w:r>
      <w:r w:rsidR="00E56034" w:rsidRPr="00E56034">
        <w:rPr>
          <w:rFonts w:ascii="Arial" w:hAnsi="Arial" w:cs="Arial"/>
          <w:sz w:val="20"/>
        </w:rPr>
        <w:t xml:space="preserve">boosted by strong export demand </w:t>
      </w:r>
      <w:r w:rsidR="00C25BC5">
        <w:rPr>
          <w:rFonts w:ascii="Arial" w:hAnsi="Arial" w:cs="Arial"/>
          <w:sz w:val="20"/>
        </w:rPr>
        <w:t xml:space="preserve">that is </w:t>
      </w:r>
      <w:r w:rsidR="00E56034" w:rsidRPr="00E56034">
        <w:rPr>
          <w:rFonts w:ascii="Arial" w:hAnsi="Arial" w:cs="Arial"/>
          <w:sz w:val="20"/>
        </w:rPr>
        <w:t xml:space="preserve">almost 10% ahead of last year,” said Paul Everitt, SMMT Chief Executive. “Sustained investment is delivering desirable products to markets around the world and efforts by employees, trades unions and government </w:t>
      </w:r>
      <w:r w:rsidR="00C25BC5">
        <w:rPr>
          <w:rFonts w:ascii="Arial" w:hAnsi="Arial" w:cs="Arial"/>
          <w:sz w:val="20"/>
        </w:rPr>
        <w:t>are</w:t>
      </w:r>
      <w:r w:rsidR="00E56034" w:rsidRPr="00E56034">
        <w:rPr>
          <w:rFonts w:ascii="Arial" w:hAnsi="Arial" w:cs="Arial"/>
          <w:sz w:val="20"/>
        </w:rPr>
        <w:t xml:space="preserve"> helping ensure the UK remains one of the most competitive locations for global automotive companies.”</w:t>
      </w:r>
    </w:p>
    <w:p w:rsidR="00C30BD2" w:rsidRPr="009645CF" w:rsidRDefault="00C30BD2" w:rsidP="00C30BD2">
      <w:pPr>
        <w:pStyle w:val="PlainText"/>
        <w:spacing w:line="276" w:lineRule="auto"/>
      </w:pPr>
    </w:p>
    <w:p w:rsidR="0089689A" w:rsidRPr="00593F7B" w:rsidRDefault="0089689A" w:rsidP="0089689A">
      <w:pPr>
        <w:tabs>
          <w:tab w:val="left" w:pos="9072"/>
        </w:tabs>
        <w:ind w:right="709"/>
        <w:rPr>
          <w:rFonts w:ascii="Arial" w:hAnsi="Arial" w:cs="Arial"/>
          <w:sz w:val="18"/>
          <w:szCs w:val="18"/>
        </w:rPr>
      </w:pPr>
    </w:p>
    <w:tbl>
      <w:tblPr>
        <w:tblW w:w="8945" w:type="dxa"/>
        <w:tblLook w:val="04A0"/>
      </w:tblPr>
      <w:tblGrid>
        <w:gridCol w:w="1023"/>
        <w:gridCol w:w="811"/>
        <w:gridCol w:w="1264"/>
        <w:gridCol w:w="1032"/>
        <w:gridCol w:w="1284"/>
        <w:gridCol w:w="873"/>
        <w:gridCol w:w="873"/>
        <w:gridCol w:w="868"/>
        <w:gridCol w:w="917"/>
      </w:tblGrid>
      <w:tr w:rsidR="0089689A" w:rsidRPr="00307829" w:rsidTr="005C7AD6">
        <w:trPr>
          <w:trHeight w:val="288"/>
        </w:trPr>
        <w:tc>
          <w:tcPr>
            <w:tcW w:w="0" w:type="auto"/>
            <w:shd w:val="clear" w:color="auto" w:fill="auto"/>
            <w:noWrap/>
            <w:hideMark/>
          </w:tcPr>
          <w:p w:rsidR="0089689A" w:rsidRPr="00BE2914" w:rsidRDefault="0089689A" w:rsidP="00593F7B">
            <w:pPr>
              <w:rPr>
                <w:rFonts w:ascii="Arial" w:hAnsi="Arial" w:cs="Arial"/>
                <w:b/>
                <w:bCs/>
                <w:color w:val="1074CB"/>
                <w:sz w:val="18"/>
                <w:szCs w:val="18"/>
              </w:rPr>
            </w:pPr>
            <w:r>
              <w:rPr>
                <w:rFonts w:ascii="Arial" w:hAnsi="Arial" w:cs="Arial"/>
                <w:b/>
                <w:bCs/>
                <w:color w:val="1074CB"/>
                <w:sz w:val="18"/>
                <w:szCs w:val="18"/>
              </w:rPr>
              <w:t>SMMT</w:t>
            </w:r>
          </w:p>
        </w:tc>
        <w:tc>
          <w:tcPr>
            <w:tcW w:w="2070" w:type="dxa"/>
            <w:gridSpan w:val="2"/>
            <w:shd w:val="clear" w:color="auto" w:fill="auto"/>
            <w:noWrap/>
            <w:hideMark/>
          </w:tcPr>
          <w:p w:rsidR="0089689A" w:rsidRPr="00BE2914" w:rsidRDefault="00376211" w:rsidP="00140FAB">
            <w:pPr>
              <w:jc w:val="center"/>
              <w:rPr>
                <w:rFonts w:ascii="Arial" w:hAnsi="Arial" w:cs="Arial"/>
                <w:b/>
                <w:bCs/>
                <w:color w:val="1074CB"/>
                <w:sz w:val="18"/>
                <w:szCs w:val="18"/>
              </w:rPr>
            </w:pPr>
            <w:r w:rsidRPr="00376211">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44" type="#_x0000_t32" style="position:absolute;left:0;text-align:left;margin-left:-5.4pt;margin-top:.9pt;width:0;height:2in;z-index:251669504;mso-position-horizontal-relative:text;mso-position-vertical-relative:text" o:connectortype="straight" strokecolor="#1074cb"/>
              </w:pict>
            </w:r>
            <w:r w:rsidR="0089689A" w:rsidRPr="00BE2914">
              <w:rPr>
                <w:rFonts w:ascii="Arial" w:hAnsi="Arial" w:cs="Arial"/>
                <w:b/>
                <w:bCs/>
                <w:color w:val="1074CB"/>
                <w:sz w:val="18"/>
                <w:szCs w:val="18"/>
              </w:rPr>
              <w:t>Cars</w:t>
            </w:r>
          </w:p>
        </w:tc>
        <w:tc>
          <w:tcPr>
            <w:tcW w:w="2316" w:type="dxa"/>
            <w:gridSpan w:val="2"/>
            <w:shd w:val="clear" w:color="auto" w:fill="auto"/>
            <w:noWrap/>
            <w:hideMark/>
          </w:tcPr>
          <w:p w:rsidR="0089689A" w:rsidRPr="00BE2914" w:rsidRDefault="00376211" w:rsidP="00140FAB">
            <w:pPr>
              <w:jc w:val="center"/>
              <w:rPr>
                <w:rFonts w:ascii="Arial" w:hAnsi="Arial" w:cs="Arial"/>
                <w:b/>
                <w:bCs/>
                <w:color w:val="1074CB"/>
                <w:sz w:val="18"/>
                <w:szCs w:val="18"/>
              </w:rPr>
            </w:pPr>
            <w:r w:rsidRPr="00376211">
              <w:rPr>
                <w:rFonts w:ascii="Arial" w:hAnsi="Arial" w:cs="Arial"/>
                <w:noProof/>
                <w:color w:val="1074CB"/>
                <w:sz w:val="18"/>
                <w:szCs w:val="18"/>
              </w:rPr>
              <w:pict>
                <v:shape id="_x0000_s1043" type="#_x0000_t32" style="position:absolute;left:0;text-align:left;margin-left:-5.4pt;margin-top:.05pt;width:0;height:2in;z-index:251668480;mso-position-horizontal-relative:text;mso-position-vertical-relative:text" o:connectortype="straight" strokecolor="#1074cb"/>
              </w:pict>
            </w:r>
            <w:r w:rsidR="0089689A" w:rsidRPr="00BE2914">
              <w:rPr>
                <w:rFonts w:ascii="Arial" w:hAnsi="Arial" w:cs="Arial"/>
                <w:b/>
                <w:bCs/>
                <w:color w:val="1074CB"/>
                <w:sz w:val="18"/>
                <w:szCs w:val="18"/>
              </w:rPr>
              <w:t>Commercial Vehicles</w:t>
            </w:r>
          </w:p>
        </w:tc>
        <w:tc>
          <w:tcPr>
            <w:tcW w:w="0" w:type="auto"/>
            <w:gridSpan w:val="2"/>
            <w:shd w:val="clear" w:color="auto" w:fill="auto"/>
            <w:noWrap/>
            <w:hideMark/>
          </w:tcPr>
          <w:p w:rsidR="0089689A" w:rsidRPr="00BE2914" w:rsidRDefault="00376211" w:rsidP="00140FAB">
            <w:pPr>
              <w:jc w:val="center"/>
              <w:rPr>
                <w:rFonts w:ascii="Arial" w:hAnsi="Arial" w:cs="Arial"/>
                <w:b/>
                <w:bCs/>
                <w:color w:val="1074CB"/>
                <w:sz w:val="18"/>
                <w:szCs w:val="18"/>
              </w:rPr>
            </w:pPr>
            <w:r w:rsidRPr="00376211">
              <w:rPr>
                <w:rFonts w:ascii="Arial" w:hAnsi="Arial" w:cs="Arial"/>
                <w:i/>
                <w:iCs/>
                <w:noProof/>
                <w:color w:val="1074CB"/>
                <w:sz w:val="18"/>
                <w:szCs w:val="18"/>
              </w:rPr>
              <w:pict>
                <v:shape id="_x0000_s1042" type="#_x0000_t32" style="position:absolute;left:0;text-align:left;margin-left:-5.4pt;margin-top:-1pt;width:0;height:2in;z-index:251667456;mso-position-horizontal-relative:text;mso-position-vertical-relative:text" o:connectortype="straight" strokecolor="#1074cb"/>
              </w:pict>
            </w:r>
            <w:r w:rsidR="0089689A" w:rsidRPr="00BE2914">
              <w:rPr>
                <w:rFonts w:ascii="Arial" w:hAnsi="Arial" w:cs="Arial"/>
                <w:b/>
                <w:bCs/>
                <w:color w:val="1074CB"/>
                <w:sz w:val="18"/>
                <w:szCs w:val="18"/>
              </w:rPr>
              <w:t>Total Vehicles</w:t>
            </w:r>
          </w:p>
        </w:tc>
        <w:tc>
          <w:tcPr>
            <w:tcW w:w="1785" w:type="dxa"/>
            <w:gridSpan w:val="2"/>
            <w:shd w:val="clear" w:color="auto" w:fill="auto"/>
          </w:tcPr>
          <w:p w:rsidR="0089689A" w:rsidRPr="00BE2914" w:rsidRDefault="00376211" w:rsidP="00140FAB">
            <w:pPr>
              <w:jc w:val="center"/>
              <w:rPr>
                <w:rFonts w:ascii="Arial" w:hAnsi="Arial" w:cs="Arial"/>
                <w:b/>
                <w:bCs/>
                <w:color w:val="1074CB"/>
                <w:sz w:val="18"/>
                <w:szCs w:val="18"/>
              </w:rPr>
            </w:pPr>
            <w:r w:rsidRPr="00376211">
              <w:rPr>
                <w:rFonts w:ascii="Arial" w:hAnsi="Arial" w:cs="Arial"/>
                <w:noProof/>
                <w:color w:val="1074CB"/>
                <w:sz w:val="18"/>
                <w:szCs w:val="18"/>
              </w:rPr>
              <w:pict>
                <v:shape id="_x0000_s1041" type="#_x0000_t32" style="position:absolute;left:0;text-align:left;margin-left:-4.8pt;margin-top:-2.65pt;width:0;height:2in;z-index:251666432;mso-position-horizontal-relative:text;mso-position-vertical-relative:text" o:connectortype="straight" strokecolor="#1074cb"/>
              </w:pict>
            </w:r>
            <w:r w:rsidR="0089689A" w:rsidRPr="00BE2914">
              <w:rPr>
                <w:rFonts w:ascii="Arial" w:hAnsi="Arial" w:cs="Arial"/>
                <w:b/>
                <w:bCs/>
                <w:color w:val="1074CB"/>
                <w:sz w:val="18"/>
                <w:szCs w:val="18"/>
              </w:rPr>
              <w:t>Total Engines</w:t>
            </w:r>
          </w:p>
        </w:tc>
      </w:tr>
      <w:tr w:rsidR="005C7AD6" w:rsidRPr="00307829" w:rsidTr="005C7AD6">
        <w:trPr>
          <w:trHeight w:val="288"/>
        </w:trPr>
        <w:tc>
          <w:tcPr>
            <w:tcW w:w="0" w:type="auto"/>
            <w:shd w:val="clear" w:color="auto" w:fill="auto"/>
            <w:noWrap/>
            <w:hideMark/>
          </w:tcPr>
          <w:p w:rsidR="005C7AD6" w:rsidRPr="00BE2914" w:rsidRDefault="005C7AD6" w:rsidP="00593F7B">
            <w:pP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Apr-12</w:t>
            </w:r>
          </w:p>
        </w:tc>
        <w:tc>
          <w:tcPr>
            <w:tcW w:w="1235"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YTD-12</w:t>
            </w:r>
          </w:p>
        </w:tc>
        <w:tc>
          <w:tcPr>
            <w:tcW w:w="1032"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Apr-12</w:t>
            </w:r>
          </w:p>
        </w:tc>
        <w:tc>
          <w:tcPr>
            <w:tcW w:w="1284"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YTD-12</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Apr-12</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YTD-12</w:t>
            </w:r>
          </w:p>
        </w:tc>
        <w:tc>
          <w:tcPr>
            <w:tcW w:w="868" w:type="dxa"/>
            <w:shd w:val="clear" w:color="auto" w:fill="auto"/>
            <w:vAlign w:val="bottom"/>
          </w:tcPr>
          <w:p w:rsidR="005C7AD6" w:rsidRDefault="005C7AD6">
            <w:pPr>
              <w:jc w:val="center"/>
              <w:rPr>
                <w:rFonts w:ascii="Arial" w:hAnsi="Arial" w:cs="Arial"/>
                <w:b/>
                <w:bCs/>
                <w:color w:val="0070C0"/>
                <w:sz w:val="18"/>
                <w:szCs w:val="18"/>
              </w:rPr>
            </w:pPr>
            <w:r>
              <w:rPr>
                <w:rFonts w:ascii="Arial" w:hAnsi="Arial" w:cs="Arial"/>
                <w:b/>
                <w:bCs/>
                <w:color w:val="0070C0"/>
                <w:sz w:val="18"/>
                <w:szCs w:val="18"/>
              </w:rPr>
              <w:t>Apr-12</w:t>
            </w:r>
          </w:p>
        </w:tc>
        <w:tc>
          <w:tcPr>
            <w:tcW w:w="917" w:type="dxa"/>
            <w:shd w:val="clear" w:color="auto" w:fill="auto"/>
            <w:vAlign w:val="bottom"/>
          </w:tcPr>
          <w:p w:rsidR="005C7AD6" w:rsidRDefault="005C7AD6">
            <w:pPr>
              <w:jc w:val="center"/>
              <w:rPr>
                <w:rFonts w:ascii="Arial" w:hAnsi="Arial" w:cs="Arial"/>
                <w:b/>
                <w:bCs/>
                <w:color w:val="0070C0"/>
                <w:sz w:val="18"/>
                <w:szCs w:val="18"/>
              </w:rPr>
            </w:pPr>
            <w:r>
              <w:rPr>
                <w:rFonts w:ascii="Arial" w:hAnsi="Arial" w:cs="Arial"/>
                <w:b/>
                <w:bCs/>
                <w:color w:val="0070C0"/>
                <w:sz w:val="18"/>
                <w:szCs w:val="18"/>
              </w:rPr>
              <w:t>YTD-12</w:t>
            </w:r>
          </w:p>
        </w:tc>
      </w:tr>
      <w:tr w:rsidR="005C7AD6" w:rsidRPr="00307829" w:rsidTr="005C7AD6">
        <w:trPr>
          <w:trHeight w:val="288"/>
        </w:trPr>
        <w:tc>
          <w:tcPr>
            <w:tcW w:w="0" w:type="auto"/>
            <w:shd w:val="clear" w:color="auto" w:fill="auto"/>
            <w:noWrap/>
            <w:vAlign w:val="center"/>
            <w:hideMark/>
          </w:tcPr>
          <w:p w:rsidR="005C7AD6" w:rsidRPr="00BE2914" w:rsidRDefault="005C7AD6" w:rsidP="00593F7B">
            <w:pP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94,352</w:t>
            </w:r>
          </w:p>
        </w:tc>
        <w:tc>
          <w:tcPr>
            <w:tcW w:w="1235"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495,774</w:t>
            </w:r>
          </w:p>
        </w:tc>
        <w:tc>
          <w:tcPr>
            <w:tcW w:w="1032"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8,913</w:t>
            </w:r>
          </w:p>
        </w:tc>
        <w:tc>
          <w:tcPr>
            <w:tcW w:w="1284"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38,284</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103,265</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534,058</w:t>
            </w:r>
          </w:p>
        </w:tc>
        <w:tc>
          <w:tcPr>
            <w:tcW w:w="868" w:type="dxa"/>
            <w:shd w:val="clear" w:color="auto" w:fill="auto"/>
            <w:vAlign w:val="bottom"/>
          </w:tcPr>
          <w:p w:rsidR="005C7AD6" w:rsidRDefault="005C7AD6">
            <w:pPr>
              <w:jc w:val="center"/>
              <w:rPr>
                <w:rFonts w:ascii="Arial" w:hAnsi="Arial" w:cs="Arial"/>
                <w:b/>
                <w:bCs/>
                <w:color w:val="0070C0"/>
                <w:sz w:val="18"/>
                <w:szCs w:val="18"/>
              </w:rPr>
            </w:pPr>
            <w:r>
              <w:rPr>
                <w:rFonts w:ascii="Arial" w:hAnsi="Arial" w:cs="Arial"/>
                <w:b/>
                <w:bCs/>
                <w:color w:val="0070C0"/>
                <w:sz w:val="18"/>
                <w:szCs w:val="18"/>
              </w:rPr>
              <w:t>192,408</w:t>
            </w:r>
          </w:p>
        </w:tc>
        <w:tc>
          <w:tcPr>
            <w:tcW w:w="917" w:type="dxa"/>
            <w:shd w:val="clear" w:color="auto" w:fill="auto"/>
            <w:vAlign w:val="bottom"/>
          </w:tcPr>
          <w:p w:rsidR="005C7AD6" w:rsidRDefault="005C7AD6">
            <w:pPr>
              <w:jc w:val="center"/>
              <w:rPr>
                <w:rFonts w:ascii="Arial" w:hAnsi="Arial" w:cs="Arial"/>
                <w:b/>
                <w:bCs/>
                <w:color w:val="0070C0"/>
                <w:sz w:val="18"/>
                <w:szCs w:val="18"/>
              </w:rPr>
            </w:pPr>
            <w:r>
              <w:rPr>
                <w:rFonts w:ascii="Arial" w:hAnsi="Arial" w:cs="Arial"/>
                <w:b/>
                <w:bCs/>
                <w:color w:val="0070C0"/>
                <w:sz w:val="18"/>
                <w:szCs w:val="18"/>
              </w:rPr>
              <w:t>890,154</w:t>
            </w:r>
          </w:p>
        </w:tc>
      </w:tr>
      <w:tr w:rsidR="005C7AD6" w:rsidRPr="00307829" w:rsidTr="005C7AD6">
        <w:trPr>
          <w:trHeight w:val="288"/>
        </w:trPr>
        <w:tc>
          <w:tcPr>
            <w:tcW w:w="0" w:type="auto"/>
            <w:shd w:val="clear" w:color="auto" w:fill="auto"/>
            <w:noWrap/>
            <w:vAlign w:val="center"/>
            <w:hideMark/>
          </w:tcPr>
          <w:p w:rsidR="005C7AD6" w:rsidRPr="00BE2914" w:rsidRDefault="005C7AD6" w:rsidP="00593F7B">
            <w:pP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9.3%</w:t>
            </w:r>
          </w:p>
        </w:tc>
        <w:tc>
          <w:tcPr>
            <w:tcW w:w="1235" w:type="dxa"/>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11.8%</w:t>
            </w:r>
          </w:p>
        </w:tc>
        <w:tc>
          <w:tcPr>
            <w:tcW w:w="1032" w:type="dxa"/>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3.2%</w:t>
            </w:r>
          </w:p>
        </w:tc>
        <w:tc>
          <w:tcPr>
            <w:tcW w:w="1284" w:type="dxa"/>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-6.1%</w:t>
            </w:r>
          </w:p>
        </w:tc>
        <w:tc>
          <w:tcPr>
            <w:tcW w:w="0" w:type="auto"/>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8.8%</w:t>
            </w:r>
          </w:p>
        </w:tc>
        <w:tc>
          <w:tcPr>
            <w:tcW w:w="0" w:type="auto"/>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10.3%</w:t>
            </w:r>
          </w:p>
        </w:tc>
        <w:tc>
          <w:tcPr>
            <w:tcW w:w="868" w:type="dxa"/>
            <w:shd w:val="clear" w:color="auto" w:fill="auto"/>
            <w:vAlign w:val="bottom"/>
          </w:tcPr>
          <w:p w:rsidR="005C7AD6" w:rsidRDefault="005C7AD6">
            <w:pPr>
              <w:jc w:val="center"/>
              <w:rPr>
                <w:rFonts w:ascii="Arial" w:hAnsi="Arial" w:cs="Arial"/>
                <w:color w:val="0070C0"/>
                <w:sz w:val="18"/>
                <w:szCs w:val="18"/>
              </w:rPr>
            </w:pPr>
            <w:r>
              <w:rPr>
                <w:rFonts w:ascii="Arial" w:hAnsi="Arial" w:cs="Arial"/>
                <w:color w:val="0070C0"/>
                <w:sz w:val="18"/>
                <w:szCs w:val="18"/>
              </w:rPr>
              <w:t>1.2%</w:t>
            </w:r>
          </w:p>
        </w:tc>
        <w:tc>
          <w:tcPr>
            <w:tcW w:w="917" w:type="dxa"/>
            <w:shd w:val="clear" w:color="auto" w:fill="auto"/>
            <w:vAlign w:val="bottom"/>
          </w:tcPr>
          <w:p w:rsidR="005C7AD6" w:rsidRDefault="005C7AD6">
            <w:pPr>
              <w:jc w:val="center"/>
              <w:rPr>
                <w:rFonts w:ascii="Arial" w:hAnsi="Arial" w:cs="Arial"/>
                <w:color w:val="0070C0"/>
                <w:sz w:val="18"/>
                <w:szCs w:val="18"/>
              </w:rPr>
            </w:pPr>
            <w:r>
              <w:rPr>
                <w:rFonts w:ascii="Arial" w:hAnsi="Arial" w:cs="Arial"/>
                <w:color w:val="0070C0"/>
                <w:sz w:val="18"/>
                <w:szCs w:val="18"/>
              </w:rPr>
              <w:t>1.7%</w:t>
            </w:r>
          </w:p>
        </w:tc>
      </w:tr>
      <w:tr w:rsidR="005C7AD6" w:rsidRPr="00307829" w:rsidTr="005C7AD6">
        <w:trPr>
          <w:trHeight w:val="288"/>
        </w:trPr>
        <w:tc>
          <w:tcPr>
            <w:tcW w:w="0" w:type="auto"/>
            <w:shd w:val="clear" w:color="auto" w:fill="auto"/>
            <w:noWrap/>
            <w:vAlign w:val="center"/>
            <w:hideMark/>
          </w:tcPr>
          <w:p w:rsidR="005C7AD6" w:rsidRPr="00BE2914" w:rsidRDefault="005C7AD6" w:rsidP="00593F7B">
            <w:pP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80,936</w:t>
            </w:r>
          </w:p>
        </w:tc>
        <w:tc>
          <w:tcPr>
            <w:tcW w:w="1235"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408,081</w:t>
            </w:r>
          </w:p>
        </w:tc>
        <w:tc>
          <w:tcPr>
            <w:tcW w:w="1032"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5,782</w:t>
            </w:r>
          </w:p>
        </w:tc>
        <w:tc>
          <w:tcPr>
            <w:tcW w:w="1284"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23,107</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86,718</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431,188</w:t>
            </w:r>
          </w:p>
        </w:tc>
        <w:tc>
          <w:tcPr>
            <w:tcW w:w="868" w:type="dxa"/>
            <w:shd w:val="clear" w:color="auto" w:fill="auto"/>
            <w:vAlign w:val="bottom"/>
          </w:tcPr>
          <w:p w:rsidR="005C7AD6" w:rsidRDefault="005C7AD6">
            <w:pPr>
              <w:jc w:val="center"/>
              <w:rPr>
                <w:rFonts w:ascii="Arial" w:hAnsi="Arial" w:cs="Arial"/>
                <w:b/>
                <w:bCs/>
                <w:color w:val="0070C0"/>
                <w:sz w:val="18"/>
                <w:szCs w:val="18"/>
              </w:rPr>
            </w:pPr>
            <w:r>
              <w:rPr>
                <w:rFonts w:ascii="Arial" w:hAnsi="Arial" w:cs="Arial"/>
                <w:b/>
                <w:bCs/>
                <w:color w:val="0070C0"/>
                <w:sz w:val="18"/>
                <w:szCs w:val="18"/>
              </w:rPr>
              <w:t>126,137</w:t>
            </w:r>
          </w:p>
        </w:tc>
        <w:tc>
          <w:tcPr>
            <w:tcW w:w="917" w:type="dxa"/>
            <w:shd w:val="clear" w:color="auto" w:fill="auto"/>
            <w:vAlign w:val="bottom"/>
          </w:tcPr>
          <w:p w:rsidR="005C7AD6" w:rsidRDefault="005C7AD6">
            <w:pPr>
              <w:jc w:val="center"/>
              <w:rPr>
                <w:rFonts w:ascii="Arial" w:hAnsi="Arial" w:cs="Arial"/>
                <w:b/>
                <w:bCs/>
                <w:color w:val="0070C0"/>
                <w:sz w:val="18"/>
                <w:szCs w:val="18"/>
              </w:rPr>
            </w:pPr>
            <w:r>
              <w:rPr>
                <w:rFonts w:ascii="Arial" w:hAnsi="Arial" w:cs="Arial"/>
                <w:b/>
                <w:bCs/>
                <w:color w:val="0070C0"/>
                <w:sz w:val="18"/>
                <w:szCs w:val="18"/>
              </w:rPr>
              <w:t>576,131</w:t>
            </w:r>
          </w:p>
        </w:tc>
      </w:tr>
      <w:tr w:rsidR="005C7AD6" w:rsidRPr="00307829" w:rsidTr="005C7AD6">
        <w:trPr>
          <w:trHeight w:val="288"/>
        </w:trPr>
        <w:tc>
          <w:tcPr>
            <w:tcW w:w="0" w:type="auto"/>
            <w:shd w:val="clear" w:color="auto" w:fill="auto"/>
            <w:noWrap/>
            <w:vAlign w:val="center"/>
            <w:hideMark/>
          </w:tcPr>
          <w:p w:rsidR="005C7AD6" w:rsidRPr="00BE2914" w:rsidRDefault="005C7AD6" w:rsidP="00593F7B">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9.9%</w:t>
            </w:r>
          </w:p>
        </w:tc>
        <w:tc>
          <w:tcPr>
            <w:tcW w:w="1235" w:type="dxa"/>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10.1%</w:t>
            </w:r>
          </w:p>
        </w:tc>
        <w:tc>
          <w:tcPr>
            <w:tcW w:w="1032" w:type="dxa"/>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7.8%</w:t>
            </w:r>
          </w:p>
        </w:tc>
        <w:tc>
          <w:tcPr>
            <w:tcW w:w="1284" w:type="dxa"/>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-9.2%</w:t>
            </w:r>
          </w:p>
        </w:tc>
        <w:tc>
          <w:tcPr>
            <w:tcW w:w="0" w:type="auto"/>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9.8%</w:t>
            </w:r>
          </w:p>
        </w:tc>
        <w:tc>
          <w:tcPr>
            <w:tcW w:w="0" w:type="auto"/>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8.9%</w:t>
            </w:r>
          </w:p>
        </w:tc>
        <w:tc>
          <w:tcPr>
            <w:tcW w:w="868" w:type="dxa"/>
            <w:shd w:val="clear" w:color="auto" w:fill="auto"/>
            <w:vAlign w:val="bottom"/>
          </w:tcPr>
          <w:p w:rsidR="005C7AD6" w:rsidRDefault="005C7AD6">
            <w:pPr>
              <w:jc w:val="center"/>
              <w:rPr>
                <w:rFonts w:ascii="Arial" w:hAnsi="Arial" w:cs="Arial"/>
                <w:color w:val="0070C0"/>
                <w:sz w:val="18"/>
                <w:szCs w:val="18"/>
              </w:rPr>
            </w:pPr>
            <w:r>
              <w:rPr>
                <w:rFonts w:ascii="Arial" w:hAnsi="Arial" w:cs="Arial"/>
                <w:color w:val="0070C0"/>
                <w:sz w:val="18"/>
                <w:szCs w:val="18"/>
              </w:rPr>
              <w:t>-16.6%</w:t>
            </w:r>
          </w:p>
        </w:tc>
        <w:tc>
          <w:tcPr>
            <w:tcW w:w="917" w:type="dxa"/>
            <w:shd w:val="clear" w:color="auto" w:fill="auto"/>
            <w:vAlign w:val="bottom"/>
          </w:tcPr>
          <w:p w:rsidR="005C7AD6" w:rsidRDefault="005C7AD6">
            <w:pPr>
              <w:jc w:val="center"/>
              <w:rPr>
                <w:rFonts w:ascii="Arial" w:hAnsi="Arial" w:cs="Arial"/>
                <w:color w:val="0070C0"/>
                <w:sz w:val="18"/>
                <w:szCs w:val="18"/>
              </w:rPr>
            </w:pPr>
            <w:r>
              <w:rPr>
                <w:rFonts w:ascii="Arial" w:hAnsi="Arial" w:cs="Arial"/>
                <w:color w:val="0070C0"/>
                <w:sz w:val="18"/>
                <w:szCs w:val="18"/>
              </w:rPr>
              <w:t>-9.5%</w:t>
            </w:r>
          </w:p>
        </w:tc>
      </w:tr>
      <w:tr w:rsidR="005C7AD6" w:rsidRPr="00307829" w:rsidTr="005C7AD6">
        <w:trPr>
          <w:trHeight w:val="288"/>
        </w:trPr>
        <w:tc>
          <w:tcPr>
            <w:tcW w:w="0" w:type="auto"/>
            <w:shd w:val="clear" w:color="auto" w:fill="auto"/>
            <w:noWrap/>
            <w:vAlign w:val="center"/>
            <w:hideMark/>
          </w:tcPr>
          <w:p w:rsidR="005C7AD6" w:rsidRPr="00BE2914" w:rsidRDefault="005C7AD6" w:rsidP="00593F7B">
            <w:pP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85.8%</w:t>
            </w:r>
          </w:p>
        </w:tc>
        <w:tc>
          <w:tcPr>
            <w:tcW w:w="1235" w:type="dxa"/>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82.3%</w:t>
            </w:r>
          </w:p>
        </w:tc>
        <w:tc>
          <w:tcPr>
            <w:tcW w:w="1032" w:type="dxa"/>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64.9%</w:t>
            </w:r>
          </w:p>
        </w:tc>
        <w:tc>
          <w:tcPr>
            <w:tcW w:w="1284" w:type="dxa"/>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60.4%</w:t>
            </w:r>
          </w:p>
        </w:tc>
        <w:tc>
          <w:tcPr>
            <w:tcW w:w="0" w:type="auto"/>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84.0%</w:t>
            </w:r>
          </w:p>
        </w:tc>
        <w:tc>
          <w:tcPr>
            <w:tcW w:w="0" w:type="auto"/>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80.7%</w:t>
            </w:r>
          </w:p>
        </w:tc>
        <w:tc>
          <w:tcPr>
            <w:tcW w:w="868" w:type="dxa"/>
            <w:shd w:val="clear" w:color="auto" w:fill="auto"/>
            <w:vAlign w:val="bottom"/>
          </w:tcPr>
          <w:p w:rsidR="005C7AD6" w:rsidRDefault="005C7AD6">
            <w:pPr>
              <w:jc w:val="center"/>
              <w:rPr>
                <w:rFonts w:ascii="Arial" w:hAnsi="Arial" w:cs="Arial"/>
                <w:i/>
                <w:iCs/>
                <w:color w:val="0070C0"/>
                <w:sz w:val="18"/>
                <w:szCs w:val="18"/>
              </w:rPr>
            </w:pPr>
            <w:r>
              <w:rPr>
                <w:rFonts w:ascii="Arial" w:hAnsi="Arial" w:cs="Arial"/>
                <w:i/>
                <w:iCs/>
                <w:color w:val="0070C0"/>
                <w:sz w:val="18"/>
                <w:szCs w:val="18"/>
              </w:rPr>
              <w:t>65.6%</w:t>
            </w:r>
          </w:p>
        </w:tc>
        <w:tc>
          <w:tcPr>
            <w:tcW w:w="917" w:type="dxa"/>
            <w:shd w:val="clear" w:color="auto" w:fill="auto"/>
            <w:vAlign w:val="bottom"/>
          </w:tcPr>
          <w:p w:rsidR="005C7AD6" w:rsidRDefault="005C7AD6">
            <w:pPr>
              <w:jc w:val="center"/>
              <w:rPr>
                <w:rFonts w:ascii="Arial" w:hAnsi="Arial" w:cs="Arial"/>
                <w:i/>
                <w:iCs/>
                <w:color w:val="0070C0"/>
                <w:sz w:val="18"/>
                <w:szCs w:val="18"/>
              </w:rPr>
            </w:pPr>
            <w:r>
              <w:rPr>
                <w:rFonts w:ascii="Arial" w:hAnsi="Arial" w:cs="Arial"/>
                <w:i/>
                <w:iCs/>
                <w:color w:val="0070C0"/>
                <w:sz w:val="18"/>
                <w:szCs w:val="18"/>
              </w:rPr>
              <w:t>64.7%</w:t>
            </w:r>
          </w:p>
        </w:tc>
      </w:tr>
      <w:tr w:rsidR="005C7AD6" w:rsidRPr="00307829" w:rsidTr="005C7AD6">
        <w:trPr>
          <w:trHeight w:val="288"/>
        </w:trPr>
        <w:tc>
          <w:tcPr>
            <w:tcW w:w="0" w:type="auto"/>
            <w:shd w:val="clear" w:color="auto" w:fill="auto"/>
            <w:noWrap/>
            <w:vAlign w:val="center"/>
            <w:hideMark/>
          </w:tcPr>
          <w:p w:rsidR="005C7AD6" w:rsidRPr="00BE2914" w:rsidRDefault="005C7AD6" w:rsidP="00593F7B">
            <w:pP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13,416</w:t>
            </w:r>
          </w:p>
        </w:tc>
        <w:tc>
          <w:tcPr>
            <w:tcW w:w="1235"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87,693</w:t>
            </w:r>
          </w:p>
        </w:tc>
        <w:tc>
          <w:tcPr>
            <w:tcW w:w="1032"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3,131</w:t>
            </w:r>
          </w:p>
        </w:tc>
        <w:tc>
          <w:tcPr>
            <w:tcW w:w="1284" w:type="dxa"/>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15,177</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16,547</w:t>
            </w:r>
          </w:p>
        </w:tc>
        <w:tc>
          <w:tcPr>
            <w:tcW w:w="0" w:type="auto"/>
            <w:shd w:val="clear" w:color="auto" w:fill="auto"/>
            <w:noWrap/>
            <w:vAlign w:val="bottom"/>
            <w:hideMark/>
          </w:tcPr>
          <w:p w:rsidR="005C7AD6" w:rsidRDefault="005C7AD6">
            <w:pPr>
              <w:jc w:val="center"/>
              <w:rPr>
                <w:rFonts w:ascii="Arial" w:hAnsi="Arial" w:cs="Arial"/>
                <w:b/>
                <w:bCs/>
                <w:color w:val="0070C0"/>
                <w:sz w:val="18"/>
                <w:szCs w:val="18"/>
              </w:rPr>
            </w:pPr>
            <w:r>
              <w:rPr>
                <w:rFonts w:ascii="Arial" w:hAnsi="Arial" w:cs="Arial"/>
                <w:b/>
                <w:bCs/>
                <w:color w:val="0070C0"/>
                <w:sz w:val="18"/>
                <w:szCs w:val="18"/>
              </w:rPr>
              <w:t>102,870</w:t>
            </w:r>
          </w:p>
        </w:tc>
        <w:tc>
          <w:tcPr>
            <w:tcW w:w="868" w:type="dxa"/>
            <w:shd w:val="clear" w:color="auto" w:fill="auto"/>
            <w:vAlign w:val="bottom"/>
          </w:tcPr>
          <w:p w:rsidR="005C7AD6" w:rsidRDefault="005C7AD6">
            <w:pPr>
              <w:jc w:val="center"/>
              <w:rPr>
                <w:rFonts w:ascii="Arial" w:hAnsi="Arial" w:cs="Arial"/>
                <w:b/>
                <w:bCs/>
                <w:color w:val="0070C0"/>
                <w:sz w:val="18"/>
                <w:szCs w:val="18"/>
              </w:rPr>
            </w:pPr>
            <w:r>
              <w:rPr>
                <w:rFonts w:ascii="Arial" w:hAnsi="Arial" w:cs="Arial"/>
                <w:b/>
                <w:bCs/>
                <w:color w:val="0070C0"/>
                <w:sz w:val="18"/>
                <w:szCs w:val="18"/>
              </w:rPr>
              <w:t>66,271</w:t>
            </w:r>
          </w:p>
        </w:tc>
        <w:tc>
          <w:tcPr>
            <w:tcW w:w="917" w:type="dxa"/>
            <w:shd w:val="clear" w:color="auto" w:fill="auto"/>
            <w:vAlign w:val="bottom"/>
          </w:tcPr>
          <w:p w:rsidR="005C7AD6" w:rsidRDefault="005C7AD6">
            <w:pPr>
              <w:jc w:val="center"/>
              <w:rPr>
                <w:rFonts w:ascii="Arial" w:hAnsi="Arial" w:cs="Arial"/>
                <w:b/>
                <w:bCs/>
                <w:color w:val="0070C0"/>
                <w:sz w:val="18"/>
                <w:szCs w:val="18"/>
              </w:rPr>
            </w:pPr>
            <w:r>
              <w:rPr>
                <w:rFonts w:ascii="Arial" w:hAnsi="Arial" w:cs="Arial"/>
                <w:b/>
                <w:bCs/>
                <w:color w:val="0070C0"/>
                <w:sz w:val="18"/>
                <w:szCs w:val="18"/>
              </w:rPr>
              <w:t>314,023</w:t>
            </w:r>
          </w:p>
        </w:tc>
      </w:tr>
      <w:tr w:rsidR="005C7AD6" w:rsidRPr="00307829" w:rsidTr="005C7AD6">
        <w:trPr>
          <w:trHeight w:val="288"/>
        </w:trPr>
        <w:tc>
          <w:tcPr>
            <w:tcW w:w="0" w:type="auto"/>
            <w:shd w:val="clear" w:color="auto" w:fill="auto"/>
            <w:noWrap/>
            <w:vAlign w:val="center"/>
            <w:hideMark/>
          </w:tcPr>
          <w:p w:rsidR="005C7AD6" w:rsidRPr="00BE2914" w:rsidRDefault="005C7AD6" w:rsidP="00593F7B">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5.8%</w:t>
            </w:r>
          </w:p>
        </w:tc>
        <w:tc>
          <w:tcPr>
            <w:tcW w:w="1235" w:type="dxa"/>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20.1%</w:t>
            </w:r>
          </w:p>
        </w:tc>
        <w:tc>
          <w:tcPr>
            <w:tcW w:w="1032" w:type="dxa"/>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-4.2%</w:t>
            </w:r>
          </w:p>
        </w:tc>
        <w:tc>
          <w:tcPr>
            <w:tcW w:w="1284" w:type="dxa"/>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-1.0%</w:t>
            </w:r>
          </w:p>
        </w:tc>
        <w:tc>
          <w:tcPr>
            <w:tcW w:w="0" w:type="auto"/>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3.8%</w:t>
            </w:r>
          </w:p>
        </w:tc>
        <w:tc>
          <w:tcPr>
            <w:tcW w:w="0" w:type="auto"/>
            <w:shd w:val="clear" w:color="auto" w:fill="auto"/>
            <w:noWrap/>
            <w:vAlign w:val="bottom"/>
            <w:hideMark/>
          </w:tcPr>
          <w:p w:rsidR="005C7AD6" w:rsidRDefault="005C7AD6">
            <w:pPr>
              <w:jc w:val="center"/>
              <w:rPr>
                <w:rFonts w:ascii="Arial" w:hAnsi="Arial" w:cs="Arial"/>
                <w:color w:val="0070C0"/>
                <w:sz w:val="18"/>
                <w:szCs w:val="18"/>
              </w:rPr>
            </w:pPr>
            <w:r>
              <w:rPr>
                <w:rFonts w:ascii="Arial" w:hAnsi="Arial" w:cs="Arial"/>
                <w:color w:val="0070C0"/>
                <w:sz w:val="18"/>
                <w:szCs w:val="18"/>
              </w:rPr>
              <w:t>16.4%</w:t>
            </w:r>
          </w:p>
        </w:tc>
        <w:tc>
          <w:tcPr>
            <w:tcW w:w="868" w:type="dxa"/>
            <w:shd w:val="clear" w:color="auto" w:fill="auto"/>
            <w:vAlign w:val="bottom"/>
          </w:tcPr>
          <w:p w:rsidR="005C7AD6" w:rsidRDefault="005C7AD6">
            <w:pPr>
              <w:jc w:val="center"/>
              <w:rPr>
                <w:rFonts w:ascii="Arial" w:hAnsi="Arial" w:cs="Arial"/>
                <w:color w:val="0070C0"/>
                <w:sz w:val="18"/>
                <w:szCs w:val="18"/>
              </w:rPr>
            </w:pPr>
            <w:r>
              <w:rPr>
                <w:rFonts w:ascii="Arial" w:hAnsi="Arial" w:cs="Arial"/>
                <w:color w:val="0070C0"/>
                <w:sz w:val="18"/>
                <w:szCs w:val="18"/>
              </w:rPr>
              <w:t>70.3%</w:t>
            </w:r>
          </w:p>
        </w:tc>
        <w:tc>
          <w:tcPr>
            <w:tcW w:w="917" w:type="dxa"/>
            <w:shd w:val="clear" w:color="auto" w:fill="auto"/>
            <w:vAlign w:val="bottom"/>
          </w:tcPr>
          <w:p w:rsidR="005C7AD6" w:rsidRDefault="005C7AD6">
            <w:pPr>
              <w:jc w:val="center"/>
              <w:rPr>
                <w:rFonts w:ascii="Arial" w:hAnsi="Arial" w:cs="Arial"/>
                <w:color w:val="0070C0"/>
                <w:sz w:val="18"/>
                <w:szCs w:val="18"/>
              </w:rPr>
            </w:pPr>
            <w:r>
              <w:rPr>
                <w:rFonts w:ascii="Arial" w:hAnsi="Arial" w:cs="Arial"/>
                <w:color w:val="0070C0"/>
                <w:sz w:val="18"/>
                <w:szCs w:val="18"/>
              </w:rPr>
              <w:t>31.6%</w:t>
            </w:r>
          </w:p>
        </w:tc>
      </w:tr>
      <w:tr w:rsidR="005C7AD6" w:rsidRPr="00307829" w:rsidTr="005C7AD6">
        <w:trPr>
          <w:trHeight w:val="288"/>
        </w:trPr>
        <w:tc>
          <w:tcPr>
            <w:tcW w:w="0" w:type="auto"/>
            <w:shd w:val="clear" w:color="auto" w:fill="auto"/>
            <w:noWrap/>
            <w:vAlign w:val="center"/>
            <w:hideMark/>
          </w:tcPr>
          <w:p w:rsidR="005C7AD6" w:rsidRPr="00BE2914" w:rsidRDefault="005C7AD6" w:rsidP="00593F7B">
            <w:pP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14.2%</w:t>
            </w:r>
          </w:p>
        </w:tc>
        <w:tc>
          <w:tcPr>
            <w:tcW w:w="1235" w:type="dxa"/>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17.7%</w:t>
            </w:r>
          </w:p>
        </w:tc>
        <w:tc>
          <w:tcPr>
            <w:tcW w:w="1032" w:type="dxa"/>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35.1%</w:t>
            </w:r>
          </w:p>
        </w:tc>
        <w:tc>
          <w:tcPr>
            <w:tcW w:w="1284" w:type="dxa"/>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39.6%</w:t>
            </w:r>
          </w:p>
        </w:tc>
        <w:tc>
          <w:tcPr>
            <w:tcW w:w="0" w:type="auto"/>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16.0%</w:t>
            </w:r>
          </w:p>
        </w:tc>
        <w:tc>
          <w:tcPr>
            <w:tcW w:w="0" w:type="auto"/>
            <w:shd w:val="clear" w:color="auto" w:fill="auto"/>
            <w:noWrap/>
            <w:vAlign w:val="bottom"/>
            <w:hideMark/>
          </w:tcPr>
          <w:p w:rsidR="005C7AD6" w:rsidRDefault="005C7AD6">
            <w:pPr>
              <w:jc w:val="center"/>
              <w:rPr>
                <w:rFonts w:ascii="Arial" w:hAnsi="Arial" w:cs="Arial"/>
                <w:i/>
                <w:iCs/>
                <w:color w:val="0070C0"/>
                <w:sz w:val="18"/>
                <w:szCs w:val="18"/>
              </w:rPr>
            </w:pPr>
            <w:r>
              <w:rPr>
                <w:rFonts w:ascii="Arial" w:hAnsi="Arial" w:cs="Arial"/>
                <w:i/>
                <w:iCs/>
                <w:color w:val="0070C0"/>
                <w:sz w:val="18"/>
                <w:szCs w:val="18"/>
              </w:rPr>
              <w:t>19.3%</w:t>
            </w:r>
          </w:p>
        </w:tc>
        <w:tc>
          <w:tcPr>
            <w:tcW w:w="868" w:type="dxa"/>
            <w:shd w:val="clear" w:color="auto" w:fill="auto"/>
            <w:vAlign w:val="bottom"/>
          </w:tcPr>
          <w:p w:rsidR="005C7AD6" w:rsidRDefault="005C7AD6">
            <w:pPr>
              <w:jc w:val="center"/>
              <w:rPr>
                <w:rFonts w:ascii="Arial" w:hAnsi="Arial" w:cs="Arial"/>
                <w:i/>
                <w:iCs/>
                <w:color w:val="0070C0"/>
                <w:sz w:val="18"/>
                <w:szCs w:val="18"/>
              </w:rPr>
            </w:pPr>
            <w:r>
              <w:rPr>
                <w:rFonts w:ascii="Arial" w:hAnsi="Arial" w:cs="Arial"/>
                <w:i/>
                <w:iCs/>
                <w:color w:val="0070C0"/>
                <w:sz w:val="18"/>
                <w:szCs w:val="18"/>
              </w:rPr>
              <w:t>34.4%</w:t>
            </w:r>
          </w:p>
        </w:tc>
        <w:tc>
          <w:tcPr>
            <w:tcW w:w="917" w:type="dxa"/>
            <w:shd w:val="clear" w:color="auto" w:fill="auto"/>
            <w:vAlign w:val="bottom"/>
          </w:tcPr>
          <w:p w:rsidR="005C7AD6" w:rsidRDefault="005C7AD6">
            <w:pPr>
              <w:jc w:val="center"/>
              <w:rPr>
                <w:rFonts w:ascii="Arial" w:hAnsi="Arial" w:cs="Arial"/>
                <w:i/>
                <w:iCs/>
                <w:color w:val="0070C0"/>
                <w:sz w:val="18"/>
                <w:szCs w:val="18"/>
              </w:rPr>
            </w:pPr>
            <w:r>
              <w:rPr>
                <w:rFonts w:ascii="Arial" w:hAnsi="Arial" w:cs="Arial"/>
                <w:i/>
                <w:iCs/>
                <w:color w:val="0070C0"/>
                <w:sz w:val="18"/>
                <w:szCs w:val="18"/>
              </w:rPr>
              <w:t>35.3%</w:t>
            </w:r>
          </w:p>
        </w:tc>
      </w:tr>
    </w:tbl>
    <w:p w:rsidR="00593F7B" w:rsidRDefault="00593F7B" w:rsidP="0089689A">
      <w:pPr>
        <w:spacing w:line="276" w:lineRule="auto"/>
        <w:rPr>
          <w:rFonts w:ascii="Arial" w:hAnsi="Arial" w:cs="Arial"/>
          <w:b/>
          <w:color w:val="0D2255"/>
          <w:sz w:val="20"/>
        </w:rPr>
      </w:pPr>
    </w:p>
    <w:p w:rsidR="001A5B1A" w:rsidRPr="007244A5" w:rsidRDefault="001A5B1A" w:rsidP="0089689A">
      <w:pPr>
        <w:spacing w:line="276" w:lineRule="auto"/>
        <w:rPr>
          <w:rFonts w:ascii="Arial" w:hAnsi="Arial" w:cs="Arial"/>
          <w:b/>
          <w:color w:val="0D2255"/>
          <w:sz w:val="20"/>
        </w:rPr>
        <w:sectPr w:rsidR="001A5B1A" w:rsidRPr="007244A5" w:rsidSect="00D512F1">
          <w:headerReference w:type="even" r:id="rId8"/>
          <w:headerReference w:type="default" r:id="rId9"/>
          <w:footerReference w:type="even" r:id="rId10"/>
          <w:footerReference w:type="default" r:id="rId11"/>
          <w:headerReference w:type="first" r:id="rId12"/>
          <w:footerReference w:type="first" r:id="rId13"/>
          <w:pgSz w:w="11906" w:h="16838"/>
          <w:pgMar w:top="828" w:right="1133" w:bottom="1134" w:left="1418" w:header="0" w:footer="0" w:gutter="0"/>
          <w:cols w:space="720" w:equalWidth="0">
            <w:col w:w="9355"/>
          </w:cols>
          <w:docGrid w:linePitch="360"/>
        </w:sectPr>
      </w:pPr>
      <w:r w:rsidRPr="0081561D">
        <w:rPr>
          <w:rFonts w:ascii="Arial" w:hAnsi="Arial" w:cs="Arial"/>
          <w:b/>
          <w:color w:val="0D2255"/>
          <w:sz w:val="20"/>
        </w:rPr>
        <w:t xml:space="preserve">Car </w:t>
      </w:r>
      <w:r w:rsidR="00593F7B">
        <w:rPr>
          <w:rFonts w:ascii="Arial" w:hAnsi="Arial" w:cs="Arial"/>
          <w:b/>
          <w:color w:val="0D2255"/>
          <w:sz w:val="20"/>
        </w:rPr>
        <w:t>manufacturing</w:t>
      </w:r>
      <w:r w:rsidRPr="0081561D">
        <w:rPr>
          <w:rFonts w:ascii="Arial" w:hAnsi="Arial" w:cs="Arial"/>
          <w:b/>
          <w:color w:val="0D2255"/>
          <w:sz w:val="20"/>
        </w:rPr>
        <w:t xml:space="preserve"> rolling year total </w:t>
      </w:r>
      <w:r>
        <w:rPr>
          <w:rFonts w:ascii="Arial" w:hAnsi="Arial" w:cs="Arial"/>
          <w:b/>
          <w:color w:val="0D2255"/>
          <w:sz w:val="20"/>
        </w:rPr>
        <w:tab/>
      </w:r>
      <w:r>
        <w:rPr>
          <w:rFonts w:ascii="Arial" w:hAnsi="Arial" w:cs="Arial"/>
          <w:b/>
          <w:color w:val="0D2255"/>
          <w:sz w:val="20"/>
        </w:rPr>
        <w:tab/>
      </w:r>
      <w:r w:rsidR="00056FAB">
        <w:rPr>
          <w:rFonts w:ascii="Arial" w:hAnsi="Arial" w:cs="Arial"/>
          <w:b/>
          <w:color w:val="0D2255"/>
          <w:sz w:val="20"/>
        </w:rPr>
        <w:t xml:space="preserve"> </w:t>
      </w:r>
      <w:r w:rsidR="00593F7B">
        <w:rPr>
          <w:rFonts w:ascii="Arial" w:hAnsi="Arial" w:cs="Arial"/>
          <w:b/>
          <w:color w:val="0D2255"/>
          <w:sz w:val="20"/>
        </w:rPr>
        <w:t xml:space="preserve">    </w:t>
      </w:r>
      <w:r>
        <w:rPr>
          <w:rFonts w:ascii="Arial" w:hAnsi="Arial" w:cs="Arial"/>
          <w:b/>
          <w:color w:val="0D2255"/>
          <w:sz w:val="20"/>
        </w:rPr>
        <w:t xml:space="preserve">CV </w:t>
      </w:r>
      <w:r w:rsidR="00593F7B">
        <w:rPr>
          <w:rFonts w:ascii="Arial" w:hAnsi="Arial" w:cs="Arial"/>
          <w:b/>
          <w:color w:val="0D2255"/>
          <w:sz w:val="20"/>
        </w:rPr>
        <w:t xml:space="preserve">manufacturing </w:t>
      </w:r>
      <w:r>
        <w:rPr>
          <w:rFonts w:ascii="Arial" w:hAnsi="Arial" w:cs="Arial"/>
          <w:b/>
          <w:color w:val="0D2255"/>
          <w:sz w:val="20"/>
        </w:rPr>
        <w:t xml:space="preserve">rolling year total </w:t>
      </w:r>
      <w:r w:rsidR="00026A40" w:rsidRPr="00026A40">
        <w:rPr>
          <w:noProof/>
        </w:rPr>
        <w:t xml:space="preserve"> </w:t>
      </w:r>
      <w:r w:rsidR="000C285D" w:rsidRPr="000C285D">
        <w:rPr>
          <w:noProof/>
        </w:rPr>
        <w:drawing>
          <wp:inline distT="0" distB="0" distL="0" distR="0">
            <wp:extent cx="2886075" cy="2667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B22DD" w:rsidRPr="001B22DD">
        <w:rPr>
          <w:noProof/>
        </w:rPr>
        <w:t xml:space="preserve"> </w:t>
      </w:r>
      <w:r w:rsidR="000C285D" w:rsidRPr="000C285D">
        <w:rPr>
          <w:noProof/>
        </w:rPr>
        <w:drawing>
          <wp:inline distT="0" distB="0" distL="0" distR="0">
            <wp:extent cx="2771775" cy="2667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6BC5" w:rsidRPr="00D33CE4" w:rsidRDefault="00176BC5" w:rsidP="00593F7B">
      <w:pPr>
        <w:tabs>
          <w:tab w:val="left" w:pos="2016"/>
        </w:tabs>
        <w:rPr>
          <w:rFonts w:ascii="Arial" w:hAnsi="Arial" w:cs="Arial"/>
          <w:sz w:val="2"/>
          <w:szCs w:val="2"/>
        </w:rPr>
      </w:pPr>
    </w:p>
    <w:sectPr w:rsidR="00176BC5" w:rsidRPr="00D33CE4" w:rsidSect="00D7536D">
      <w:headerReference w:type="default" r:id="rId16"/>
      <w:footerReference w:type="default" r:id="rId17"/>
      <w:type w:val="continuous"/>
      <w:pgSz w:w="11906" w:h="16838" w:code="9"/>
      <w:pgMar w:top="-249" w:right="284" w:bottom="851" w:left="1418" w:header="23" w:footer="160"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226" w:rsidRDefault="00317226">
      <w:r>
        <w:separator/>
      </w:r>
    </w:p>
  </w:endnote>
  <w:endnote w:type="continuationSeparator" w:id="0">
    <w:p w:rsidR="00317226" w:rsidRDefault="00317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FDinDisplayPro-Light">
    <w:altName w:val="Arial Unicode MS"/>
    <w:panose1 w:val="00000000000000000000"/>
    <w:charset w:val="80"/>
    <w:family w:val="swiss"/>
    <w:notTrueType/>
    <w:pitch w:val="default"/>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CF" w:rsidRDefault="00964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B9" w:rsidRDefault="00561BB9" w:rsidP="0098763B">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561BB9" w:rsidRPr="0098763B" w:rsidRDefault="00561BB9" w:rsidP="0098763B">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£49 billion turnover and £10 billion value added. With over 700,000 jobs dependent on the industry, it accounts for more than 10% of total exports and invests </w:t>
    </w:r>
    <w:r w:rsidR="009645CF">
      <w:rPr>
        <w:rFonts w:ascii="Arial" w:hAnsi="Arial" w:cs="Arial"/>
        <w:b w:val="0"/>
        <w:color w:val="1074CB"/>
        <w:sz w:val="16"/>
        <w:szCs w:val="16"/>
      </w:rPr>
      <w:t>£</w:t>
    </w:r>
    <w:r w:rsidRPr="0098763B">
      <w:rPr>
        <w:rFonts w:ascii="Arial" w:hAnsi="Arial" w:cs="Arial"/>
        <w:b w:val="0"/>
        <w:color w:val="1074CB"/>
        <w:sz w:val="16"/>
        <w:szCs w:val="16"/>
      </w:rPr>
      <w:t xml:space="preserve">1.3 billion each year in automotive R&amp;D. For more details, see </w:t>
    </w:r>
    <w:r w:rsidRPr="0098763B">
      <w:rPr>
        <w:rFonts w:ascii="Arial" w:hAnsi="Arial" w:cs="Arial"/>
        <w:b w:val="0"/>
        <w:i/>
        <w:color w:val="1074CB"/>
        <w:sz w:val="16"/>
        <w:szCs w:val="16"/>
      </w:rPr>
      <w:t>SMMT’s 12</w:t>
    </w:r>
    <w:r w:rsidRPr="0098763B">
      <w:rPr>
        <w:rFonts w:ascii="Arial" w:hAnsi="Arial" w:cs="Arial"/>
        <w:b w:val="0"/>
        <w:i/>
        <w:color w:val="1074CB"/>
        <w:sz w:val="16"/>
        <w:szCs w:val="16"/>
        <w:vertAlign w:val="superscript"/>
      </w:rPr>
      <w:t>th</w:t>
    </w:r>
    <w:r w:rsidRPr="0098763B">
      <w:rPr>
        <w:rFonts w:ascii="Arial" w:hAnsi="Arial" w:cs="Arial"/>
        <w:b w:val="0"/>
        <w:i/>
        <w:color w:val="1074CB"/>
        <w:sz w:val="16"/>
        <w:szCs w:val="16"/>
      </w:rPr>
      <w:t xml:space="preserve"> Annual Sustainability Report </w:t>
    </w:r>
    <w:r w:rsidRPr="0098763B">
      <w:rPr>
        <w:rFonts w:ascii="Arial" w:hAnsi="Arial" w:cs="Arial"/>
        <w:b w:val="0"/>
        <w:color w:val="1074CB"/>
        <w:sz w:val="16"/>
        <w:szCs w:val="16"/>
      </w:rPr>
      <w:t xml:space="preserve">and </w:t>
    </w:r>
    <w:r w:rsidRPr="0098763B">
      <w:rPr>
        <w:rFonts w:ascii="Arial" w:hAnsi="Arial" w:cs="Arial"/>
        <w:b w:val="0"/>
        <w:i/>
        <w:color w:val="1074CB"/>
        <w:sz w:val="16"/>
        <w:szCs w:val="16"/>
      </w:rPr>
      <w:t>Motor Industry Facts</w:t>
    </w:r>
    <w:r w:rsidRPr="0098763B">
      <w:rPr>
        <w:rFonts w:ascii="Arial" w:hAnsi="Arial" w:cs="Arial"/>
        <w:b w:val="0"/>
        <w:color w:val="1074CB"/>
        <w:sz w:val="16"/>
        <w:szCs w:val="16"/>
      </w:rPr>
      <w:t xml:space="preserve"> at </w:t>
    </w:r>
    <w:hyperlink r:id="rId1" w:history="1">
      <w:r w:rsidRPr="0098763B">
        <w:rPr>
          <w:rStyle w:val="Hyperlink"/>
          <w:rFonts w:ascii="Arial" w:hAnsi="Arial" w:cs="Arial"/>
          <w:b w:val="0"/>
          <w:sz w:val="16"/>
          <w:szCs w:val="16"/>
        </w:rPr>
        <w:t>www.smmt.co.uk/publications</w:t>
      </w:r>
    </w:hyperlink>
  </w:p>
  <w:p w:rsidR="00561BB9" w:rsidRPr="00593F7B" w:rsidRDefault="00561BB9" w:rsidP="0098763B">
    <w:pPr>
      <w:pStyle w:val="Footer"/>
      <w:rPr>
        <w:rFonts w:ascii="Arial" w:hAnsi="Arial" w:cs="Arial"/>
        <w:sz w:val="16"/>
        <w:szCs w:val="16"/>
      </w:rPr>
    </w:pPr>
  </w:p>
  <w:p w:rsidR="00561BB9" w:rsidRDefault="00561BB9" w:rsidP="0098763B">
    <w:pPr>
      <w:rPr>
        <w:rFonts w:ascii="Arial" w:hAnsi="Arial" w:cs="Arial"/>
        <w:b/>
        <w:color w:val="1074CB"/>
        <w:sz w:val="16"/>
        <w:szCs w:val="16"/>
      </w:rPr>
    </w:pPr>
    <w:r>
      <w:rPr>
        <w:rFonts w:ascii="Arial" w:hAnsi="Arial" w:cs="Arial"/>
        <w:b/>
        <w:color w:val="1074CB"/>
        <w:sz w:val="16"/>
        <w:szCs w:val="16"/>
      </w:rPr>
      <w:t>Media contacts:</w:t>
    </w:r>
  </w:p>
  <w:p w:rsidR="00561BB9" w:rsidRDefault="00561BB9" w:rsidP="0098763B">
    <w:r>
      <w:rPr>
        <w:rFonts w:ascii="Arial" w:hAnsi="Arial" w:cs="Arial"/>
        <w:color w:val="1074CB"/>
        <w:sz w:val="16"/>
        <w:szCs w:val="16"/>
      </w:rPr>
      <w:t>Dan Montefusco</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Pr>
        <w:rFonts w:ascii="Arial" w:hAnsi="Arial" w:cs="Arial"/>
        <w:color w:val="1074CB"/>
        <w:sz w:val="16"/>
        <w:szCs w:val="16"/>
      </w:rPr>
      <w:tab/>
    </w:r>
    <w:r>
      <w:rPr>
        <w:rFonts w:ascii="Arial" w:hAnsi="Arial" w:cs="Arial"/>
        <w:color w:val="1074CB"/>
        <w:sz w:val="16"/>
        <w:szCs w:val="16"/>
      </w:rPr>
      <w:tab/>
    </w:r>
    <w:hyperlink r:id="rId2" w:history="1">
      <w:r w:rsidRPr="00001748">
        <w:rPr>
          <w:rStyle w:val="Hyperlink"/>
          <w:rFonts w:ascii="Arial" w:hAnsi="Arial" w:cs="Arial"/>
          <w:sz w:val="16"/>
          <w:szCs w:val="16"/>
        </w:rPr>
        <w:t>dmontefusco@smmt.co.uk</w:t>
      </w:r>
    </w:hyperlink>
  </w:p>
  <w:p w:rsidR="00561BB9" w:rsidRDefault="00561BB9" w:rsidP="0098763B">
    <w:pPr>
      <w:rPr>
        <w:rFonts w:ascii="Arial" w:hAnsi="Arial" w:cs="Arial"/>
        <w:color w:val="1074CB"/>
        <w:sz w:val="16"/>
        <w:szCs w:val="16"/>
      </w:rPr>
    </w:pPr>
    <w:r w:rsidRPr="00F120A4">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020 7344 9263 </w:t>
    </w:r>
    <w:r>
      <w:rPr>
        <w:rFonts w:ascii="Arial" w:hAnsi="Arial" w:cs="Arial"/>
        <w:color w:val="1074CB"/>
        <w:sz w:val="16"/>
        <w:szCs w:val="16"/>
      </w:rPr>
      <w:tab/>
    </w:r>
    <w:r>
      <w:rPr>
        <w:rFonts w:ascii="Arial" w:hAnsi="Arial" w:cs="Arial"/>
        <w:color w:val="1074CB"/>
        <w:sz w:val="16"/>
        <w:szCs w:val="16"/>
      </w:rPr>
      <w:tab/>
    </w:r>
    <w:hyperlink r:id="rId3" w:history="1">
      <w:r w:rsidRPr="00ED2502">
        <w:rPr>
          <w:rStyle w:val="Hyperlink"/>
          <w:rFonts w:ascii="Arial" w:hAnsi="Arial" w:cs="Arial"/>
          <w:sz w:val="16"/>
          <w:szCs w:val="16"/>
        </w:rPr>
        <w:t>jvisscher@smmt.co.uk</w:t>
      </w:r>
    </w:hyperlink>
  </w:p>
  <w:p w:rsidR="00561BB9" w:rsidRDefault="00561BB9" w:rsidP="0098763B">
    <w:pPr>
      <w:rPr>
        <w:rFonts w:ascii="Arial" w:hAnsi="Arial" w:cs="Arial"/>
        <w:color w:val="1074CB"/>
        <w:sz w:val="16"/>
        <w:szCs w:val="16"/>
      </w:rPr>
    </w:pPr>
    <w:r>
      <w:rPr>
        <w:rFonts w:ascii="Arial" w:hAnsi="Arial" w:cs="Arial"/>
        <w:color w:val="1074CB"/>
        <w:sz w:val="16"/>
        <w:szCs w:val="16"/>
      </w:rPr>
      <w:t>Nikki Rooke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4" w:history="1">
      <w:r>
        <w:rPr>
          <w:rStyle w:val="Hyperlink"/>
          <w:rFonts w:ascii="Arial" w:hAnsi="Arial" w:cs="Arial"/>
          <w:sz w:val="16"/>
          <w:szCs w:val="16"/>
        </w:rPr>
        <w:t>nrooke@smmt.co.uk</w:t>
      </w:r>
    </w:hyperlink>
  </w:p>
  <w:p w:rsidR="00561BB9" w:rsidRDefault="00561BB9" w:rsidP="009876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CF" w:rsidRDefault="009645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B9" w:rsidRPr="00E450D6" w:rsidRDefault="00561BB9" w:rsidP="00B21E34">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561BB9" w:rsidRPr="00F26FC5" w:rsidRDefault="00561BB9" w:rsidP="00B21E34">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561BB9" w:rsidRPr="00AD730E" w:rsidRDefault="00561BB9" w:rsidP="00B21E34">
    <w:pPr>
      <w:pStyle w:val="BodyText3"/>
      <w:ind w:right="710"/>
      <w:rPr>
        <w:rFonts w:ascii="Arial" w:hAnsi="Arial" w:cs="Arial"/>
        <w:color w:val="1074CB"/>
        <w:sz w:val="12"/>
        <w:szCs w:val="12"/>
      </w:rPr>
    </w:pPr>
  </w:p>
  <w:p w:rsidR="00561BB9" w:rsidRPr="00333348" w:rsidRDefault="00561BB9" w:rsidP="00B21E34">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561BB9" w:rsidRPr="00333348" w:rsidRDefault="00561BB9" w:rsidP="00B21E34">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561BB9" w:rsidRDefault="00561BB9" w:rsidP="00B21E34">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561BB9" w:rsidRPr="00934017" w:rsidRDefault="00561BB9" w:rsidP="00B21E34">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561BB9" w:rsidRDefault="00561BB9" w:rsidP="00B21E34">
    <w:pPr>
      <w:pStyle w:val="Footer"/>
      <w:ind w:right="-1"/>
      <w:jc w:val="right"/>
    </w:pPr>
  </w:p>
  <w:p w:rsidR="00561BB9" w:rsidRPr="00E450D6" w:rsidRDefault="00561BB9" w:rsidP="00E82E51">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561BB9" w:rsidRPr="00F26FC5" w:rsidRDefault="00561BB9" w:rsidP="00E82E51">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5"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561BB9" w:rsidRPr="00AD730E" w:rsidRDefault="00561BB9" w:rsidP="00E82E51">
    <w:pPr>
      <w:pStyle w:val="BodyText3"/>
      <w:ind w:right="710"/>
      <w:rPr>
        <w:rFonts w:ascii="Arial" w:hAnsi="Arial" w:cs="Arial"/>
        <w:color w:val="1074CB"/>
        <w:sz w:val="12"/>
        <w:szCs w:val="12"/>
      </w:rPr>
    </w:pPr>
  </w:p>
  <w:p w:rsidR="00561BB9" w:rsidRPr="00333348" w:rsidRDefault="00561BB9" w:rsidP="00E82E51">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561BB9" w:rsidRPr="00333348" w:rsidRDefault="00561BB9" w:rsidP="00E82E51">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6"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561BB9" w:rsidRDefault="00561BB9" w:rsidP="00E82E51">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7"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561BB9" w:rsidRPr="00934017" w:rsidRDefault="00561BB9" w:rsidP="00E82E51">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8"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561BB9" w:rsidRDefault="00561BB9">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226" w:rsidRDefault="00317226">
      <w:r>
        <w:separator/>
      </w:r>
    </w:p>
  </w:footnote>
  <w:footnote w:type="continuationSeparator" w:id="0">
    <w:p w:rsidR="00317226" w:rsidRDefault="00317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CF" w:rsidRDefault="00964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B9" w:rsidRDefault="00561BB9" w:rsidP="003517A2">
    <w:pPr>
      <w:pStyle w:val="Header"/>
      <w:jc w:val="right"/>
    </w:pPr>
    <w:r w:rsidRPr="0040241C">
      <w:rPr>
        <w:noProof/>
      </w:rPr>
      <w:drawing>
        <wp:anchor distT="0" distB="0" distL="114300" distR="114300" simplePos="0" relativeHeight="251660288" behindDoc="1" locked="0" layoutInCell="1" allowOverlap="1">
          <wp:simplePos x="0" y="0"/>
          <wp:positionH relativeFrom="column">
            <wp:posOffset>4138295</wp:posOffset>
          </wp:positionH>
          <wp:positionV relativeFrom="paragraph">
            <wp:posOffset>66675</wp:posOffset>
          </wp:positionV>
          <wp:extent cx="1952625" cy="742950"/>
          <wp:effectExtent l="19050" t="0" r="9525" b="0"/>
          <wp:wrapNone/>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561BB9" w:rsidRDefault="00561BB9" w:rsidP="001A5B1A">
    <w:pPr>
      <w:rPr>
        <w:rStyle w:val="Strong"/>
        <w:rFonts w:ascii="Arial" w:hAnsi="Arial" w:cs="Arial"/>
        <w:color w:val="1074CB"/>
        <w:sz w:val="20"/>
      </w:rPr>
    </w:pPr>
    <w:r>
      <w:rPr>
        <w:rStyle w:val="Strong"/>
        <w:rFonts w:ascii="Arial" w:hAnsi="Arial" w:cs="Arial"/>
        <w:color w:val="1074CB"/>
        <w:sz w:val="20"/>
      </w:rPr>
      <w:t xml:space="preserve">                                                                                   </w:t>
    </w:r>
  </w:p>
  <w:p w:rsidR="00561BB9" w:rsidRDefault="00561BB9" w:rsidP="001A5B1A">
    <w:pPr>
      <w:rPr>
        <w:rStyle w:val="Strong"/>
        <w:rFonts w:ascii="Arial" w:hAnsi="Arial" w:cs="Arial"/>
        <w:color w:val="1074CB"/>
        <w:sz w:val="20"/>
      </w:rPr>
    </w:pPr>
  </w:p>
  <w:p w:rsidR="00561BB9" w:rsidRDefault="00561BB9" w:rsidP="001A5B1A">
    <w:pPr>
      <w:rPr>
        <w:rStyle w:val="Strong"/>
        <w:rFonts w:ascii="Arial" w:hAnsi="Arial" w:cs="Arial"/>
        <w:color w:val="1074CB"/>
        <w:sz w:val="20"/>
      </w:rPr>
    </w:pPr>
  </w:p>
  <w:p w:rsidR="00561BB9" w:rsidRDefault="00561BB9" w:rsidP="001A5B1A">
    <w:pPr>
      <w:rPr>
        <w:rStyle w:val="Strong"/>
        <w:rFonts w:ascii="Arial" w:hAnsi="Arial" w:cs="Arial"/>
        <w:color w:val="1074CB"/>
        <w:sz w:val="20"/>
      </w:rPr>
    </w:pPr>
  </w:p>
  <w:p w:rsidR="00561BB9" w:rsidRDefault="00561BB9" w:rsidP="005C2E16">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561BB9" w:rsidRPr="001A5B1A" w:rsidRDefault="00561BB9" w:rsidP="001A5B1A">
    <w:pPr>
      <w:rPr>
        <w:rFonts w:ascii="Arial" w:hAnsi="Arial" w:cs="Arial"/>
        <w:b/>
        <w:bCs/>
        <w:color w:val="1074C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CF" w:rsidRDefault="009645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B9" w:rsidRPr="003517A2" w:rsidRDefault="00561BB9" w:rsidP="007244A5">
    <w:r>
      <w:t xml:space="preserve">                                                                                  </w:t>
    </w:r>
    <w:r>
      <w:rPr>
        <w:noProof/>
      </w:rPr>
      <w:drawing>
        <wp:anchor distT="0" distB="0" distL="114300" distR="114300" simplePos="0" relativeHeight="251659264" behindDoc="1" locked="0" layoutInCell="1" allowOverlap="1">
          <wp:simplePos x="0" y="0"/>
          <wp:positionH relativeFrom="column">
            <wp:posOffset>3547110</wp:posOffset>
          </wp:positionH>
          <wp:positionV relativeFrom="paragraph">
            <wp:posOffset>22860</wp:posOffset>
          </wp:positionV>
          <wp:extent cx="2350770" cy="906780"/>
          <wp:effectExtent l="19050" t="0" r="0" b="0"/>
          <wp:wrapNone/>
          <wp:docPr id="6" name="Picture 3" descr="F:\Comms\Nikki Rooke\Branding\Corporate identity\Logos\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s\Nikki Rooke\Branding\Corporate identity\Logos\SMMT_Master_Brandline_(RGB).jpg"/>
                  <pic:cNvPicPr>
                    <a:picLocks noChangeAspect="1" noChangeArrowheads="1"/>
                  </pic:cNvPicPr>
                </pic:nvPicPr>
                <pic:blipFill>
                  <a:blip r:embed="rId1"/>
                  <a:srcRect/>
                  <a:stretch>
                    <a:fillRect/>
                  </a:stretch>
                </pic:blipFill>
                <pic:spPr bwMode="auto">
                  <a:xfrm>
                    <a:off x="0" y="0"/>
                    <a:ext cx="2350770" cy="9067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39617">
      <o:colormru v:ext="edit" colors="#1074cb"/>
      <o:colormenu v:ext="edit" strokecolor="#1074cb"/>
    </o:shapedefaults>
  </w:hdrShapeDefaults>
  <w:footnotePr>
    <w:footnote w:id="-1"/>
    <w:footnote w:id="0"/>
  </w:footnotePr>
  <w:endnotePr>
    <w:endnote w:id="-1"/>
    <w:endnote w:id="0"/>
  </w:endnotePr>
  <w:compat/>
  <w:rsids>
    <w:rsidRoot w:val="005F33F2"/>
    <w:rsid w:val="00005D31"/>
    <w:rsid w:val="00026A40"/>
    <w:rsid w:val="00027809"/>
    <w:rsid w:val="00027C48"/>
    <w:rsid w:val="0003260E"/>
    <w:rsid w:val="00050C31"/>
    <w:rsid w:val="00056FAB"/>
    <w:rsid w:val="000708A5"/>
    <w:rsid w:val="00075678"/>
    <w:rsid w:val="0007652F"/>
    <w:rsid w:val="00076ACE"/>
    <w:rsid w:val="000805B0"/>
    <w:rsid w:val="00090CA0"/>
    <w:rsid w:val="00092A9D"/>
    <w:rsid w:val="000A65A8"/>
    <w:rsid w:val="000B0F65"/>
    <w:rsid w:val="000B7B11"/>
    <w:rsid w:val="000C285D"/>
    <w:rsid w:val="000C2FE1"/>
    <w:rsid w:val="000C5CE4"/>
    <w:rsid w:val="000F1208"/>
    <w:rsid w:val="000F7BA1"/>
    <w:rsid w:val="00111673"/>
    <w:rsid w:val="00117956"/>
    <w:rsid w:val="001269F3"/>
    <w:rsid w:val="0013028B"/>
    <w:rsid w:val="00140FAB"/>
    <w:rsid w:val="00144A17"/>
    <w:rsid w:val="00176BC5"/>
    <w:rsid w:val="00180BCF"/>
    <w:rsid w:val="00185340"/>
    <w:rsid w:val="001944FF"/>
    <w:rsid w:val="00194814"/>
    <w:rsid w:val="001A4D2A"/>
    <w:rsid w:val="001A5B1A"/>
    <w:rsid w:val="001B22DD"/>
    <w:rsid w:val="001C0A2D"/>
    <w:rsid w:val="001C2867"/>
    <w:rsid w:val="001C2DA8"/>
    <w:rsid w:val="001C489B"/>
    <w:rsid w:val="001C6B5A"/>
    <w:rsid w:val="001C7513"/>
    <w:rsid w:val="001C7D62"/>
    <w:rsid w:val="001D6FA4"/>
    <w:rsid w:val="001E063D"/>
    <w:rsid w:val="001F61B9"/>
    <w:rsid w:val="001F63ED"/>
    <w:rsid w:val="001F6C3E"/>
    <w:rsid w:val="00204E5F"/>
    <w:rsid w:val="00207F59"/>
    <w:rsid w:val="00212FE4"/>
    <w:rsid w:val="002178E0"/>
    <w:rsid w:val="00226668"/>
    <w:rsid w:val="002279AF"/>
    <w:rsid w:val="00232792"/>
    <w:rsid w:val="002426FE"/>
    <w:rsid w:val="00245D1D"/>
    <w:rsid w:val="00247046"/>
    <w:rsid w:val="00255300"/>
    <w:rsid w:val="00256DBE"/>
    <w:rsid w:val="002668F4"/>
    <w:rsid w:val="00271C41"/>
    <w:rsid w:val="0027504A"/>
    <w:rsid w:val="00282060"/>
    <w:rsid w:val="002831AE"/>
    <w:rsid w:val="00290298"/>
    <w:rsid w:val="002A0E79"/>
    <w:rsid w:val="002B5AA3"/>
    <w:rsid w:val="002C28C5"/>
    <w:rsid w:val="002C3D6F"/>
    <w:rsid w:val="002C5C01"/>
    <w:rsid w:val="002D2867"/>
    <w:rsid w:val="002D2C9B"/>
    <w:rsid w:val="002D7ED3"/>
    <w:rsid w:val="002E1576"/>
    <w:rsid w:val="002F10EC"/>
    <w:rsid w:val="00317226"/>
    <w:rsid w:val="00320BCA"/>
    <w:rsid w:val="00321043"/>
    <w:rsid w:val="00323E45"/>
    <w:rsid w:val="003316E0"/>
    <w:rsid w:val="00331733"/>
    <w:rsid w:val="00333348"/>
    <w:rsid w:val="003413C6"/>
    <w:rsid w:val="003427FE"/>
    <w:rsid w:val="003510EF"/>
    <w:rsid w:val="003517A2"/>
    <w:rsid w:val="003558AE"/>
    <w:rsid w:val="00360A7A"/>
    <w:rsid w:val="00361103"/>
    <w:rsid w:val="00366EEE"/>
    <w:rsid w:val="0036791C"/>
    <w:rsid w:val="00376211"/>
    <w:rsid w:val="003774F6"/>
    <w:rsid w:val="003833C4"/>
    <w:rsid w:val="00385C83"/>
    <w:rsid w:val="0039211B"/>
    <w:rsid w:val="00392B45"/>
    <w:rsid w:val="003A32A1"/>
    <w:rsid w:val="003C36E0"/>
    <w:rsid w:val="003C7BFB"/>
    <w:rsid w:val="003D161E"/>
    <w:rsid w:val="003E0EDD"/>
    <w:rsid w:val="003E4D56"/>
    <w:rsid w:val="003F1036"/>
    <w:rsid w:val="003F5418"/>
    <w:rsid w:val="003F59D3"/>
    <w:rsid w:val="0040178B"/>
    <w:rsid w:val="0040241C"/>
    <w:rsid w:val="00431020"/>
    <w:rsid w:val="00433212"/>
    <w:rsid w:val="00436759"/>
    <w:rsid w:val="00440B3B"/>
    <w:rsid w:val="00447343"/>
    <w:rsid w:val="004504E9"/>
    <w:rsid w:val="00450563"/>
    <w:rsid w:val="00451144"/>
    <w:rsid w:val="0047461A"/>
    <w:rsid w:val="004863DC"/>
    <w:rsid w:val="00487D67"/>
    <w:rsid w:val="004A6461"/>
    <w:rsid w:val="004A7C46"/>
    <w:rsid w:val="004B3772"/>
    <w:rsid w:val="004B4ECE"/>
    <w:rsid w:val="004B56E9"/>
    <w:rsid w:val="004C6D62"/>
    <w:rsid w:val="004D6C03"/>
    <w:rsid w:val="004F012E"/>
    <w:rsid w:val="004F2308"/>
    <w:rsid w:val="004F7ED2"/>
    <w:rsid w:val="005056AA"/>
    <w:rsid w:val="00506954"/>
    <w:rsid w:val="005112C5"/>
    <w:rsid w:val="00523379"/>
    <w:rsid w:val="00523692"/>
    <w:rsid w:val="0053668F"/>
    <w:rsid w:val="00536818"/>
    <w:rsid w:val="00537ABA"/>
    <w:rsid w:val="005425EB"/>
    <w:rsid w:val="0054563A"/>
    <w:rsid w:val="0054725E"/>
    <w:rsid w:val="00550518"/>
    <w:rsid w:val="00553FCD"/>
    <w:rsid w:val="00561BB9"/>
    <w:rsid w:val="00573FCC"/>
    <w:rsid w:val="0057404C"/>
    <w:rsid w:val="00577FD9"/>
    <w:rsid w:val="0058382F"/>
    <w:rsid w:val="00583956"/>
    <w:rsid w:val="00590814"/>
    <w:rsid w:val="00593F7B"/>
    <w:rsid w:val="00596682"/>
    <w:rsid w:val="00596CA2"/>
    <w:rsid w:val="005C0FEC"/>
    <w:rsid w:val="005C2E16"/>
    <w:rsid w:val="005C594A"/>
    <w:rsid w:val="005C5B7A"/>
    <w:rsid w:val="005C7AD6"/>
    <w:rsid w:val="005D00EB"/>
    <w:rsid w:val="005D22CA"/>
    <w:rsid w:val="005E5D6E"/>
    <w:rsid w:val="005F218C"/>
    <w:rsid w:val="005F33F2"/>
    <w:rsid w:val="005F40D2"/>
    <w:rsid w:val="006048B1"/>
    <w:rsid w:val="00620FAC"/>
    <w:rsid w:val="00624DF8"/>
    <w:rsid w:val="00626BE0"/>
    <w:rsid w:val="00627CAE"/>
    <w:rsid w:val="00634E11"/>
    <w:rsid w:val="006363C1"/>
    <w:rsid w:val="00636581"/>
    <w:rsid w:val="0064439B"/>
    <w:rsid w:val="00650B54"/>
    <w:rsid w:val="00651ACB"/>
    <w:rsid w:val="0065642C"/>
    <w:rsid w:val="006630EE"/>
    <w:rsid w:val="0066453D"/>
    <w:rsid w:val="00673F85"/>
    <w:rsid w:val="0067660C"/>
    <w:rsid w:val="00680092"/>
    <w:rsid w:val="006808F4"/>
    <w:rsid w:val="00680E78"/>
    <w:rsid w:val="006875B6"/>
    <w:rsid w:val="00687D02"/>
    <w:rsid w:val="00695DD4"/>
    <w:rsid w:val="006A46AA"/>
    <w:rsid w:val="006B390A"/>
    <w:rsid w:val="006C5808"/>
    <w:rsid w:val="006D33BD"/>
    <w:rsid w:val="006D4894"/>
    <w:rsid w:val="006D5EF5"/>
    <w:rsid w:val="006D76BB"/>
    <w:rsid w:val="006E2E38"/>
    <w:rsid w:val="00705657"/>
    <w:rsid w:val="007071AF"/>
    <w:rsid w:val="00707247"/>
    <w:rsid w:val="00715B26"/>
    <w:rsid w:val="007244A5"/>
    <w:rsid w:val="00727E31"/>
    <w:rsid w:val="00732C2B"/>
    <w:rsid w:val="00743F57"/>
    <w:rsid w:val="00756060"/>
    <w:rsid w:val="00774933"/>
    <w:rsid w:val="0077559D"/>
    <w:rsid w:val="00777063"/>
    <w:rsid w:val="00781FB5"/>
    <w:rsid w:val="0078700B"/>
    <w:rsid w:val="007874FF"/>
    <w:rsid w:val="00791579"/>
    <w:rsid w:val="007928D0"/>
    <w:rsid w:val="00795668"/>
    <w:rsid w:val="007A4F88"/>
    <w:rsid w:val="007B2BC8"/>
    <w:rsid w:val="007B5441"/>
    <w:rsid w:val="007C10F2"/>
    <w:rsid w:val="007C2DC3"/>
    <w:rsid w:val="007C5357"/>
    <w:rsid w:val="007C5E71"/>
    <w:rsid w:val="007D224C"/>
    <w:rsid w:val="007D3255"/>
    <w:rsid w:val="007D366E"/>
    <w:rsid w:val="007D6CB9"/>
    <w:rsid w:val="007E1945"/>
    <w:rsid w:val="007E5459"/>
    <w:rsid w:val="007E7289"/>
    <w:rsid w:val="007F0CD1"/>
    <w:rsid w:val="007F5CAD"/>
    <w:rsid w:val="00800947"/>
    <w:rsid w:val="008025E1"/>
    <w:rsid w:val="008120B3"/>
    <w:rsid w:val="0081561D"/>
    <w:rsid w:val="00815BF4"/>
    <w:rsid w:val="0082035E"/>
    <w:rsid w:val="00830974"/>
    <w:rsid w:val="008321E6"/>
    <w:rsid w:val="0083241B"/>
    <w:rsid w:val="00836E6A"/>
    <w:rsid w:val="00856801"/>
    <w:rsid w:val="0086468E"/>
    <w:rsid w:val="00870427"/>
    <w:rsid w:val="00886036"/>
    <w:rsid w:val="00893B13"/>
    <w:rsid w:val="00894317"/>
    <w:rsid w:val="0089584A"/>
    <w:rsid w:val="0089689A"/>
    <w:rsid w:val="008A0998"/>
    <w:rsid w:val="008A1908"/>
    <w:rsid w:val="008B0EEB"/>
    <w:rsid w:val="008B17F2"/>
    <w:rsid w:val="008B233B"/>
    <w:rsid w:val="008B3332"/>
    <w:rsid w:val="008B75F2"/>
    <w:rsid w:val="008C0453"/>
    <w:rsid w:val="008C3204"/>
    <w:rsid w:val="008C4226"/>
    <w:rsid w:val="008C4FCE"/>
    <w:rsid w:val="008E0467"/>
    <w:rsid w:val="008E05EB"/>
    <w:rsid w:val="008E2C32"/>
    <w:rsid w:val="008E5D97"/>
    <w:rsid w:val="00902AC0"/>
    <w:rsid w:val="009074DA"/>
    <w:rsid w:val="0091627F"/>
    <w:rsid w:val="0091684C"/>
    <w:rsid w:val="00922499"/>
    <w:rsid w:val="009334DB"/>
    <w:rsid w:val="00934017"/>
    <w:rsid w:val="009368E1"/>
    <w:rsid w:val="009409AE"/>
    <w:rsid w:val="00942D0B"/>
    <w:rsid w:val="00954928"/>
    <w:rsid w:val="00955BBC"/>
    <w:rsid w:val="00955F85"/>
    <w:rsid w:val="009645CF"/>
    <w:rsid w:val="0096575D"/>
    <w:rsid w:val="009670F8"/>
    <w:rsid w:val="00971BBC"/>
    <w:rsid w:val="00973FE5"/>
    <w:rsid w:val="0097722A"/>
    <w:rsid w:val="00985B3D"/>
    <w:rsid w:val="009864CF"/>
    <w:rsid w:val="0098763B"/>
    <w:rsid w:val="00991B0F"/>
    <w:rsid w:val="0099277F"/>
    <w:rsid w:val="00992B11"/>
    <w:rsid w:val="009936BA"/>
    <w:rsid w:val="0099479C"/>
    <w:rsid w:val="009A0664"/>
    <w:rsid w:val="009A0897"/>
    <w:rsid w:val="009B4633"/>
    <w:rsid w:val="009C6850"/>
    <w:rsid w:val="009C7E1E"/>
    <w:rsid w:val="009D652F"/>
    <w:rsid w:val="009D77B5"/>
    <w:rsid w:val="009E368E"/>
    <w:rsid w:val="009E4728"/>
    <w:rsid w:val="009E7466"/>
    <w:rsid w:val="00A02FA3"/>
    <w:rsid w:val="00A152E9"/>
    <w:rsid w:val="00A17635"/>
    <w:rsid w:val="00A23D4A"/>
    <w:rsid w:val="00A33D63"/>
    <w:rsid w:val="00A40FA6"/>
    <w:rsid w:val="00A46F49"/>
    <w:rsid w:val="00A50B89"/>
    <w:rsid w:val="00A55574"/>
    <w:rsid w:val="00A61DB9"/>
    <w:rsid w:val="00A62DC3"/>
    <w:rsid w:val="00A65DF5"/>
    <w:rsid w:val="00A66DE9"/>
    <w:rsid w:val="00A721B6"/>
    <w:rsid w:val="00A739D3"/>
    <w:rsid w:val="00A74D8D"/>
    <w:rsid w:val="00A76708"/>
    <w:rsid w:val="00A7791D"/>
    <w:rsid w:val="00A8507D"/>
    <w:rsid w:val="00A91D88"/>
    <w:rsid w:val="00A9297A"/>
    <w:rsid w:val="00AA088B"/>
    <w:rsid w:val="00AA5537"/>
    <w:rsid w:val="00AB158A"/>
    <w:rsid w:val="00AB1AD8"/>
    <w:rsid w:val="00AB7E93"/>
    <w:rsid w:val="00AC203E"/>
    <w:rsid w:val="00AC29A4"/>
    <w:rsid w:val="00AC512F"/>
    <w:rsid w:val="00AD56C6"/>
    <w:rsid w:val="00AD730E"/>
    <w:rsid w:val="00AE0A27"/>
    <w:rsid w:val="00AE0CAF"/>
    <w:rsid w:val="00AE2F3E"/>
    <w:rsid w:val="00AE3014"/>
    <w:rsid w:val="00AF0BD8"/>
    <w:rsid w:val="00AF2308"/>
    <w:rsid w:val="00B024A9"/>
    <w:rsid w:val="00B036DF"/>
    <w:rsid w:val="00B03B9C"/>
    <w:rsid w:val="00B060C5"/>
    <w:rsid w:val="00B1187E"/>
    <w:rsid w:val="00B17BB5"/>
    <w:rsid w:val="00B21E34"/>
    <w:rsid w:val="00B249F4"/>
    <w:rsid w:val="00B25EEA"/>
    <w:rsid w:val="00B31AFF"/>
    <w:rsid w:val="00B3285A"/>
    <w:rsid w:val="00B338E6"/>
    <w:rsid w:val="00B423FF"/>
    <w:rsid w:val="00B4519F"/>
    <w:rsid w:val="00B512B2"/>
    <w:rsid w:val="00B5230B"/>
    <w:rsid w:val="00B539D9"/>
    <w:rsid w:val="00B57176"/>
    <w:rsid w:val="00B57D89"/>
    <w:rsid w:val="00B856B8"/>
    <w:rsid w:val="00B91CE9"/>
    <w:rsid w:val="00B9297E"/>
    <w:rsid w:val="00B961FF"/>
    <w:rsid w:val="00B97946"/>
    <w:rsid w:val="00BA7796"/>
    <w:rsid w:val="00BE1842"/>
    <w:rsid w:val="00BE1E92"/>
    <w:rsid w:val="00BE2914"/>
    <w:rsid w:val="00C00D93"/>
    <w:rsid w:val="00C05E17"/>
    <w:rsid w:val="00C12C53"/>
    <w:rsid w:val="00C133C6"/>
    <w:rsid w:val="00C138A9"/>
    <w:rsid w:val="00C25BC5"/>
    <w:rsid w:val="00C27736"/>
    <w:rsid w:val="00C27801"/>
    <w:rsid w:val="00C30BD2"/>
    <w:rsid w:val="00C34440"/>
    <w:rsid w:val="00C35196"/>
    <w:rsid w:val="00C42C17"/>
    <w:rsid w:val="00C44552"/>
    <w:rsid w:val="00C6464E"/>
    <w:rsid w:val="00C64D75"/>
    <w:rsid w:val="00C6659E"/>
    <w:rsid w:val="00C71942"/>
    <w:rsid w:val="00C76A66"/>
    <w:rsid w:val="00C8081D"/>
    <w:rsid w:val="00C8444D"/>
    <w:rsid w:val="00C932B2"/>
    <w:rsid w:val="00C933FF"/>
    <w:rsid w:val="00CA41FF"/>
    <w:rsid w:val="00CA5948"/>
    <w:rsid w:val="00CB1884"/>
    <w:rsid w:val="00CB5253"/>
    <w:rsid w:val="00CC6370"/>
    <w:rsid w:val="00CD5FD1"/>
    <w:rsid w:val="00CD6E12"/>
    <w:rsid w:val="00CE2717"/>
    <w:rsid w:val="00CE6B3D"/>
    <w:rsid w:val="00CF0AB8"/>
    <w:rsid w:val="00CF22E6"/>
    <w:rsid w:val="00D00F43"/>
    <w:rsid w:val="00D028B7"/>
    <w:rsid w:val="00D06B61"/>
    <w:rsid w:val="00D13496"/>
    <w:rsid w:val="00D166BE"/>
    <w:rsid w:val="00D2461C"/>
    <w:rsid w:val="00D33CE4"/>
    <w:rsid w:val="00D40639"/>
    <w:rsid w:val="00D42195"/>
    <w:rsid w:val="00D42D34"/>
    <w:rsid w:val="00D440DD"/>
    <w:rsid w:val="00D46D8B"/>
    <w:rsid w:val="00D502CB"/>
    <w:rsid w:val="00D512F1"/>
    <w:rsid w:val="00D51FF6"/>
    <w:rsid w:val="00D63CE1"/>
    <w:rsid w:val="00D64425"/>
    <w:rsid w:val="00D7536D"/>
    <w:rsid w:val="00D83C77"/>
    <w:rsid w:val="00D85412"/>
    <w:rsid w:val="00DA18D5"/>
    <w:rsid w:val="00DA6323"/>
    <w:rsid w:val="00DB03A7"/>
    <w:rsid w:val="00DB1C97"/>
    <w:rsid w:val="00DB4E97"/>
    <w:rsid w:val="00DC4DAD"/>
    <w:rsid w:val="00DC5456"/>
    <w:rsid w:val="00DC6D85"/>
    <w:rsid w:val="00DF5009"/>
    <w:rsid w:val="00E02E79"/>
    <w:rsid w:val="00E07678"/>
    <w:rsid w:val="00E14379"/>
    <w:rsid w:val="00E22985"/>
    <w:rsid w:val="00E23AF3"/>
    <w:rsid w:val="00E24DAE"/>
    <w:rsid w:val="00E26A2E"/>
    <w:rsid w:val="00E450D6"/>
    <w:rsid w:val="00E5098E"/>
    <w:rsid w:val="00E56034"/>
    <w:rsid w:val="00E700DE"/>
    <w:rsid w:val="00E739D4"/>
    <w:rsid w:val="00E7588C"/>
    <w:rsid w:val="00E81BC1"/>
    <w:rsid w:val="00E82E51"/>
    <w:rsid w:val="00E84F2D"/>
    <w:rsid w:val="00E879C8"/>
    <w:rsid w:val="00E91DEB"/>
    <w:rsid w:val="00E92861"/>
    <w:rsid w:val="00EB12C2"/>
    <w:rsid w:val="00EB2AD9"/>
    <w:rsid w:val="00EC6E09"/>
    <w:rsid w:val="00ED393B"/>
    <w:rsid w:val="00ED7A4F"/>
    <w:rsid w:val="00EE49BE"/>
    <w:rsid w:val="00EE653B"/>
    <w:rsid w:val="00EF07D0"/>
    <w:rsid w:val="00EF4D6D"/>
    <w:rsid w:val="00EF614F"/>
    <w:rsid w:val="00F02A2C"/>
    <w:rsid w:val="00F1027F"/>
    <w:rsid w:val="00F17B90"/>
    <w:rsid w:val="00F27D61"/>
    <w:rsid w:val="00F32BBE"/>
    <w:rsid w:val="00F33832"/>
    <w:rsid w:val="00F35BEF"/>
    <w:rsid w:val="00F43B2D"/>
    <w:rsid w:val="00F46621"/>
    <w:rsid w:val="00F50241"/>
    <w:rsid w:val="00F557C7"/>
    <w:rsid w:val="00F608C9"/>
    <w:rsid w:val="00F62E56"/>
    <w:rsid w:val="00F645B8"/>
    <w:rsid w:val="00F6500F"/>
    <w:rsid w:val="00F72A49"/>
    <w:rsid w:val="00F75CB1"/>
    <w:rsid w:val="00F8221B"/>
    <w:rsid w:val="00F86077"/>
    <w:rsid w:val="00FA19C1"/>
    <w:rsid w:val="00FA3782"/>
    <w:rsid w:val="00FA388F"/>
    <w:rsid w:val="00FA4502"/>
    <w:rsid w:val="00FA6453"/>
    <w:rsid w:val="00FB3142"/>
    <w:rsid w:val="00FB57C9"/>
    <w:rsid w:val="00FB645A"/>
    <w:rsid w:val="00FB692A"/>
    <w:rsid w:val="00FC1529"/>
    <w:rsid w:val="00FD294C"/>
    <w:rsid w:val="00FE2264"/>
    <w:rsid w:val="00FF0FEB"/>
    <w:rsid w:val="00FF5B7F"/>
    <w:rsid w:val="00FF6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colormru v:ext="edit" colors="#1074cb"/>
      <o:colormenu v:ext="edit" strokecolor="#1074cb"/>
    </o:shapedefaults>
    <o:shapelayout v:ext="edit">
      <o:idmap v:ext="edit" data="1"/>
      <o:rules v:ext="edit">
        <o:r id="V:Rule5" type="connector" idref="#_x0000_s1043"/>
        <o:r id="V:Rule6" type="connector" idref="#_x0000_s1041"/>
        <o:r id="V:Rule7" type="connector" idref="#_x0000_s1044"/>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2">
    <w:name w:val="heading 2"/>
    <w:basedOn w:val="Normal"/>
    <w:next w:val="Normal"/>
    <w:link w:val="Heading2Char"/>
    <w:semiHidden/>
    <w:unhideWhenUsed/>
    <w:qFormat/>
    <w:rsid w:val="00A4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9"/>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 w:type="character" w:customStyle="1" w:styleId="Heading2Char">
    <w:name w:val="Heading 2 Char"/>
    <w:basedOn w:val="DefaultParagraphFont"/>
    <w:link w:val="Heading2"/>
    <w:semiHidden/>
    <w:rsid w:val="00A46F4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E7466"/>
    <w:rPr>
      <w:rFonts w:ascii="Arial Bold" w:eastAsia="Times New Roman" w:hAnsi="Arial Bold"/>
      <w:b/>
    </w:rPr>
  </w:style>
  <w:style w:type="paragraph" w:styleId="PlainText">
    <w:name w:val="Plain Text"/>
    <w:basedOn w:val="Normal"/>
    <w:link w:val="PlainTextChar"/>
    <w:uiPriority w:val="99"/>
    <w:semiHidden/>
    <w:unhideWhenUsed/>
    <w:rsid w:val="00523379"/>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523379"/>
    <w:rPr>
      <w:rFonts w:ascii="Arial" w:eastAsiaTheme="minorHAnsi" w:hAnsi="Arial" w:cstheme="minorBidi"/>
      <w:szCs w:val="21"/>
      <w:lang w:eastAsia="en-US"/>
    </w:rPr>
  </w:style>
</w:styles>
</file>

<file path=word/webSettings.xml><?xml version="1.0" encoding="utf-8"?>
<w:webSettings xmlns:r="http://schemas.openxmlformats.org/officeDocument/2006/relationships" xmlns:w="http://schemas.openxmlformats.org/wordprocessingml/2006/main">
  <w:divs>
    <w:div w:id="409931442">
      <w:bodyDiv w:val="1"/>
      <w:marLeft w:val="0"/>
      <w:marRight w:val="0"/>
      <w:marTop w:val="0"/>
      <w:marBottom w:val="0"/>
      <w:divBdr>
        <w:top w:val="none" w:sz="0" w:space="0" w:color="auto"/>
        <w:left w:val="none" w:sz="0" w:space="0" w:color="auto"/>
        <w:bottom w:val="none" w:sz="0" w:space="0" w:color="auto"/>
        <w:right w:val="none" w:sz="0" w:space="0" w:color="auto"/>
      </w:divBdr>
    </w:div>
    <w:div w:id="424110010">
      <w:bodyDiv w:val="1"/>
      <w:marLeft w:val="0"/>
      <w:marRight w:val="0"/>
      <w:marTop w:val="0"/>
      <w:marBottom w:val="0"/>
      <w:divBdr>
        <w:top w:val="none" w:sz="0" w:space="0" w:color="auto"/>
        <w:left w:val="none" w:sz="0" w:space="0" w:color="auto"/>
        <w:bottom w:val="none" w:sz="0" w:space="0" w:color="auto"/>
        <w:right w:val="none" w:sz="0" w:space="0" w:color="auto"/>
      </w:divBdr>
    </w:div>
    <w:div w:id="944576264">
      <w:bodyDiv w:val="1"/>
      <w:marLeft w:val="0"/>
      <w:marRight w:val="0"/>
      <w:marTop w:val="0"/>
      <w:marBottom w:val="0"/>
      <w:divBdr>
        <w:top w:val="none" w:sz="0" w:space="0" w:color="auto"/>
        <w:left w:val="none" w:sz="0" w:space="0" w:color="auto"/>
        <w:bottom w:val="none" w:sz="0" w:space="0" w:color="auto"/>
        <w:right w:val="none" w:sz="0" w:space="0" w:color="auto"/>
      </w:divBdr>
    </w:div>
    <w:div w:id="1048335697">
      <w:bodyDiv w:val="1"/>
      <w:marLeft w:val="0"/>
      <w:marRight w:val="0"/>
      <w:marTop w:val="0"/>
      <w:marBottom w:val="0"/>
      <w:divBdr>
        <w:top w:val="none" w:sz="0" w:space="0" w:color="auto"/>
        <w:left w:val="none" w:sz="0" w:space="0" w:color="auto"/>
        <w:bottom w:val="none" w:sz="0" w:space="0" w:color="auto"/>
        <w:right w:val="none" w:sz="0" w:space="0" w:color="auto"/>
      </w:divBdr>
    </w:div>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 w:id="1309096448">
      <w:bodyDiv w:val="1"/>
      <w:marLeft w:val="0"/>
      <w:marRight w:val="0"/>
      <w:marTop w:val="0"/>
      <w:marBottom w:val="0"/>
      <w:divBdr>
        <w:top w:val="none" w:sz="0" w:space="0" w:color="auto"/>
        <w:left w:val="none" w:sz="0" w:space="0" w:color="auto"/>
        <w:bottom w:val="none" w:sz="0" w:space="0" w:color="auto"/>
        <w:right w:val="none" w:sz="0" w:space="0" w:color="auto"/>
      </w:divBdr>
    </w:div>
    <w:div w:id="1509443904">
      <w:bodyDiv w:val="1"/>
      <w:marLeft w:val="0"/>
      <w:marRight w:val="0"/>
      <w:marTop w:val="0"/>
      <w:marBottom w:val="0"/>
      <w:divBdr>
        <w:top w:val="none" w:sz="0" w:space="0" w:color="auto"/>
        <w:left w:val="none" w:sz="0" w:space="0" w:color="auto"/>
        <w:bottom w:val="none" w:sz="0" w:space="0" w:color="auto"/>
        <w:right w:val="none" w:sz="0" w:space="0" w:color="auto"/>
      </w:divBdr>
    </w:div>
    <w:div w:id="1593008101">
      <w:bodyDiv w:val="1"/>
      <w:marLeft w:val="0"/>
      <w:marRight w:val="0"/>
      <w:marTop w:val="0"/>
      <w:marBottom w:val="0"/>
      <w:divBdr>
        <w:top w:val="none" w:sz="0" w:space="0" w:color="auto"/>
        <w:left w:val="none" w:sz="0" w:space="0" w:color="auto"/>
        <w:bottom w:val="none" w:sz="0" w:space="0" w:color="auto"/>
        <w:right w:val="none" w:sz="0" w:space="0" w:color="auto"/>
      </w:divBdr>
    </w:div>
    <w:div w:id="1638484829">
      <w:bodyDiv w:val="1"/>
      <w:marLeft w:val="0"/>
      <w:marRight w:val="0"/>
      <w:marTop w:val="0"/>
      <w:marBottom w:val="0"/>
      <w:divBdr>
        <w:top w:val="none" w:sz="0" w:space="0" w:color="auto"/>
        <w:left w:val="none" w:sz="0" w:space="0" w:color="auto"/>
        <w:bottom w:val="none" w:sz="0" w:space="0" w:color="auto"/>
        <w:right w:val="none" w:sz="0" w:space="0" w:color="auto"/>
      </w:divBdr>
    </w:div>
    <w:div w:id="1941063387">
      <w:bodyDiv w:val="1"/>
      <w:marLeft w:val="0"/>
      <w:marRight w:val="0"/>
      <w:marTop w:val="0"/>
      <w:marBottom w:val="0"/>
      <w:divBdr>
        <w:top w:val="none" w:sz="0" w:space="0" w:color="auto"/>
        <w:left w:val="none" w:sz="0" w:space="0" w:color="auto"/>
        <w:bottom w:val="none" w:sz="0" w:space="0" w:color="auto"/>
        <w:right w:val="none" w:sz="0" w:space="0" w:color="auto"/>
      </w:divBdr>
    </w:div>
    <w:div w:id="1958561060">
      <w:bodyDiv w:val="1"/>
      <w:marLeft w:val="0"/>
      <w:marRight w:val="0"/>
      <w:marTop w:val="0"/>
      <w:marBottom w:val="0"/>
      <w:divBdr>
        <w:top w:val="none" w:sz="0" w:space="0" w:color="auto"/>
        <w:left w:val="none" w:sz="0" w:space="0" w:color="auto"/>
        <w:bottom w:val="none" w:sz="0" w:space="0" w:color="auto"/>
        <w:right w:val="none" w:sz="0" w:space="0" w:color="auto"/>
      </w:divBdr>
    </w:div>
    <w:div w:id="2077782755">
      <w:bodyDiv w:val="1"/>
      <w:marLeft w:val="0"/>
      <w:marRight w:val="0"/>
      <w:marTop w:val="0"/>
      <w:marBottom w:val="0"/>
      <w:divBdr>
        <w:top w:val="none" w:sz="0" w:space="0" w:color="auto"/>
        <w:left w:val="none" w:sz="0" w:space="0" w:color="auto"/>
        <w:bottom w:val="none" w:sz="0" w:space="0" w:color="auto"/>
        <w:right w:val="none" w:sz="0" w:space="0" w:color="auto"/>
      </w:divBdr>
    </w:div>
    <w:div w:id="210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dmontefusco@smmt.co.uk" TargetMode="External"/><Relationship Id="rId1" Type="http://schemas.openxmlformats.org/officeDocument/2006/relationships/hyperlink" Target="http://www.smmt.co.uk/publications" TargetMode="External"/><Relationship Id="rId4" Type="http://schemas.openxmlformats.org/officeDocument/2006/relationships/hyperlink" Target="mailto:nrooke@smmt.co.uk" TargetMode="External"/></Relationships>
</file>

<file path=word/_rels/footer4.xml.rels><?xml version="1.0" encoding="UTF-8" standalone="yes"?>
<Relationships xmlns="http://schemas.openxmlformats.org/package/2006/relationships"><Relationship Id="rId8" Type="http://schemas.openxmlformats.org/officeDocument/2006/relationships/hyperlink" Target="mailto:kowen@smmt.co.uk" TargetMode="External"/><Relationship Id="rId3" Type="http://schemas.openxmlformats.org/officeDocument/2006/relationships/hyperlink" Target="mailto:nrooke@smmt.co.uk" TargetMode="External"/><Relationship Id="rId7" Type="http://schemas.openxmlformats.org/officeDocument/2006/relationships/hyperlink" Target="mailto:nrooke@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 Id="rId6" Type="http://schemas.openxmlformats.org/officeDocument/2006/relationships/hyperlink" Target="mailto:jvisscher@smmt.co.uk" TargetMode="External"/><Relationship Id="rId5" Type="http://schemas.openxmlformats.org/officeDocument/2006/relationships/hyperlink" Target="http://www.smmt.co.uk/publications" TargetMode="External"/><Relationship Id="rId4" Type="http://schemas.openxmlformats.org/officeDocument/2006/relationships/hyperlink" Target="mailto:kowen@smm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PressReleases\PR-CarCV-ONS\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PressReleases\PR-CarCV-ONS\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67037481700926138"/>
          <c:h val="0.71952136191309424"/>
        </c:manualLayout>
      </c:layout>
      <c:lineChart>
        <c:grouping val="standard"/>
        <c:ser>
          <c:idx val="0"/>
          <c:order val="0"/>
          <c:tx>
            <c:strRef>
              <c:f>'[PR-HEADLINE-CARCVOUT2012.xls]PR-12MONTH-charts'!$B$4</c:f>
              <c:strCache>
                <c:ptCount val="1"/>
                <c:pt idx="0">
                  <c:v>Total</c:v>
                </c:pt>
              </c:strCache>
            </c:strRef>
          </c:tx>
          <c:spPr>
            <a:ln>
              <a:solidFill>
                <a:schemeClr val="tx2">
                  <a:lumMod val="75000"/>
                </a:schemeClr>
              </a:solidFill>
            </a:ln>
          </c:spPr>
          <c:marker>
            <c:symbol val="none"/>
          </c:marker>
          <c:cat>
            <c:numRef>
              <c:f>'[PR-HEADLINE-CARCVOUT2012.xls]PR-12MONTH-charts'!$C$3:$BV$3</c:f>
              <c:numCache>
                <c:formatCode>General</c:formatCode>
                <c:ptCount val="72"/>
                <c:pt idx="0">
                  <c:v>2007</c:v>
                </c:pt>
                <c:pt idx="12">
                  <c:v>2008</c:v>
                </c:pt>
                <c:pt idx="24">
                  <c:v>2009</c:v>
                </c:pt>
                <c:pt idx="36">
                  <c:v>2010</c:v>
                </c:pt>
                <c:pt idx="48">
                  <c:v>2011</c:v>
                </c:pt>
                <c:pt idx="60">
                  <c:v>2012</c:v>
                </c:pt>
              </c:numCache>
            </c:numRef>
          </c:cat>
          <c:val>
            <c:numRef>
              <c:f>'[PR-HEADLINE-CARCVOUT2012.xls]PR-12MONTH-charts'!$C$4:$BV$4</c:f>
              <c:numCache>
                <c:formatCode>General</c:formatCode>
                <c:ptCount val="72"/>
                <c:pt idx="0">
                  <c:v>1447.1529999999998</c:v>
                </c:pt>
                <c:pt idx="1">
                  <c:v>1431.6109999999999</c:v>
                </c:pt>
                <c:pt idx="2">
                  <c:v>1410.6589999999999</c:v>
                </c:pt>
                <c:pt idx="3">
                  <c:v>1412.5039999999999</c:v>
                </c:pt>
                <c:pt idx="4">
                  <c:v>1408.6849999999988</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1009.3649999999994</c:v>
                </c:pt>
                <c:pt idx="31">
                  <c:v>983.24400000000003</c:v>
                </c:pt>
                <c:pt idx="32">
                  <c:v>960.25400000000002</c:v>
                </c:pt>
                <c:pt idx="33">
                  <c:v>952.62300000000005</c:v>
                </c:pt>
                <c:pt idx="34">
                  <c:v>967.9669999999993</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1387.6619999999998</c:v>
                </c:pt>
                <c:pt idx="62">
                  <c:v>1388.002</c:v>
                </c:pt>
                <c:pt idx="63">
                  <c:v>1396.048</c:v>
                </c:pt>
              </c:numCache>
            </c:numRef>
          </c:val>
        </c:ser>
        <c:ser>
          <c:idx val="1"/>
          <c:order val="1"/>
          <c:tx>
            <c:strRef>
              <c:f>'[PR-HEADLINE-CARCVOUT2012.xls]PR-12MONTH-charts'!$B$5</c:f>
              <c:strCache>
                <c:ptCount val="1"/>
                <c:pt idx="0">
                  <c:v>Export</c:v>
                </c:pt>
              </c:strCache>
            </c:strRef>
          </c:tx>
          <c:spPr>
            <a:ln>
              <a:solidFill>
                <a:schemeClr val="tx2">
                  <a:lumMod val="40000"/>
                  <a:lumOff val="60000"/>
                </a:schemeClr>
              </a:solidFill>
            </a:ln>
          </c:spPr>
          <c:marker>
            <c:symbol val="none"/>
          </c:marker>
          <c:cat>
            <c:numRef>
              <c:f>'[PR-HEADLINE-CARCVOUT2012.xls]PR-12MONTH-charts'!$C$3:$BV$3</c:f>
              <c:numCache>
                <c:formatCode>General</c:formatCode>
                <c:ptCount val="72"/>
                <c:pt idx="0">
                  <c:v>2007</c:v>
                </c:pt>
                <c:pt idx="12">
                  <c:v>2008</c:v>
                </c:pt>
                <c:pt idx="24">
                  <c:v>2009</c:v>
                </c:pt>
                <c:pt idx="36">
                  <c:v>2010</c:v>
                </c:pt>
                <c:pt idx="48">
                  <c:v>2011</c:v>
                </c:pt>
                <c:pt idx="60">
                  <c:v>2012</c:v>
                </c:pt>
              </c:numCache>
            </c:numRef>
          </c:cat>
          <c:val>
            <c:numRef>
              <c:f>'[PR-HEADLINE-CARCVOUT2012.xls]PR-12MONTH-charts'!$C$5:$BV$5</c:f>
              <c:numCache>
                <c:formatCode>General</c:formatCode>
                <c:ptCount val="72"/>
                <c:pt idx="0">
                  <c:v>1114.518</c:v>
                </c:pt>
                <c:pt idx="1">
                  <c:v>1104.2639999999999</c:v>
                </c:pt>
                <c:pt idx="2">
                  <c:v>1084.7049999999999</c:v>
                </c:pt>
                <c:pt idx="3">
                  <c:v>1084.068</c:v>
                </c:pt>
                <c:pt idx="4">
                  <c:v>1081.6789999999999</c:v>
                </c:pt>
                <c:pt idx="5">
                  <c:v>1083.6509999999998</c:v>
                </c:pt>
                <c:pt idx="6">
                  <c:v>1093.01</c:v>
                </c:pt>
                <c:pt idx="7">
                  <c:v>1110.5709999999999</c:v>
                </c:pt>
                <c:pt idx="8">
                  <c:v>1122.7260000000001</c:v>
                </c:pt>
                <c:pt idx="9">
                  <c:v>1151.279</c:v>
                </c:pt>
                <c:pt idx="10">
                  <c:v>1167.6849999999988</c:v>
                </c:pt>
                <c:pt idx="11">
                  <c:v>1185.4590000000001</c:v>
                </c:pt>
                <c:pt idx="12">
                  <c:v>1202.5839999999998</c:v>
                </c:pt>
                <c:pt idx="13">
                  <c:v>1228.625</c:v>
                </c:pt>
                <c:pt idx="14">
                  <c:v>1226.4100000000001</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1067.8409999999999</c:v>
                </c:pt>
                <c:pt idx="25">
                  <c:v>1003.4599999999995</c:v>
                </c:pt>
                <c:pt idx="26">
                  <c:v>951.97</c:v>
                </c:pt>
                <c:pt idx="27">
                  <c:v>887.52599999999939</c:v>
                </c:pt>
                <c:pt idx="28">
                  <c:v>848.56499999999949</c:v>
                </c:pt>
                <c:pt idx="29">
                  <c:v>819.971</c:v>
                </c:pt>
                <c:pt idx="30">
                  <c:v>801.24800000000005</c:v>
                </c:pt>
                <c:pt idx="31">
                  <c:v>778.755</c:v>
                </c:pt>
                <c:pt idx="32">
                  <c:v>743.75099999999998</c:v>
                </c:pt>
                <c:pt idx="33">
                  <c:v>737.03599999999949</c:v>
                </c:pt>
                <c:pt idx="34">
                  <c:v>742.12099999999998</c:v>
                </c:pt>
                <c:pt idx="35">
                  <c:v>762.23400000000004</c:v>
                </c:pt>
                <c:pt idx="36">
                  <c:v>784.01499999999999</c:v>
                </c:pt>
                <c:pt idx="37">
                  <c:v>807.88</c:v>
                </c:pt>
                <c:pt idx="38">
                  <c:v>846.79900000000055</c:v>
                </c:pt>
                <c:pt idx="39">
                  <c:v>862.95899999999949</c:v>
                </c:pt>
                <c:pt idx="40">
                  <c:v>883.37900000000002</c:v>
                </c:pt>
                <c:pt idx="41">
                  <c:v>895.63599999999997</c:v>
                </c:pt>
                <c:pt idx="42">
                  <c:v>886.52199999999948</c:v>
                </c:pt>
                <c:pt idx="43">
                  <c:v>905.96299999999917</c:v>
                </c:pt>
                <c:pt idx="44">
                  <c:v>922.69299999999998</c:v>
                </c:pt>
                <c:pt idx="45">
                  <c:v>928.33599999999944</c:v>
                </c:pt>
                <c:pt idx="46">
                  <c:v>946.99900000000002</c:v>
                </c:pt>
                <c:pt idx="47">
                  <c:v>961.42</c:v>
                </c:pt>
                <c:pt idx="48">
                  <c:v>982.45899999999949</c:v>
                </c:pt>
                <c:pt idx="49">
                  <c:v>1005.0119999999994</c:v>
                </c:pt>
                <c:pt idx="50">
                  <c:v>1029.3819999999998</c:v>
                </c:pt>
                <c:pt idx="51">
                  <c:v>1030.5829999999999</c:v>
                </c:pt>
                <c:pt idx="52">
                  <c:v>1038.749</c:v>
                </c:pt>
                <c:pt idx="53">
                  <c:v>1051.087</c:v>
                </c:pt>
                <c:pt idx="54">
                  <c:v>1062.3429999999998</c:v>
                </c:pt>
                <c:pt idx="55">
                  <c:v>1072.626</c:v>
                </c:pt>
                <c:pt idx="56">
                  <c:v>1092.9190000000001</c:v>
                </c:pt>
                <c:pt idx="57">
                  <c:v>1111.2160000000001</c:v>
                </c:pt>
                <c:pt idx="58">
                  <c:v>1124.2280000000001</c:v>
                </c:pt>
                <c:pt idx="59">
                  <c:v>1124.6759999999999</c:v>
                </c:pt>
                <c:pt idx="60">
                  <c:v>1136.7739999999999</c:v>
                </c:pt>
                <c:pt idx="61">
                  <c:v>1156.991</c:v>
                </c:pt>
                <c:pt idx="62">
                  <c:v>1154.9470000000001</c:v>
                </c:pt>
                <c:pt idx="63">
                  <c:v>1162.2550000000001</c:v>
                </c:pt>
              </c:numCache>
            </c:numRef>
          </c:val>
        </c:ser>
        <c:marker val="1"/>
        <c:axId val="33813248"/>
        <c:axId val="33814784"/>
      </c:lineChart>
      <c:catAx>
        <c:axId val="33813248"/>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33814784"/>
        <c:crosses val="autoZero"/>
        <c:auto val="1"/>
        <c:lblAlgn val="ctr"/>
        <c:lblOffset val="100"/>
        <c:tickMarkSkip val="12"/>
      </c:catAx>
      <c:valAx>
        <c:axId val="33814784"/>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33813248"/>
        <c:crosses val="autoZero"/>
        <c:crossBetween val="between"/>
      </c:valAx>
    </c:plotArea>
    <c:legend>
      <c:legendPos val="r"/>
      <c:layout>
        <c:manualLayout>
          <c:xMode val="edge"/>
          <c:yMode val="edge"/>
          <c:x val="4.6204769379026719E-2"/>
          <c:y val="1.7857173997583038E-2"/>
          <c:w val="0.93729675026025638"/>
          <c:h val="0.10000017438646495"/>
        </c:manualLayout>
      </c:layout>
      <c:txPr>
        <a:bodyPr/>
        <a:lstStyle/>
        <a:p>
          <a:pPr>
            <a:defRPr sz="59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7543884334045903"/>
          <c:y val="0.13010425780110821"/>
          <c:w val="0.70004527784542525"/>
          <c:h val="0.71952136191309424"/>
        </c:manualLayout>
      </c:layout>
      <c:lineChart>
        <c:grouping val="standard"/>
        <c:ser>
          <c:idx val="0"/>
          <c:order val="0"/>
          <c:tx>
            <c:strRef>
              <c:f>'[PR-HEADLINE-CARCVOUT2012.xls]PR-12MONTH-charts'!$B$8</c:f>
              <c:strCache>
                <c:ptCount val="1"/>
                <c:pt idx="0">
                  <c:v>Total</c:v>
                </c:pt>
              </c:strCache>
            </c:strRef>
          </c:tx>
          <c:spPr>
            <a:ln>
              <a:solidFill>
                <a:schemeClr val="tx2">
                  <a:lumMod val="75000"/>
                </a:schemeClr>
              </a:solidFill>
            </a:ln>
          </c:spPr>
          <c:marker>
            <c:symbol val="none"/>
          </c:marker>
          <c:cat>
            <c:numRef>
              <c:f>'[PR-HEADLINE-CARCVOUT2012.xls]PR-12MONTH-charts'!$C$7:$BV$7</c:f>
              <c:numCache>
                <c:formatCode>General</c:formatCode>
                <c:ptCount val="72"/>
                <c:pt idx="0">
                  <c:v>2007</c:v>
                </c:pt>
                <c:pt idx="12">
                  <c:v>2008</c:v>
                </c:pt>
                <c:pt idx="24">
                  <c:v>2009</c:v>
                </c:pt>
                <c:pt idx="36">
                  <c:v>2010</c:v>
                </c:pt>
                <c:pt idx="48">
                  <c:v>2011</c:v>
                </c:pt>
                <c:pt idx="60">
                  <c:v>2012</c:v>
                </c:pt>
              </c:numCache>
            </c:numRef>
          </c:cat>
          <c:val>
            <c:numRef>
              <c:f>'[PR-HEADLINE-CARCVOUT2012.xls]PR-12MONTH-charts'!$C$8:$BV$8</c:f>
              <c:numCache>
                <c:formatCode>General</c:formatCode>
                <c:ptCount val="72"/>
                <c:pt idx="0">
                  <c:v>209.13800000000001</c:v>
                </c:pt>
                <c:pt idx="1">
                  <c:v>208.41499999999999</c:v>
                </c:pt>
                <c:pt idx="2">
                  <c:v>207.38600000000014</c:v>
                </c:pt>
                <c:pt idx="3">
                  <c:v>207.62</c:v>
                </c:pt>
                <c:pt idx="4">
                  <c:v>209.48000000000013</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164.89700000000013</c:v>
                </c:pt>
                <c:pt idx="27">
                  <c:v>150.56800000000001</c:v>
                </c:pt>
                <c:pt idx="28">
                  <c:v>137.55800000000013</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103.93400000000007</c:v>
                </c:pt>
                <c:pt idx="40">
                  <c:v>109.98699999999999</c:v>
                </c:pt>
                <c:pt idx="41">
                  <c:v>112.111</c:v>
                </c:pt>
                <c:pt idx="42">
                  <c:v>113.232</c:v>
                </c:pt>
                <c:pt idx="43">
                  <c:v>114.29600000000002</c:v>
                </c:pt>
                <c:pt idx="44">
                  <c:v>115.91900000000007</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numCache>
            </c:numRef>
          </c:val>
        </c:ser>
        <c:ser>
          <c:idx val="1"/>
          <c:order val="1"/>
          <c:tx>
            <c:strRef>
              <c:f>'[PR-HEADLINE-CARCVOUT2012.xls]PR-12MONTH-charts'!$B$9</c:f>
              <c:strCache>
                <c:ptCount val="1"/>
                <c:pt idx="0">
                  <c:v>Export</c:v>
                </c:pt>
              </c:strCache>
            </c:strRef>
          </c:tx>
          <c:spPr>
            <a:ln>
              <a:solidFill>
                <a:schemeClr val="tx2">
                  <a:lumMod val="40000"/>
                  <a:lumOff val="60000"/>
                </a:schemeClr>
              </a:solidFill>
            </a:ln>
          </c:spPr>
          <c:marker>
            <c:symbol val="none"/>
          </c:marker>
          <c:cat>
            <c:numRef>
              <c:f>'[PR-HEADLINE-CARCVOUT2012.xls]PR-12MONTH-charts'!$C$7:$BV$7</c:f>
              <c:numCache>
                <c:formatCode>General</c:formatCode>
                <c:ptCount val="72"/>
                <c:pt idx="0">
                  <c:v>2007</c:v>
                </c:pt>
                <c:pt idx="12">
                  <c:v>2008</c:v>
                </c:pt>
                <c:pt idx="24">
                  <c:v>2009</c:v>
                </c:pt>
                <c:pt idx="36">
                  <c:v>2010</c:v>
                </c:pt>
                <c:pt idx="48">
                  <c:v>2011</c:v>
                </c:pt>
                <c:pt idx="60">
                  <c:v>2012</c:v>
                </c:pt>
              </c:numCache>
            </c:numRef>
          </c:cat>
          <c:val>
            <c:numRef>
              <c:f>'[PR-HEADLINE-CARCVOUT2012.xls]PR-12MONTH-charts'!$C$9:$BV$9</c:f>
              <c:numCache>
                <c:formatCode>General</c:formatCode>
                <c:ptCount val="72"/>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142.72899999999998</c:v>
                </c:pt>
                <c:pt idx="21">
                  <c:v>136.85100000000014</c:v>
                </c:pt>
                <c:pt idx="22">
                  <c:v>130.52600000000001</c:v>
                </c:pt>
                <c:pt idx="23">
                  <c:v>125.611</c:v>
                </c:pt>
                <c:pt idx="24">
                  <c:v>119.71899999999999</c:v>
                </c:pt>
                <c:pt idx="25">
                  <c:v>112.473</c:v>
                </c:pt>
                <c:pt idx="26">
                  <c:v>106.93700000000007</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70.181999999999988</c:v>
                </c:pt>
                <c:pt idx="38">
                  <c:v>72.653999999999982</c:v>
                </c:pt>
                <c:pt idx="39">
                  <c:v>73.804999999999993</c:v>
                </c:pt>
                <c:pt idx="40">
                  <c:v>77.438000000000002</c:v>
                </c:pt>
                <c:pt idx="41">
                  <c:v>78.872999999999948</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69.375999999999948</c:v>
                </c:pt>
                <c:pt idx="60">
                  <c:v>69.414000000000087</c:v>
                </c:pt>
                <c:pt idx="61">
                  <c:v>68.712999999999994</c:v>
                </c:pt>
                <c:pt idx="62">
                  <c:v>66.611000000000004</c:v>
                </c:pt>
                <c:pt idx="63">
                  <c:v>67.027000000000001</c:v>
                </c:pt>
              </c:numCache>
            </c:numRef>
          </c:val>
        </c:ser>
        <c:marker val="1"/>
        <c:axId val="33963392"/>
        <c:axId val="33997952"/>
      </c:lineChart>
      <c:catAx>
        <c:axId val="33963392"/>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33997952"/>
        <c:crosses val="autoZero"/>
        <c:auto val="1"/>
        <c:lblAlgn val="ctr"/>
        <c:lblOffset val="100"/>
        <c:tickMarkSkip val="12"/>
      </c:catAx>
      <c:valAx>
        <c:axId val="33997952"/>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33963392"/>
        <c:crosses val="autoZero"/>
        <c:crossBetween val="between"/>
        <c:majorUnit val="50"/>
      </c:valAx>
    </c:plotArea>
    <c:legend>
      <c:legendPos val="r"/>
      <c:layout>
        <c:manualLayout>
          <c:xMode val="edge"/>
          <c:yMode val="edge"/>
          <c:x val="4.8110127087786884E-2"/>
          <c:y val="2.8571478396132787E-2"/>
          <c:w val="0.93814747821184463"/>
          <c:h val="0.10000017438646495"/>
        </c:manualLayout>
      </c:layout>
      <c:txPr>
        <a:bodyPr/>
        <a:lstStyle/>
        <a:p>
          <a:pPr>
            <a:defRPr sz="59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FA7F-3A66-47B3-8084-D47D4285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1622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monted</cp:lastModifiedBy>
  <cp:revision>3</cp:revision>
  <cp:lastPrinted>2012-05-16T12:05:00Z</cp:lastPrinted>
  <dcterms:created xsi:type="dcterms:W3CDTF">2012-05-16T12:21:00Z</dcterms:created>
  <dcterms:modified xsi:type="dcterms:W3CDTF">2012-05-16T12:21:00Z</dcterms:modified>
</cp:coreProperties>
</file>