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tblCellSpacing w:w="0" w:type="dxa"/>
        <w:tblCellMar>
          <w:left w:w="0" w:type="dxa"/>
          <w:right w:w="0" w:type="dxa"/>
        </w:tblCellMar>
        <w:tblLook w:val="04A0"/>
      </w:tblPr>
      <w:tblGrid>
        <w:gridCol w:w="8301"/>
        <w:gridCol w:w="29"/>
      </w:tblGrid>
      <w:tr w:rsidR="009B3ADF" w:rsidTr="009B3ADF">
        <w:trPr>
          <w:tblCellSpacing w:w="0" w:type="dxa"/>
          <w:jc w:val="center"/>
        </w:trPr>
        <w:tc>
          <w:tcPr>
            <w:tcW w:w="5000" w:type="pct"/>
            <w:gridSpan w:val="2"/>
            <w:tcMar>
              <w:top w:w="12" w:type="dxa"/>
              <w:left w:w="12" w:type="dxa"/>
              <w:bottom w:w="12" w:type="dxa"/>
              <w:right w:w="12" w:type="dxa"/>
            </w:tcMar>
            <w:vAlign w:val="center"/>
          </w:tcPr>
          <w:tbl>
            <w:tblPr>
              <w:tblW w:w="5000" w:type="pct"/>
              <w:tblCellSpacing w:w="0" w:type="dxa"/>
              <w:tblCellMar>
                <w:left w:w="0" w:type="dxa"/>
                <w:right w:w="0" w:type="dxa"/>
              </w:tblCellMar>
              <w:tblLook w:val="04A0"/>
            </w:tblPr>
            <w:tblGrid>
              <w:gridCol w:w="8306"/>
            </w:tblGrid>
            <w:tr w:rsidR="009B3ADF">
              <w:trPr>
                <w:tblCellSpacing w:w="0" w:type="dxa"/>
              </w:trPr>
              <w:tc>
                <w:tcPr>
                  <w:tcW w:w="0" w:type="auto"/>
                  <w:vAlign w:val="bottom"/>
                  <w:hideMark/>
                </w:tcPr>
                <w:p w:rsidR="009B3ADF" w:rsidRDefault="009B3ADF">
                  <w:pPr>
                    <w:spacing w:after="240"/>
                    <w:jc w:val="center"/>
                  </w:pP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9B3ADF" w:rsidRDefault="009B3ADF">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8306"/>
            </w:tblGrid>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spacing w:after="120"/>
                    <w:rPr>
                      <w:rFonts w:ascii="Arial" w:hAnsi="Arial" w:cs="Arial"/>
                      <w:color w:val="FFFFFF"/>
                      <w:sz w:val="28"/>
                      <w:szCs w:val="28"/>
                    </w:rPr>
                  </w:pPr>
                  <w:r>
                    <w:rPr>
                      <w:rStyle w:val="Strong"/>
                      <w:rFonts w:ascii="Arial" w:hAnsi="Arial" w:cs="Arial"/>
                      <w:color w:val="000000"/>
                      <w:sz w:val="28"/>
                      <w:szCs w:val="28"/>
                    </w:rPr>
                    <w:t>Welcome</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0"/>
                      <w:szCs w:val="20"/>
                    </w:rPr>
                  </w:pPr>
                  <w:r>
                    <w:rPr>
                      <w:noProof/>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9"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 xml:space="preserve">Today saw the launch of government's </w:t>
                  </w:r>
                  <w:r>
                    <w:rPr>
                      <w:rFonts w:ascii="Arial" w:hAnsi="Arial" w:cs="Arial"/>
                      <w:sz w:val="20"/>
                      <w:szCs w:val="20"/>
                    </w:rPr>
                    <w:t>‘</w:t>
                  </w:r>
                  <w:r>
                    <w:rPr>
                      <w:rFonts w:ascii="Arial" w:hAnsi="Arial" w:cs="Arial"/>
                      <w:color w:val="000000"/>
                      <w:sz w:val="20"/>
                      <w:szCs w:val="20"/>
                    </w:rPr>
                    <w:t>See Inside Manufacturing</w:t>
                  </w:r>
                  <w:r>
                    <w:rPr>
                      <w:rFonts w:ascii="Arial" w:hAnsi="Arial" w:cs="Arial"/>
                      <w:sz w:val="20"/>
                      <w:szCs w:val="20"/>
                    </w:rPr>
                    <w:t>’</w:t>
                  </w:r>
                  <w:r>
                    <w:rPr>
                      <w:rFonts w:ascii="Arial" w:hAnsi="Arial" w:cs="Arial"/>
                      <w:color w:val="000000"/>
                      <w:sz w:val="20"/>
                      <w:szCs w:val="20"/>
                    </w:rPr>
                    <w:t xml:space="preserve"> initiative, which has the commitment of nearly 30 UK automotive companies to open their doors to young people across the country, offering a behind the scenes look at modern manufacturing and encouraging the next generation of automotive engineers. Skills and training also formed the basis of debate at the latest All-Party Parliamentary Motor Group on Tuesday at which SMMT urged MPs to encourage investment in skills and training and help raise awareness of automotive job opportunities. With the Budget less than two weeks away, SMMT also made its submission to the Chancellor requesting a range of measures to ensure the UK sees sustained growth, aligned with a rebalancing of the economy. Included in the submission were calls for a freeze on fuel duty, greater clarity on motoring taxes </w:t>
                  </w:r>
                  <w:r>
                    <w:rPr>
                      <w:rFonts w:ascii="Arial" w:hAnsi="Arial" w:cs="Arial"/>
                      <w:sz w:val="20"/>
                      <w:szCs w:val="20"/>
                    </w:rPr>
                    <w:t xml:space="preserve">and improved access to finance for UK businesses. </w:t>
                  </w:r>
                </w:p>
                <w:p w:rsidR="009B3ADF" w:rsidRDefault="009B3AD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ADF" w:rsidRDefault="009B3ADF" w:rsidP="009B3ADF">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w:t>
                  </w:r>
                  <w:r>
                    <w:rPr>
                      <w:rFonts w:ascii="Arial" w:hAnsi="Arial" w:cs="Arial"/>
                      <w:color w:val="000000"/>
                      <w:sz w:val="18"/>
                      <w:szCs w:val="18"/>
                    </w:rPr>
                    <w:t>SMMT</w:t>
                  </w:r>
                  <w:r>
                    <w:rPr>
                      <w:rFonts w:ascii="Arial" w:hAnsi="Arial" w:cs="Arial"/>
                      <w:color w:val="000000"/>
                      <w:sz w:val="20"/>
                      <w:szCs w:val="20"/>
                    </w:rPr>
                    <w:t xml:space="preserve"> </w:t>
                  </w:r>
                  <w:r>
                    <w:rPr>
                      <w:rFonts w:ascii="Arial" w:hAnsi="Arial" w:cs="Arial"/>
                      <w:color w:val="000000"/>
                      <w:sz w:val="18"/>
                      <w:szCs w:val="18"/>
                    </w:rPr>
                    <w:t>Chief Executive, Paul Everitt</w:t>
                  </w:r>
                </w:p>
                <w:p w:rsidR="009B3ADF" w:rsidRDefault="009B3ADF" w:rsidP="009B3ADF">
                  <w:pPr>
                    <w:pStyle w:val="NormalWeb"/>
                    <w:spacing w:before="0" w:beforeAutospacing="0" w:after="0" w:afterAutospacing="0"/>
                    <w:rPr>
                      <w:rFonts w:ascii="Arial" w:hAnsi="Arial" w:cs="Arial"/>
                      <w:color w:val="000000"/>
                      <w:sz w:val="20"/>
                      <w:szCs w:val="20"/>
                    </w:rPr>
                  </w:pPr>
                </w:p>
              </w:tc>
            </w:tr>
          </w:tbl>
          <w:p w:rsidR="009B3ADF" w:rsidRDefault="009B3ADF"/>
        </w:tc>
      </w:tr>
      <w:tr w:rsidR="009B3ADF" w:rsidTr="009B3ADF">
        <w:trPr>
          <w:tblCellSpacing w:w="0" w:type="dxa"/>
          <w:jc w:val="center"/>
        </w:trPr>
        <w:tc>
          <w:tcPr>
            <w:tcW w:w="0" w:type="auto"/>
            <w:shd w:val="clear" w:color="auto" w:fill="FFFFFF"/>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5683"/>
              <w:gridCol w:w="2594"/>
            </w:tblGrid>
            <w:tr w:rsidR="009B3ADF">
              <w:trPr>
                <w:tblCellSpacing w:w="0" w:type="dxa"/>
              </w:trPr>
              <w:tc>
                <w:tcPr>
                  <w:tcW w:w="5000" w:type="pct"/>
                  <w:gridSpan w:val="2"/>
                  <w:shd w:val="clear" w:color="auto" w:fill="FFFFFF"/>
                  <w:hideMark/>
                </w:tcPr>
                <w:p w:rsidR="009B3ADF" w:rsidRDefault="009B3ADF">
                  <w:pPr>
                    <w:rPr>
                      <w:rFonts w:asciiTheme="minorHAnsi" w:eastAsiaTheme="minorEastAsia" w:hAnsiTheme="minorHAnsi" w:cstheme="minorBidi"/>
                      <w:sz w:val="22"/>
                      <w:szCs w:val="22"/>
                    </w:rPr>
                  </w:pPr>
                </w:p>
              </w:tc>
            </w:tr>
            <w:tr w:rsidR="009B3ADF">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5683"/>
                  </w:tblGrid>
                  <w:tr w:rsidR="009B3ADF">
                    <w:trPr>
                      <w:tblCellSpacing w:w="0" w:type="dxa"/>
                    </w:trPr>
                    <w:tc>
                      <w:tcPr>
                        <w:tcW w:w="5280" w:type="dxa"/>
                        <w:tcMar>
                          <w:top w:w="84" w:type="dxa"/>
                          <w:left w:w="84" w:type="dxa"/>
                          <w:bottom w:w="84" w:type="dxa"/>
                          <w:right w:w="84" w:type="dxa"/>
                        </w:tcMar>
                        <w:vAlign w:val="center"/>
                      </w:tcPr>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b/>
                                  <w:bCs/>
                                  <w:color w:val="000000"/>
                                  <w:sz w:val="28"/>
                                  <w:szCs w:val="28"/>
                                </w:rPr>
                              </w:pPr>
                              <w:bookmarkStart w:id="1" w:name="LETTER.BLOCK34"/>
                              <w:r>
                                <w:rPr>
                                  <w:rFonts w:ascii="Arial" w:hAnsi="Arial" w:cs="Arial"/>
                                  <w:b/>
                                  <w:bCs/>
                                  <w:color w:val="000000"/>
                                  <w:sz w:val="28"/>
                                  <w:szCs w:val="28"/>
                                </w:rPr>
                                <w:t xml:space="preserve">UK automotive calls for Budget to back business </w:t>
                              </w:r>
                              <w:bookmarkEnd w:id="1"/>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0"/>
                                  <w:szCs w:val="20"/>
                                </w:rPr>
                              </w:pPr>
                              <w:r>
                                <w:rPr>
                                  <w:rFonts w:ascii="Arial" w:hAnsi="Arial" w:cs="Arial"/>
                                  <w:color w:val="000000"/>
                                  <w:sz w:val="20"/>
                                  <w:szCs w:val="20"/>
                                </w:rPr>
                                <w:t>The UK motor industry</w:t>
                              </w:r>
                              <w:r>
                                <w:rPr>
                                  <w:rFonts w:ascii="Arial" w:hAnsi="Arial" w:cs="Arial"/>
                                  <w:sz w:val="20"/>
                                  <w:szCs w:val="20"/>
                                </w:rPr>
                                <w:t>’</w:t>
                              </w:r>
                              <w:r>
                                <w:rPr>
                                  <w:rFonts w:ascii="Arial" w:hAnsi="Arial" w:cs="Arial"/>
                                  <w:color w:val="000000"/>
                                  <w:sz w:val="20"/>
                                  <w:szCs w:val="20"/>
                                </w:rPr>
                                <w:t>s Budget submission to the Chancellor calls for measures to encourage recovery, assist business growth and boost consumer confidence. SMMT expects consistent growth across the automotive sector by 2012 but to ensure and sustain this, positive government action is essential."The manufacturing sector is leading economic recovery and government must use this Budget to sustain and enhance this position,</w:t>
                              </w:r>
                              <w:r>
                                <w:rPr>
                                  <w:rFonts w:ascii="Arial" w:hAnsi="Arial" w:cs="Arial"/>
                                  <w:sz w:val="20"/>
                                  <w:szCs w:val="20"/>
                                </w:rPr>
                                <w:t>”</w:t>
                              </w:r>
                              <w:r>
                                <w:rPr>
                                  <w:rFonts w:ascii="Arial" w:hAnsi="Arial" w:cs="Arial"/>
                                  <w:color w:val="000000"/>
                                  <w:sz w:val="20"/>
                                  <w:szCs w:val="20"/>
                                </w:rPr>
                                <w:t xml:space="preserve"> said SMMT Chief Executive, Paul Everitt. </w:t>
                              </w:r>
                              <w:r>
                                <w:rPr>
                                  <w:rFonts w:ascii="Arial" w:hAnsi="Arial" w:cs="Arial"/>
                                  <w:sz w:val="20"/>
                                  <w:szCs w:val="20"/>
                                </w:rPr>
                                <w:t>“</w:t>
                              </w:r>
                              <w:r>
                                <w:rPr>
                                  <w:rFonts w:ascii="Arial" w:hAnsi="Arial" w:cs="Arial"/>
                                  <w:color w:val="000000"/>
                                  <w:sz w:val="20"/>
                                  <w:szCs w:val="20"/>
                                </w:rPr>
                                <w:t>It comes at a critical time for UK automotive and we're urging government to deliver the right mix of supportive policies to secure sustainable growth and strengthen the role of the UK as a leading developer, producer and exporter of automotive products.</w:t>
                              </w:r>
                              <w:r>
                                <w:rPr>
                                  <w:rFonts w:ascii="Arial" w:hAnsi="Arial" w:cs="Arial"/>
                                  <w:sz w:val="20"/>
                                  <w:szCs w:val="20"/>
                                </w:rPr>
                                <w:t>”</w:t>
                              </w:r>
                              <w:r>
                                <w:rPr>
                                  <w:rFonts w:ascii="Arial" w:hAnsi="Arial" w:cs="Arial"/>
                                  <w:color w:val="000000"/>
                                  <w:sz w:val="20"/>
                                  <w:szCs w:val="20"/>
                                </w:rPr>
                                <w:t xml:space="preserve"> </w:t>
                              </w:r>
                              <w:r>
                                <w:rPr>
                                  <w:rFonts w:ascii="Arial" w:hAnsi="Arial" w:cs="Arial"/>
                                  <w:sz w:val="20"/>
                                  <w:szCs w:val="20"/>
                                </w:rPr>
                                <w:t xml:space="preserve">SMMT called for certainty on motoring taxes, a freeze on fuel duty and measures to support business investment and access to finance. To read more click </w:t>
                              </w:r>
                              <w:hyperlink r:id="rId6" w:tgtFrame="_blank" w:history="1">
                                <w:r>
                                  <w:rPr>
                                    <w:rStyle w:val="Hyperlink"/>
                                    <w:rFonts w:ascii="Arial" w:hAnsi="Arial" w:cs="Arial"/>
                                    <w:sz w:val="20"/>
                                    <w:szCs w:val="20"/>
                                  </w:rPr>
                                  <w:t>here</w:t>
                                </w:r>
                              </w:hyperlink>
                              <w:r>
                                <w:rPr>
                                  <w:rFonts w:ascii="Arial" w:hAnsi="Arial" w:cs="Arial"/>
                                  <w:sz w:val="20"/>
                                  <w:szCs w:val="20"/>
                                </w:rPr>
                                <w:t xml:space="preserve">. </w:t>
                              </w:r>
                            </w:p>
                          </w:tc>
                        </w:tr>
                      </w:tbl>
                      <w:p w:rsidR="009B3ADF" w:rsidRDefault="009B3ADF">
                        <w:pPr>
                          <w:rPr>
                            <w:vanish/>
                          </w:rPr>
                        </w:pPr>
                        <w:bookmarkStart w:id="2" w:name="LETTER.BLOCK40"/>
                        <w:bookmarkEnd w:id="2"/>
                      </w:p>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8"/>
                                  <w:szCs w:val="28"/>
                                </w:rPr>
                              </w:pPr>
                              <w:r>
                                <w:rPr>
                                  <w:rStyle w:val="Strong"/>
                                  <w:rFonts w:ascii="Arial" w:hAnsi="Arial" w:cs="Arial"/>
                                  <w:sz w:val="28"/>
                                  <w:szCs w:val="28"/>
                                </w:rPr>
                                <w:t xml:space="preserve">SMMT Open Forum: Vehicle and component makers, 30 March </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Van, truck, trailer, bus and component manufacturers and bodybuilders are invited to attend a free SMMT Open Forum on Wednesday 30 March at the NEC Birmingham, to discuss aspects of the UK's supply chain, the work of the Automotive Council and the latest CV and Off-Road vehicle </w:t>
                              </w:r>
                              <w:r>
                                <w:rPr>
                                  <w:rFonts w:ascii="Arial" w:hAnsi="Arial" w:cs="Arial"/>
                                  <w:sz w:val="20"/>
                                  <w:szCs w:val="20"/>
                                </w:rPr>
                                <w:t>‘</w:t>
                              </w:r>
                              <w:r>
                                <w:rPr>
                                  <w:rFonts w:ascii="Arial" w:hAnsi="Arial" w:cs="Arial"/>
                                  <w:color w:val="000000"/>
                                  <w:sz w:val="20"/>
                                  <w:szCs w:val="20"/>
                                </w:rPr>
                                <w:t>Technology Road Map</w:t>
                              </w:r>
                              <w:r>
                                <w:rPr>
                                  <w:rFonts w:ascii="Arial" w:hAnsi="Arial" w:cs="Arial"/>
                                  <w:sz w:val="20"/>
                                  <w:szCs w:val="20"/>
                                </w:rPr>
                                <w:t>’</w:t>
                              </w:r>
                              <w:r>
                                <w:rPr>
                                  <w:rFonts w:ascii="Arial" w:hAnsi="Arial" w:cs="Arial"/>
                                  <w:color w:val="000000"/>
                                  <w:sz w:val="20"/>
                                  <w:szCs w:val="20"/>
                                </w:rPr>
                                <w:t xml:space="preserve">. Attendees will be offered greater insight into respective manufacturing sectors through presentations from Lars </w:t>
                              </w:r>
                              <w:proofErr w:type="spellStart"/>
                              <w:r>
                                <w:rPr>
                                  <w:rFonts w:ascii="Arial" w:hAnsi="Arial" w:cs="Arial"/>
                                  <w:color w:val="000000"/>
                                  <w:sz w:val="20"/>
                                  <w:szCs w:val="20"/>
                                </w:rPr>
                                <w:t>Holmqvist</w:t>
                              </w:r>
                              <w:proofErr w:type="spellEnd"/>
                              <w:r>
                                <w:rPr>
                                  <w:rFonts w:ascii="Arial" w:hAnsi="Arial" w:cs="Arial"/>
                                  <w:color w:val="000000"/>
                                  <w:sz w:val="20"/>
                                  <w:szCs w:val="20"/>
                                </w:rPr>
                                <w:t xml:space="preserve">, Chief Executive Officer, CLEPA and Neville Jackson of the Automotive Council Technology Group with industry analysis from Ian Henry, Director of </w:t>
                              </w:r>
                              <w:proofErr w:type="spellStart"/>
                              <w:r>
                                <w:rPr>
                                  <w:rFonts w:ascii="Arial" w:hAnsi="Arial" w:cs="Arial"/>
                                  <w:color w:val="000000"/>
                                  <w:sz w:val="20"/>
                                  <w:szCs w:val="20"/>
                                </w:rPr>
                                <w:t>AutoAnalysis</w:t>
                              </w:r>
                              <w:proofErr w:type="spellEnd"/>
                              <w:r>
                                <w:rPr>
                                  <w:rFonts w:ascii="Arial" w:hAnsi="Arial" w:cs="Arial"/>
                                  <w:color w:val="000000"/>
                                  <w:sz w:val="20"/>
                                  <w:szCs w:val="20"/>
                                </w:rPr>
                                <w:t xml:space="preserve"> and independent Analyst, Peter Symons. The event is one in </w:t>
                              </w:r>
                              <w:r>
                                <w:rPr>
                                  <w:rFonts w:ascii="Arial" w:hAnsi="Arial" w:cs="Arial"/>
                                  <w:color w:val="000000"/>
                                  <w:sz w:val="20"/>
                                  <w:szCs w:val="20"/>
                                </w:rPr>
                                <w:lastRenderedPageBreak/>
                                <w:t xml:space="preserve">a series of Open Forums, which will offer the latest on component and CV manufacturing, as well as offering new business opportunities for attendees. Paul Everitt will chair the closing Q&amp;A session. Places are limited and offered on a first come first served basis. To attend, contact Claire Balch </w:t>
                              </w:r>
                              <w:hyperlink r:id="rId7" w:tgtFrame="_blank" w:history="1">
                                <w:r>
                                  <w:rPr>
                                    <w:rStyle w:val="Hyperlink"/>
                                    <w:rFonts w:ascii="Arial" w:hAnsi="Arial" w:cs="Arial"/>
                                    <w:sz w:val="20"/>
                                    <w:szCs w:val="20"/>
                                  </w:rPr>
                                  <w:t>cbalch@smmt.co.uk</w:t>
                                </w:r>
                              </w:hyperlink>
                              <w:r>
                                <w:rPr>
                                  <w:rFonts w:ascii="Verdana" w:hAnsi="Verdana"/>
                                  <w:color w:val="000000"/>
                                  <w:sz w:val="20"/>
                                  <w:szCs w:val="20"/>
                                </w:rPr>
                                <w:t>. </w:t>
                              </w:r>
                              <w:r>
                                <w:rPr>
                                  <w:rFonts w:ascii="Arial" w:hAnsi="Arial" w:cs="Arial"/>
                                  <w:color w:val="000000"/>
                                  <w:sz w:val="20"/>
                                  <w:szCs w:val="20"/>
                                </w:rPr>
                                <w:t> </w:t>
                              </w:r>
                            </w:p>
                          </w:tc>
                        </w:tr>
                      </w:tbl>
                      <w:p w:rsidR="009B3ADF" w:rsidRDefault="009B3ADF">
                        <w:pPr>
                          <w:rPr>
                            <w:vanish/>
                          </w:rPr>
                        </w:pPr>
                        <w:bookmarkStart w:id="3" w:name="LETTER.BLOCK39"/>
                        <w:bookmarkEnd w:id="3"/>
                      </w:p>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8"/>
                                  <w:szCs w:val="28"/>
                                </w:rPr>
                              </w:pPr>
                              <w:r>
                                <w:rPr>
                                  <w:rStyle w:val="Strong"/>
                                  <w:rFonts w:ascii="Arial" w:hAnsi="Arial" w:cs="Arial"/>
                                  <w:sz w:val="28"/>
                                  <w:szCs w:val="28"/>
                                </w:rPr>
                                <w:t xml:space="preserve">SMMT says strengthening skills is key to growing UK economy </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a paper published by SMMT this week, titled </w:t>
                              </w:r>
                              <w:r>
                                <w:rPr>
                                  <w:rFonts w:ascii="Arial" w:hAnsi="Arial" w:cs="Arial"/>
                                  <w:i/>
                                  <w:iCs/>
                                  <w:sz w:val="20"/>
                                  <w:szCs w:val="20"/>
                                </w:rPr>
                                <w:t>‘</w:t>
                              </w:r>
                              <w:r>
                                <w:rPr>
                                  <w:rFonts w:ascii="Arial" w:hAnsi="Arial" w:cs="Arial"/>
                                  <w:i/>
                                  <w:iCs/>
                                  <w:color w:val="000000"/>
                                  <w:sz w:val="20"/>
                                  <w:szCs w:val="20"/>
                                </w:rPr>
                                <w:t>Strengthening Skills for a Growing Economy</w:t>
                              </w:r>
                              <w:r>
                                <w:rPr>
                                  <w:rFonts w:ascii="Arial" w:hAnsi="Arial" w:cs="Arial"/>
                                  <w:i/>
                                  <w:iCs/>
                                  <w:sz w:val="20"/>
                                  <w:szCs w:val="20"/>
                                </w:rPr>
                                <w:t>’</w:t>
                              </w:r>
                              <w:r>
                                <w:rPr>
                                  <w:rFonts w:ascii="Arial" w:hAnsi="Arial" w:cs="Arial"/>
                                  <w:i/>
                                  <w:iCs/>
                                  <w:color w:val="000000"/>
                                  <w:sz w:val="20"/>
                                  <w:szCs w:val="20"/>
                                </w:rPr>
                                <w:t xml:space="preserve">, </w:t>
                              </w:r>
                              <w:r>
                                <w:rPr>
                                  <w:rFonts w:ascii="Arial" w:hAnsi="Arial" w:cs="Arial"/>
                                  <w:color w:val="000000"/>
                                  <w:sz w:val="20"/>
                                  <w:szCs w:val="20"/>
                                </w:rPr>
                                <w:t xml:space="preserve">the automotive industry has called on government to implement policies that will boost skills in industry and attract young people towards careers in the automotive sector. Discussed at an All-Party Parliamentary Motor Group, the paper highlights the importance of developing skills within the motor industry as part of wider economic growth and rebalancing of UK economy. </w:t>
                              </w:r>
                              <w:r>
                                <w:rPr>
                                  <w:rFonts w:ascii="Arial" w:hAnsi="Arial" w:cs="Arial"/>
                                  <w:sz w:val="20"/>
                                  <w:szCs w:val="20"/>
                                </w:rPr>
                                <w:t>“</w:t>
                              </w:r>
                              <w:r>
                                <w:rPr>
                                  <w:rFonts w:ascii="Arial" w:hAnsi="Arial" w:cs="Arial"/>
                                  <w:color w:val="000000"/>
                                  <w:sz w:val="20"/>
                                  <w:szCs w:val="20"/>
                                </w:rPr>
                                <w:t>The motor industry heavily invests in its employees and looks to government to provide a skills policy which can support the future growth potential, build expertise and strengthen competitiveness,</w:t>
                              </w:r>
                              <w:r>
                                <w:rPr>
                                  <w:rFonts w:ascii="Arial" w:hAnsi="Arial" w:cs="Arial"/>
                                  <w:sz w:val="20"/>
                                  <w:szCs w:val="20"/>
                                </w:rPr>
                                <w:t>”</w:t>
                              </w:r>
                              <w:r>
                                <w:rPr>
                                  <w:rFonts w:ascii="Arial" w:hAnsi="Arial" w:cs="Arial"/>
                                  <w:color w:val="000000"/>
                                  <w:sz w:val="20"/>
                                  <w:szCs w:val="20"/>
                                </w:rPr>
                                <w:t xml:space="preserve"> said Paul Everitt. To read more click </w:t>
                              </w:r>
                              <w:hyperlink r:id="rId8"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9B3ADF" w:rsidRDefault="009B3ADF">
                        <w:pPr>
                          <w:rPr>
                            <w:vanish/>
                          </w:rPr>
                        </w:pPr>
                        <w:bookmarkStart w:id="4" w:name="LETTER.BLOCK3"/>
                        <w:bookmarkEnd w:id="4"/>
                      </w:p>
                      <w:tbl>
                        <w:tblPr>
                          <w:tblW w:w="5000" w:type="pct"/>
                          <w:tblCellSpacing w:w="0" w:type="dxa"/>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BIS launches 'See Inside Manufacturing' to inspire automotive careers</w:t>
                              </w:r>
                            </w:p>
                          </w:tc>
                        </w:tr>
                        <w:tr w:rsidR="009B3ADF">
                          <w:trPr>
                            <w:tblCellSpacing w:w="0" w:type="dxa"/>
                          </w:trPr>
                          <w:tc>
                            <w:tcPr>
                              <w:tcW w:w="0" w:type="auto"/>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UK automotive sector will spearhead government</w:t>
                              </w:r>
                              <w:r>
                                <w:rPr>
                                  <w:rFonts w:ascii="Arial" w:hAnsi="Arial" w:cs="Arial"/>
                                  <w:sz w:val="20"/>
                                  <w:szCs w:val="20"/>
                                </w:rPr>
                                <w:t>’</w:t>
                              </w:r>
                              <w:r>
                                <w:rPr>
                                  <w:rFonts w:ascii="Arial" w:hAnsi="Arial" w:cs="Arial"/>
                                  <w:color w:val="000000"/>
                                  <w:sz w:val="20"/>
                                  <w:szCs w:val="20"/>
                                </w:rPr>
                                <w:t xml:space="preserve">s </w:t>
                              </w:r>
                              <w:r>
                                <w:rPr>
                                  <w:rFonts w:ascii="Arial" w:hAnsi="Arial" w:cs="Arial"/>
                                  <w:sz w:val="20"/>
                                  <w:szCs w:val="20"/>
                                </w:rPr>
                                <w:t>‘</w:t>
                              </w:r>
                              <w:r>
                                <w:rPr>
                                  <w:rFonts w:ascii="Arial" w:hAnsi="Arial" w:cs="Arial"/>
                                  <w:color w:val="000000"/>
                                  <w:sz w:val="20"/>
                                  <w:szCs w:val="20"/>
                                </w:rPr>
                                <w:t>See Inside Manufacturing</w:t>
                              </w:r>
                              <w:r>
                                <w:rPr>
                                  <w:rFonts w:ascii="Arial" w:hAnsi="Arial" w:cs="Arial"/>
                                  <w:sz w:val="20"/>
                                  <w:szCs w:val="20"/>
                                </w:rPr>
                                <w:t>’</w:t>
                              </w:r>
                              <w:r>
                                <w:rPr>
                                  <w:rFonts w:ascii="Arial" w:hAnsi="Arial" w:cs="Arial"/>
                                  <w:color w:val="000000"/>
                                  <w:sz w:val="20"/>
                                  <w:szCs w:val="20"/>
                                </w:rPr>
                                <w:t xml:space="preserve"> initiative with today's announcement that it will be the first sector to get involved. As part of See Inside Manufacturing, nearly 30 companies will throw open their doors in October to enable school children and students to look behind the scenes at what a career in manufacturing or engineering can offer. In June there will be a number of co-ordinated regional events to promote the open days through teachers and career advisers. </w:t>
                              </w:r>
                              <w:r>
                                <w:rPr>
                                  <w:rFonts w:ascii="Arial" w:hAnsi="Arial" w:cs="Arial"/>
                                  <w:sz w:val="20"/>
                                  <w:szCs w:val="20"/>
                                </w:rPr>
                                <w:t>“</w:t>
                              </w:r>
                              <w:r>
                                <w:rPr>
                                  <w:rFonts w:ascii="Arial" w:hAnsi="Arial" w:cs="Arial"/>
                                  <w:color w:val="000000"/>
                                  <w:sz w:val="20"/>
                                  <w:szCs w:val="20"/>
                                </w:rPr>
                                <w:t>Young people buy and use the latest gadgets and products but we also need them to think how exciting it could be to design, engineer or make them too,</w:t>
                              </w:r>
                              <w:r>
                                <w:rPr>
                                  <w:rFonts w:ascii="Arial" w:hAnsi="Arial" w:cs="Arial"/>
                                  <w:sz w:val="20"/>
                                  <w:szCs w:val="20"/>
                                </w:rPr>
                                <w:t>”</w:t>
                              </w:r>
                              <w:r>
                                <w:rPr>
                                  <w:rFonts w:ascii="Arial" w:hAnsi="Arial" w:cs="Arial"/>
                                  <w:color w:val="000000"/>
                                  <w:sz w:val="20"/>
                                  <w:szCs w:val="20"/>
                                </w:rPr>
                                <w:t xml:space="preserve"> said Business Secretary, Vince Cable. To read more click </w:t>
                              </w:r>
                              <w:hyperlink r:id="rId9"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9B3ADF" w:rsidRDefault="009B3ADF">
                        <w:pPr>
                          <w:rPr>
                            <w:vanish/>
                          </w:rPr>
                        </w:pPr>
                        <w:bookmarkStart w:id="5" w:name="LETTER.BLOCK42"/>
                        <w:bookmarkEnd w:id="5"/>
                      </w:p>
                      <w:tbl>
                        <w:tblPr>
                          <w:tblW w:w="5000" w:type="pct"/>
                          <w:tblCellSpacing w:w="0" w:type="dxa"/>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 xml:space="preserve">UKTI hosts UK/China business exchange delegation </w:t>
                              </w:r>
                            </w:p>
                          </w:tc>
                        </w:tr>
                        <w:tr w:rsidR="009B3ADF">
                          <w:trPr>
                            <w:tblCellSpacing w:w="0" w:type="dxa"/>
                          </w:trPr>
                          <w:tc>
                            <w:tcPr>
                              <w:tcW w:w="0" w:type="auto"/>
                              <w:tcMar>
                                <w:top w:w="24" w:type="dxa"/>
                                <w:left w:w="24" w:type="dxa"/>
                                <w:bottom w:w="24" w:type="dxa"/>
                                <w:right w:w="24" w:type="dxa"/>
                              </w:tcMar>
                              <w:vAlign w:val="center"/>
                              <w:hideMark/>
                            </w:tcPr>
                            <w:p w:rsidR="009B3ADF" w:rsidRDefault="009B3AD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 major Chinese aerospace and automotive delegation will visit the Heritage Motor Centre Museum, on 9-13 May 2011 to take part in a series of UK/China and business meetings. Hosted by UKTI, the event will offer UK companies the opportunity to meet key business and technical contacts in major Chinese aerospace and automotive companies. Prospective Chinese companies attending include major AVIC companies, such as the Chinese Association of Automotive Manufacturers (CAAM), </w:t>
                              </w:r>
                              <w:proofErr w:type="spellStart"/>
                              <w:r>
                                <w:rPr>
                                  <w:rFonts w:ascii="Arial" w:hAnsi="Arial" w:cs="Arial"/>
                                  <w:color w:val="000000"/>
                                  <w:sz w:val="20"/>
                                  <w:szCs w:val="20"/>
                                </w:rPr>
                                <w:t>Changan</w:t>
                              </w:r>
                              <w:proofErr w:type="spellEnd"/>
                              <w:r>
                                <w:rPr>
                                  <w:rFonts w:ascii="Arial" w:hAnsi="Arial" w:cs="Arial"/>
                                  <w:color w:val="000000"/>
                                  <w:sz w:val="20"/>
                                  <w:szCs w:val="20"/>
                                </w:rPr>
                                <w:t xml:space="preserve">, </w:t>
                              </w:r>
                              <w:proofErr w:type="spellStart"/>
                              <w:r>
                                <w:rPr>
                                  <w:rFonts w:ascii="Arial" w:hAnsi="Arial" w:cs="Arial"/>
                                  <w:color w:val="000000"/>
                                  <w:sz w:val="20"/>
                                  <w:szCs w:val="20"/>
                                </w:rPr>
                                <w:t>DongFeng</w:t>
                              </w:r>
                              <w:proofErr w:type="spellEnd"/>
                              <w:r>
                                <w:rPr>
                                  <w:rFonts w:ascii="Arial" w:hAnsi="Arial" w:cs="Arial"/>
                                  <w:color w:val="000000"/>
                                  <w:sz w:val="20"/>
                                  <w:szCs w:val="20"/>
                                </w:rPr>
                                <w:t xml:space="preserve">, First Automotive Works, SAIC, BYD and Guangzhou Automotive. There will be workshops and presentations for UK companies looking to begin trading in the Far East. Tickets cost £95+ VAT. To book tickets contact Jack Bailey, </w:t>
                              </w:r>
                              <w:hyperlink r:id="rId10" w:tgtFrame="_blank" w:history="1">
                                <w:r>
                                  <w:rPr>
                                    <w:rStyle w:val="Hyperlink"/>
                                    <w:rFonts w:ascii="Arial" w:hAnsi="Arial" w:cs="Arial"/>
                                    <w:sz w:val="20"/>
                                    <w:szCs w:val="20"/>
                                  </w:rPr>
                                  <w:t>jack@btob.co.uk</w:t>
                                </w:r>
                              </w:hyperlink>
                              <w:r>
                                <w:rPr>
                                  <w:rFonts w:ascii="Arial" w:hAnsi="Arial" w:cs="Arial"/>
                                  <w:color w:val="000000"/>
                                  <w:sz w:val="20"/>
                                  <w:szCs w:val="20"/>
                                </w:rPr>
                                <w:t xml:space="preserve"> or 0207 700 0008.</w:t>
                              </w:r>
                            </w:p>
                          </w:tc>
                        </w:tr>
                      </w:tbl>
                      <w:p w:rsidR="009B3ADF" w:rsidRDefault="009B3ADF">
                        <w:pPr>
                          <w:rPr>
                            <w:vanish/>
                          </w:rPr>
                        </w:pPr>
                        <w:bookmarkStart w:id="6" w:name="LETTER.BLOCK38"/>
                        <w:bookmarkEnd w:id="6"/>
                      </w:p>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Verdana" w:hAnsi="Verdana"/>
                                  <w:sz w:val="28"/>
                                  <w:szCs w:val="28"/>
                                </w:rPr>
                              </w:pPr>
                              <w:r>
                                <w:rPr>
                                  <w:rStyle w:val="Strong"/>
                                  <w:rFonts w:ascii="Arial" w:hAnsi="Arial" w:cs="Arial"/>
                                  <w:color w:val="000000"/>
                                  <w:sz w:val="28"/>
                                  <w:szCs w:val="28"/>
                                </w:rPr>
                                <w:t xml:space="preserve">SMMT Dealer Energy Efficiency Guide </w:t>
                              </w:r>
                              <w:proofErr w:type="spellStart"/>
                              <w:r>
                                <w:rPr>
                                  <w:rStyle w:val="Strong"/>
                                  <w:rFonts w:ascii="Arial" w:hAnsi="Arial" w:cs="Arial"/>
                                  <w:color w:val="000000"/>
                                  <w:sz w:val="28"/>
                                  <w:szCs w:val="28"/>
                                </w:rPr>
                                <w:lastRenderedPageBreak/>
                                <w:t>webinar</w:t>
                              </w:r>
                              <w:proofErr w:type="spellEnd"/>
                              <w:r>
                                <w:rPr>
                                  <w:rStyle w:val="Strong"/>
                                  <w:rFonts w:ascii="Arial" w:hAnsi="Arial" w:cs="Arial"/>
                                  <w:color w:val="000000"/>
                                  <w:sz w:val="28"/>
                                  <w:szCs w:val="28"/>
                                </w:rPr>
                                <w:t xml:space="preserve"> </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SMMT will host a </w:t>
                              </w:r>
                              <w:r>
                                <w:rPr>
                                  <w:rFonts w:ascii="Arial" w:hAnsi="Arial" w:cs="Arial"/>
                                  <w:sz w:val="20"/>
                                  <w:szCs w:val="20"/>
                                </w:rPr>
                                <w:t>‘</w:t>
                              </w:r>
                              <w:r>
                                <w:rPr>
                                  <w:rFonts w:ascii="Arial" w:hAnsi="Arial" w:cs="Arial"/>
                                  <w:i/>
                                  <w:iCs/>
                                  <w:color w:val="000000"/>
                                  <w:sz w:val="20"/>
                                  <w:szCs w:val="20"/>
                                </w:rPr>
                                <w:t>Dealer Energy Efficiency Guide</w:t>
                              </w:r>
                              <w:r>
                                <w:rPr>
                                  <w:rFonts w:ascii="Arial" w:hAnsi="Arial" w:cs="Arial"/>
                                  <w:i/>
                                  <w:iCs/>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on 7 April, 14:30-15:00, providing guidance for dealers on reducing energy use, CO</w:t>
                              </w:r>
                              <w:r>
                                <w:rPr>
                                  <w:rFonts w:ascii="Arial" w:hAnsi="Arial" w:cs="Arial"/>
                                  <w:color w:val="000000"/>
                                  <w:sz w:val="20"/>
                                  <w:szCs w:val="20"/>
                                  <w:vertAlign w:val="subscript"/>
                                </w:rPr>
                                <w:t>2</w:t>
                              </w:r>
                              <w:r>
                                <w:rPr>
                                  <w:rFonts w:ascii="Arial" w:hAnsi="Arial" w:cs="Arial"/>
                                  <w:color w:val="000000"/>
                                  <w:sz w:val="20"/>
                                  <w:szCs w:val="20"/>
                                </w:rPr>
                                <w:t xml:space="preserve"> emissions and ultimately cutting costs. The session will expand on a seven-step action plan outlined in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w:t>
                              </w:r>
                              <w:r>
                                <w:rPr>
                                  <w:rFonts w:ascii="Arial" w:hAnsi="Arial" w:cs="Arial"/>
                                  <w:sz w:val="20"/>
                                  <w:szCs w:val="20"/>
                                </w:rPr>
                                <w:t>‘</w:t>
                              </w:r>
                              <w:r>
                                <w:rPr>
                                  <w:rStyle w:val="Emphasis"/>
                                  <w:rFonts w:ascii="Arial" w:hAnsi="Arial" w:cs="Arial"/>
                                  <w:color w:val="000000"/>
                                  <w:sz w:val="20"/>
                                  <w:szCs w:val="20"/>
                                </w:rPr>
                                <w:t>Dealer Energy Efficiency Guide'</w:t>
                              </w:r>
                              <w:r>
                                <w:rPr>
                                  <w:rFonts w:ascii="Arial" w:hAnsi="Arial" w:cs="Arial"/>
                                  <w:color w:val="000000"/>
                                  <w:sz w:val="20"/>
                                  <w:szCs w:val="20"/>
                                </w:rPr>
                                <w:t xml:space="preserve">, produced in conjunction with the RMI and the Carbon Trust, which will be launched on 29 March. Paul Everitt will chair the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and writer of the Guide, John </w:t>
                              </w:r>
                              <w:proofErr w:type="spellStart"/>
                              <w:r>
                                <w:rPr>
                                  <w:rFonts w:ascii="Arial" w:hAnsi="Arial" w:cs="Arial"/>
                                  <w:color w:val="000000"/>
                                  <w:sz w:val="20"/>
                                  <w:szCs w:val="20"/>
                                </w:rPr>
                                <w:t>Mulholland</w:t>
                              </w:r>
                              <w:proofErr w:type="spellEnd"/>
                              <w:r>
                                <w:rPr>
                                  <w:rFonts w:ascii="Arial" w:hAnsi="Arial" w:cs="Arial"/>
                                  <w:color w:val="000000"/>
                                  <w:sz w:val="20"/>
                                  <w:szCs w:val="20"/>
                                </w:rPr>
                                <w:t xml:space="preserve">, Director, NIFES Consulting Group, will make a presentation, which will be followed by a short Q&amp;A session with the audience. To register </w:t>
                              </w:r>
                              <w:hyperlink r:id="rId11" w:tgtFrame="_blank" w:history="1">
                                <w:r>
                                  <w:rPr>
                                    <w:rStyle w:val="Hyperlink"/>
                                    <w:rFonts w:ascii="Arial" w:hAnsi="Arial" w:cs="Arial"/>
                                    <w:color w:val="800080"/>
                                    <w:sz w:val="20"/>
                                    <w:szCs w:val="20"/>
                                  </w:rPr>
                                  <w:t>click here</w:t>
                                </w:r>
                              </w:hyperlink>
                              <w:r>
                                <w:rPr>
                                  <w:rFonts w:ascii="Verdana" w:hAnsi="Verdana"/>
                                  <w:color w:val="000000"/>
                                  <w:sz w:val="20"/>
                                  <w:szCs w:val="20"/>
                                </w:rPr>
                                <w:t>.</w:t>
                              </w:r>
                            </w:p>
                          </w:tc>
                        </w:tr>
                      </w:tbl>
                      <w:p w:rsidR="009B3ADF" w:rsidRDefault="009B3ADF">
                        <w:pPr>
                          <w:rPr>
                            <w:vanish/>
                          </w:rPr>
                        </w:pPr>
                        <w:bookmarkStart w:id="7" w:name="LETTER.BLOCK28"/>
                        <w:bookmarkEnd w:id="7"/>
                      </w:p>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8"/>
                                  <w:szCs w:val="28"/>
                                </w:rPr>
                              </w:pPr>
                              <w:r>
                                <w:rPr>
                                  <w:rStyle w:val="Strong"/>
                                  <w:rFonts w:ascii="Arial" w:hAnsi="Arial" w:cs="Arial"/>
                                  <w:sz w:val="28"/>
                                  <w:szCs w:val="28"/>
                                </w:rPr>
                                <w:t>‘</w:t>
                              </w:r>
                              <w:r>
                                <w:rPr>
                                  <w:rStyle w:val="Strong"/>
                                  <w:rFonts w:ascii="Arial" w:hAnsi="Arial" w:cs="Arial"/>
                                  <w:color w:val="000000"/>
                                  <w:sz w:val="28"/>
                                  <w:szCs w:val="28"/>
                                </w:rPr>
                                <w:t>Meet the Buyer</w:t>
                              </w:r>
                              <w:r>
                                <w:rPr>
                                  <w:rStyle w:val="Strong"/>
                                  <w:rFonts w:ascii="Arial" w:hAnsi="Arial" w:cs="Arial"/>
                                  <w:sz w:val="28"/>
                                  <w:szCs w:val="28"/>
                                </w:rPr>
                                <w:t>’</w:t>
                              </w:r>
                              <w:r>
                                <w:rPr>
                                  <w:rStyle w:val="Strong"/>
                                  <w:rFonts w:ascii="Arial" w:hAnsi="Arial" w:cs="Arial"/>
                                  <w:color w:val="000000"/>
                                  <w:sz w:val="28"/>
                                  <w:szCs w:val="28"/>
                                </w:rPr>
                                <w:t xml:space="preserve"> networking event</w:t>
                              </w:r>
                              <w:r>
                                <w:rPr>
                                  <w:color w:val="000000"/>
                                  <w:sz w:val="28"/>
                                  <w:szCs w:val="28"/>
                                </w:rPr>
                                <w:t> </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0"/>
                                  <w:szCs w:val="20"/>
                                </w:rPr>
                              </w:pPr>
                              <w:r>
                                <w:rPr>
                                  <w:rFonts w:ascii="Arial" w:hAnsi="Arial" w:cs="Arial"/>
                                  <w:sz w:val="20"/>
                                  <w:szCs w:val="20"/>
                                </w:rPr>
                                <w:t>SMMT has confirmed 5 April 2011 as the date for its second</w:t>
                              </w:r>
                              <w:r>
                                <w:rPr>
                                  <w:rFonts w:ascii="Arial" w:hAnsi="Arial" w:cs="Arial"/>
                                  <w:color w:val="000000"/>
                                  <w:sz w:val="20"/>
                                  <w:szCs w:val="20"/>
                                </w:rPr>
                                <w:t>.</w:t>
                              </w:r>
                              <w:r>
                                <w:rPr>
                                  <w:rFonts w:ascii="Arial" w:hAnsi="Arial" w:cs="Arial"/>
                                  <w:sz w:val="20"/>
                                  <w:szCs w:val="20"/>
                                </w:rPr>
                                <w:t xml:space="preserve"> ‘Meet the Buyer’ event, to take place at the Heritage Motor Centre in Warwickshire. The event will match OEM and tier one demand with capable UK-based suppliers. </w:t>
                              </w:r>
                              <w:r>
                                <w:rPr>
                                  <w:rFonts w:ascii="Arial" w:hAnsi="Arial" w:cs="Arial"/>
                                  <w:color w:val="000000"/>
                                  <w:sz w:val="20"/>
                                  <w:szCs w:val="20"/>
                                </w:rPr>
                                <w:t xml:space="preserve">Buying requirements from major OEMs including Aston Martin, BMW, Ford, General Motors, Honda, Jaguar Land Rover, Leyland Trucks and Nissan will be matched with suppliers from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Automotive Supplier Finder (ASF) directory, according to product and service capabilities. Additionally, the event will facilitate tier one, two and three business networking, with key businesses including </w:t>
                              </w:r>
                              <w:r>
                                <w:rPr>
                                  <w:rFonts w:ascii="Arial" w:hAnsi="Arial" w:cs="Arial"/>
                                  <w:sz w:val="20"/>
                                  <w:szCs w:val="20"/>
                                </w:rPr>
                                <w:t>Aisin, BWI Group,</w:t>
                              </w:r>
                              <w:r>
                                <w:rPr>
                                  <w:rFonts w:ascii="Arial" w:hAnsi="Arial" w:cs="Arial"/>
                                  <w:color w:val="000000"/>
                                  <w:sz w:val="20"/>
                                  <w:szCs w:val="20"/>
                                </w:rPr>
                                <w:t xml:space="preserve"> Calsonic Kansai, CAT-Perkins Engines, </w:t>
                              </w:r>
                              <w:proofErr w:type="spellStart"/>
                              <w:r>
                                <w:rPr>
                                  <w:rFonts w:ascii="Arial" w:hAnsi="Arial" w:cs="Arial"/>
                                  <w:sz w:val="20"/>
                                  <w:szCs w:val="20"/>
                                </w:rPr>
                                <w:t>Faurecia</w:t>
                              </w:r>
                              <w:proofErr w:type="spellEnd"/>
                              <w:r>
                                <w:rPr>
                                  <w:rFonts w:ascii="Arial" w:hAnsi="Arial" w:cs="Arial"/>
                                  <w:sz w:val="20"/>
                                  <w:szCs w:val="20"/>
                                </w:rPr>
                                <w:t>, Futaba Industrial,</w:t>
                              </w:r>
                              <w:r>
                                <w:rPr>
                                  <w:rFonts w:ascii="Arial" w:hAnsi="Arial" w:cs="Arial"/>
                                  <w:color w:val="000000"/>
                                  <w:sz w:val="20"/>
                                  <w:szCs w:val="20"/>
                                </w:rPr>
                                <w:t xml:space="preserve"> Futaba Tenneco, GKN Driveline, </w:t>
                              </w:r>
                              <w:r>
                                <w:rPr>
                                  <w:rFonts w:ascii="Arial" w:hAnsi="Arial" w:cs="Arial"/>
                                  <w:sz w:val="20"/>
                                  <w:szCs w:val="20"/>
                                </w:rPr>
                                <w:t xml:space="preserve">Koito, </w:t>
                              </w:r>
                              <w:proofErr w:type="spellStart"/>
                              <w:r>
                                <w:rPr>
                                  <w:rFonts w:ascii="Arial" w:hAnsi="Arial" w:cs="Arial"/>
                                  <w:sz w:val="20"/>
                                  <w:szCs w:val="20"/>
                                </w:rPr>
                                <w:t>Kostal,Toyoda</w:t>
                              </w:r>
                              <w:proofErr w:type="spellEnd"/>
                              <w:r>
                                <w:rPr>
                                  <w:rFonts w:ascii="Arial" w:hAnsi="Arial" w:cs="Arial"/>
                                  <w:sz w:val="20"/>
                                  <w:szCs w:val="20"/>
                                </w:rPr>
                                <w:t xml:space="preserve"> </w:t>
                              </w:r>
                              <w:proofErr w:type="spellStart"/>
                              <w:r>
                                <w:rPr>
                                  <w:rFonts w:ascii="Arial" w:hAnsi="Arial" w:cs="Arial"/>
                                  <w:sz w:val="20"/>
                                  <w:szCs w:val="20"/>
                                </w:rPr>
                                <w:t>Gosei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Unipart</w:t>
                              </w:r>
                              <w:proofErr w:type="spellEnd"/>
                              <w:r>
                                <w:rPr>
                                  <w:rFonts w:ascii="Arial" w:hAnsi="Arial" w:cs="Arial"/>
                                  <w:color w:val="000000"/>
                                  <w:sz w:val="20"/>
                                  <w:szCs w:val="20"/>
                                </w:rPr>
                                <w:t xml:space="preserve"> already confirmed to take part. Invites are being issued to suppliers that match the specified buying requirements. To view the list of OEM's 74 required commodities or tier one suppliers' 64 required commodities, contact Nikki </w:t>
                              </w:r>
                              <w:proofErr w:type="spellStart"/>
                              <w:r>
                                <w:rPr>
                                  <w:rFonts w:ascii="Arial" w:hAnsi="Arial" w:cs="Arial"/>
                                  <w:color w:val="000000"/>
                                  <w:sz w:val="20"/>
                                  <w:szCs w:val="20"/>
                                </w:rPr>
                                <w:t>Hugget</w:t>
                              </w:r>
                              <w:proofErr w:type="spellEnd"/>
                              <w:r>
                                <w:rPr>
                                  <w:rFonts w:ascii="Arial" w:hAnsi="Arial" w:cs="Arial"/>
                                  <w:color w:val="000000"/>
                                  <w:sz w:val="20"/>
                                  <w:szCs w:val="20"/>
                                </w:rPr>
                                <w:t xml:space="preserve">, </w:t>
                              </w:r>
                              <w:hyperlink r:id="rId12" w:tgtFrame="_blank" w:history="1">
                                <w:r>
                                  <w:rPr>
                                    <w:rStyle w:val="Hyperlink"/>
                                    <w:rFonts w:ascii="Arial" w:hAnsi="Arial" w:cs="Arial"/>
                                    <w:sz w:val="20"/>
                                    <w:szCs w:val="20"/>
                                  </w:rPr>
                                  <w:t>nhuggett@smmt.co.uk</w:t>
                                </w:r>
                              </w:hyperlink>
                              <w:r>
                                <w:rPr>
                                  <w:rFonts w:ascii="Arial" w:hAnsi="Arial" w:cs="Arial"/>
                                  <w:color w:val="000000"/>
                                  <w:sz w:val="20"/>
                                  <w:szCs w:val="20"/>
                                </w:rPr>
                                <w:t>, 020 7344 1611.</w:t>
                              </w:r>
                            </w:p>
                          </w:tc>
                        </w:tr>
                      </w:tbl>
                      <w:p w:rsidR="009B3ADF" w:rsidRDefault="009B3ADF">
                        <w:pPr>
                          <w:rPr>
                            <w:vanish/>
                          </w:rPr>
                        </w:pPr>
                        <w:bookmarkStart w:id="8" w:name="LETTER.BLOCK41"/>
                        <w:bookmarkEnd w:id="8"/>
                      </w:p>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Disruptive technologies in low carbon briefing event </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0"/>
                                  <w:szCs w:val="20"/>
                                </w:rPr>
                              </w:pPr>
                              <w:r>
                                <w:rPr>
                                  <w:rFonts w:ascii="Arial" w:hAnsi="Arial" w:cs="Arial"/>
                                  <w:sz w:val="20"/>
                                  <w:szCs w:val="20"/>
                                </w:rPr>
                                <w:t xml:space="preserve">Following the Technology Strategy Board’s (TSB) announcement last month that £9m in funding will be made available to low-carbon R&amp;D projects an event, outlining the entry qualifications for prospective companies and individuals interested in submitting a proposal, will take place on 16 March at the Palace Hotel, Manchester from 09:30-12:30. Specifically, the funding project is looking for feasibility studies and up to £8m is aimed at collaborative research and development into disruptive technology and research. Project costs are expected to be no more than £100k in total, attracting funding of up to £75k. To attend click </w:t>
                              </w:r>
                              <w:hyperlink r:id="rId13" w:tgtFrame="_blank" w:history="1">
                                <w:r>
                                  <w:rPr>
                                    <w:rStyle w:val="Hyperlink"/>
                                    <w:rFonts w:ascii="Arial" w:hAnsi="Arial" w:cs="Arial"/>
                                    <w:sz w:val="20"/>
                                    <w:szCs w:val="20"/>
                                  </w:rPr>
                                  <w:t>here</w:t>
                                </w:r>
                              </w:hyperlink>
                              <w:r>
                                <w:rPr>
                                  <w:rFonts w:ascii="Arial" w:hAnsi="Arial" w:cs="Arial"/>
                                  <w:sz w:val="20"/>
                                  <w:szCs w:val="20"/>
                                </w:rPr>
                                <w:t>.  </w:t>
                              </w:r>
                            </w:p>
                          </w:tc>
                        </w:tr>
                      </w:tbl>
                      <w:p w:rsidR="009B3ADF" w:rsidRDefault="009B3ADF">
                        <w:pPr>
                          <w:rPr>
                            <w:vanish/>
                          </w:rPr>
                        </w:pPr>
                        <w:bookmarkStart w:id="9" w:name="LETTER.BLOCK32"/>
                        <w:bookmarkEnd w:id="9"/>
                      </w:p>
                      <w:tbl>
                        <w:tblPr>
                          <w:tblW w:w="5000" w:type="pct"/>
                          <w:tblCellSpacing w:w="0" w:type="dxa"/>
                          <w:shd w:val="clear" w:color="auto" w:fill="FFFFFF"/>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b/>
                                  <w:bCs/>
                                  <w:color w:val="000000"/>
                                  <w:sz w:val="28"/>
                                  <w:szCs w:val="28"/>
                                </w:rPr>
                              </w:pPr>
                              <w:proofErr w:type="spellStart"/>
                              <w:r>
                                <w:rPr>
                                  <w:rFonts w:ascii="Arial" w:hAnsi="Arial" w:cs="Arial"/>
                                  <w:b/>
                                  <w:bCs/>
                                  <w:color w:val="000000"/>
                                  <w:sz w:val="28"/>
                                  <w:szCs w:val="28"/>
                                </w:rPr>
                                <w:t>SMMT's</w:t>
                              </w:r>
                              <w:proofErr w:type="spellEnd"/>
                              <w:r>
                                <w:rPr>
                                  <w:rFonts w:ascii="Arial" w:hAnsi="Arial" w:cs="Arial"/>
                                  <w:b/>
                                  <w:bCs/>
                                  <w:color w:val="000000"/>
                                  <w:sz w:val="28"/>
                                  <w:szCs w:val="28"/>
                                </w:rPr>
                                <w:t xml:space="preserve"> UK Pavilion Group to exhibit at </w:t>
                              </w:r>
                              <w:proofErr w:type="spellStart"/>
                              <w:r>
                                <w:rPr>
                                  <w:rFonts w:ascii="Arial" w:hAnsi="Arial" w:cs="Arial"/>
                                  <w:b/>
                                  <w:bCs/>
                                  <w:color w:val="000000"/>
                                  <w:sz w:val="28"/>
                                  <w:szCs w:val="28"/>
                                </w:rPr>
                                <w:t>Automechanika</w:t>
                              </w:r>
                              <w:proofErr w:type="spellEnd"/>
                              <w:r>
                                <w:rPr>
                                  <w:rFonts w:ascii="Arial" w:hAnsi="Arial" w:cs="Arial"/>
                                  <w:b/>
                                  <w:bCs/>
                                  <w:color w:val="000000"/>
                                  <w:sz w:val="28"/>
                                  <w:szCs w:val="28"/>
                                </w:rPr>
                                <w:t xml:space="preserve"> Moscow </w:t>
                              </w:r>
                            </w:p>
                          </w:tc>
                        </w:tr>
                        <w:tr w:rsidR="009B3ADF">
                          <w:trPr>
                            <w:tblCellSpacing w:w="0" w:type="dxa"/>
                          </w:trPr>
                          <w:tc>
                            <w:tcPr>
                              <w:tcW w:w="0" w:type="auto"/>
                              <w:shd w:val="clear" w:color="auto" w:fill="FFFFFF"/>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sz w:val="20"/>
                                  <w:szCs w:val="20"/>
                                </w:rPr>
                              </w:pPr>
                              <w:proofErr w:type="spellStart"/>
                              <w:r>
                                <w:rPr>
                                  <w:rFonts w:ascii="Arial" w:hAnsi="Arial" w:cs="Arial"/>
                                  <w:sz w:val="20"/>
                                  <w:szCs w:val="20"/>
                                </w:rPr>
                                <w:t>SMMT's</w:t>
                              </w:r>
                              <w:proofErr w:type="spellEnd"/>
                              <w:r>
                                <w:rPr>
                                  <w:rFonts w:ascii="Arial" w:hAnsi="Arial" w:cs="Arial"/>
                                  <w:sz w:val="20"/>
                                  <w:szCs w:val="20"/>
                                </w:rPr>
                                <w:t xml:space="preserve"> UK </w:t>
                              </w:r>
                              <w:proofErr w:type="spellStart"/>
                              <w:r>
                                <w:rPr>
                                  <w:rFonts w:ascii="Arial" w:hAnsi="Arial" w:cs="Arial"/>
                                  <w:sz w:val="20"/>
                                  <w:szCs w:val="20"/>
                                </w:rPr>
                                <w:t>Pavillion</w:t>
                              </w:r>
                              <w:proofErr w:type="spellEnd"/>
                              <w:r>
                                <w:rPr>
                                  <w:rFonts w:ascii="Arial" w:hAnsi="Arial" w:cs="Arial"/>
                                  <w:sz w:val="20"/>
                                  <w:szCs w:val="20"/>
                                </w:rPr>
                                <w:t xml:space="preserve"> Group is to exhibit at this year’s </w:t>
                              </w:r>
                              <w:proofErr w:type="spellStart"/>
                              <w:r>
                                <w:rPr>
                                  <w:rFonts w:ascii="Arial" w:hAnsi="Arial" w:cs="Arial"/>
                                  <w:sz w:val="20"/>
                                  <w:szCs w:val="20"/>
                                </w:rPr>
                                <w:t>Automechanika</w:t>
                              </w:r>
                              <w:proofErr w:type="spellEnd"/>
                              <w:r>
                                <w:rPr>
                                  <w:rFonts w:ascii="Arial" w:hAnsi="Arial" w:cs="Arial"/>
                                  <w:sz w:val="20"/>
                                  <w:szCs w:val="20"/>
                                </w:rPr>
                                <w:t xml:space="preserve"> event, taking place on 24-27 August. This year the Moscow International Motor Show will be a part of this impressive trade event and a limited number of UKTI TAP grants of £1,800 to support exhibitor costs will be available to eligible respondents on a first come, first served basis. For further information contact Ruta Aisthorpe, </w:t>
                              </w:r>
                              <w:hyperlink r:id="rId14" w:tgtFrame="_blank" w:history="1">
                                <w:r>
                                  <w:rPr>
                                    <w:rStyle w:val="Hyperlink"/>
                                    <w:rFonts w:ascii="Arial" w:hAnsi="Arial" w:cs="Arial"/>
                                    <w:sz w:val="20"/>
                                    <w:szCs w:val="20"/>
                                  </w:rPr>
                                  <w:t>raisthorpe@smmt.co.uk</w:t>
                                </w:r>
                              </w:hyperlink>
                              <w:r>
                                <w:rPr>
                                  <w:rFonts w:ascii="Arial" w:hAnsi="Arial" w:cs="Arial"/>
                                  <w:sz w:val="20"/>
                                  <w:szCs w:val="20"/>
                                </w:rPr>
                                <w:t>, 020 7344 9231. </w:t>
                              </w:r>
                            </w:p>
                          </w:tc>
                        </w:tr>
                      </w:tbl>
                      <w:p w:rsidR="009B3ADF" w:rsidRDefault="009B3ADF">
                        <w:pPr>
                          <w:rPr>
                            <w:vanish/>
                          </w:rPr>
                        </w:pPr>
                        <w:bookmarkStart w:id="10" w:name="LETTER.BLOCK17"/>
                        <w:bookmarkEnd w:id="10"/>
                      </w:p>
                      <w:tbl>
                        <w:tblPr>
                          <w:tblW w:w="5000" w:type="pct"/>
                          <w:tblCellSpacing w:w="0" w:type="dxa"/>
                          <w:tblCellMar>
                            <w:left w:w="0" w:type="dxa"/>
                            <w:right w:w="0" w:type="dxa"/>
                          </w:tblCellMar>
                          <w:tblLook w:val="04A0"/>
                        </w:tblPr>
                        <w:tblGrid>
                          <w:gridCol w:w="5515"/>
                        </w:tblGrid>
                        <w:tr w:rsidR="009B3ADF">
                          <w:trPr>
                            <w:tblCellSpacing w:w="0" w:type="dxa"/>
                          </w:trPr>
                          <w:tc>
                            <w:tcPr>
                              <w:tcW w:w="0" w:type="auto"/>
                              <w:shd w:val="clear" w:color="auto" w:fill="D4DDE6"/>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Verdana" w:hAnsi="Verdana"/>
                                  <w:color w:val="000000"/>
                                  <w:sz w:val="28"/>
                                  <w:szCs w:val="28"/>
                                </w:rPr>
                              </w:pPr>
                              <w:r>
                                <w:rPr>
                                  <w:rFonts w:ascii="Arial" w:hAnsi="Arial" w:cs="Arial"/>
                                  <w:b/>
                                  <w:bCs/>
                                  <w:color w:val="000000"/>
                                  <w:sz w:val="28"/>
                                  <w:szCs w:val="28"/>
                                </w:rPr>
                                <w:lastRenderedPageBreak/>
                                <w:t>Week in Westminster and Brussels</w:t>
                              </w:r>
                            </w:p>
                          </w:tc>
                        </w:tr>
                        <w:tr w:rsidR="009B3ADF">
                          <w:trPr>
                            <w:tblCellSpacing w:w="0" w:type="dxa"/>
                          </w:trPr>
                          <w:tc>
                            <w:tcPr>
                              <w:tcW w:w="0" w:type="auto"/>
                              <w:tcMar>
                                <w:top w:w="24" w:type="dxa"/>
                                <w:left w:w="24" w:type="dxa"/>
                                <w:bottom w:w="24" w:type="dxa"/>
                                <w:right w:w="24" w:type="dxa"/>
                              </w:tcMar>
                              <w:vAlign w:val="center"/>
                              <w:hideMark/>
                            </w:tcPr>
                            <w:p w:rsidR="009B3ADF" w:rsidRDefault="009B3ADF">
                              <w:pPr>
                                <w:pStyle w:val="NormalWeb"/>
                                <w:spacing w:before="0" w:beforeAutospacing="0" w:after="0" w:afterAutospacing="0"/>
                                <w:rPr>
                                  <w:rFonts w:ascii="Arial" w:hAnsi="Arial" w:cs="Arial"/>
                                  <w:color w:val="285685"/>
                                  <w:sz w:val="20"/>
                                  <w:szCs w:val="20"/>
                                </w:rPr>
                              </w:pPr>
                              <w:r>
                                <w:rPr>
                                  <w:rFonts w:ascii="Arial" w:hAnsi="Arial" w:cs="Arial"/>
                                  <w:color w:val="000000"/>
                                  <w:sz w:val="20"/>
                                  <w:szCs w:val="20"/>
                                </w:rPr>
                                <w:t xml:space="preserve">In Westminster this week, the latest </w:t>
                              </w:r>
                              <w:r>
                                <w:rPr>
                                  <w:rFonts w:ascii="Arial" w:hAnsi="Arial" w:cs="Arial"/>
                                  <w:sz w:val="20"/>
                                  <w:szCs w:val="20"/>
                                </w:rPr>
                                <w:t>‘</w:t>
                              </w:r>
                              <w:r>
                                <w:rPr>
                                  <w:rFonts w:ascii="Arial" w:hAnsi="Arial" w:cs="Arial"/>
                                  <w:color w:val="000000"/>
                                  <w:sz w:val="20"/>
                                  <w:szCs w:val="20"/>
                                </w:rPr>
                                <w:t>Manufacturing Outlook</w:t>
                              </w:r>
                              <w:r>
                                <w:rPr>
                                  <w:rFonts w:ascii="Arial" w:hAnsi="Arial" w:cs="Arial"/>
                                  <w:sz w:val="20"/>
                                  <w:szCs w:val="20"/>
                                </w:rPr>
                                <w:t>’</w:t>
                              </w:r>
                              <w:r>
                                <w:rPr>
                                  <w:rFonts w:ascii="Arial" w:hAnsi="Arial" w:cs="Arial"/>
                                  <w:color w:val="000000"/>
                                  <w:sz w:val="20"/>
                                  <w:szCs w:val="20"/>
                                </w:rPr>
                                <w:t> survey conducted by EEF, the manufacturers</w:t>
                              </w:r>
                              <w:r>
                                <w:rPr>
                                  <w:rFonts w:ascii="Arial" w:hAnsi="Arial" w:cs="Arial"/>
                                  <w:sz w:val="20"/>
                                  <w:szCs w:val="20"/>
                                </w:rPr>
                                <w:t>’</w:t>
                              </w:r>
                              <w:r>
                                <w:rPr>
                                  <w:rFonts w:ascii="Arial" w:hAnsi="Arial" w:cs="Arial"/>
                                  <w:color w:val="000000"/>
                                  <w:sz w:val="20"/>
                                  <w:szCs w:val="20"/>
                                </w:rPr>
                                <w:t xml:space="preserve"> organisation, and BDO, the accountancy firm, has shown that manufacturing has maintained strong growth. According to the survey, Q1 brings a better than expected quarter of activity, however EEF has also warned that behind the overall recovery picture, there is growing uncertainty about the location and scale of these capital investment plans which are critical to sustaining growth and competitiveness. To read more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 xml:space="preserve">. </w:t>
                              </w:r>
                            </w:p>
                            <w:p w:rsidR="009B3ADF" w:rsidRDefault="009B3ADF">
                              <w:pPr>
                                <w:pStyle w:val="NormalWeb"/>
                                <w:spacing w:before="0" w:beforeAutospacing="0" w:after="0" w:afterAutospacing="0"/>
                                <w:rPr>
                                  <w:rFonts w:ascii="Arial" w:hAnsi="Arial" w:cs="Arial"/>
                                  <w:color w:val="285685"/>
                                  <w:sz w:val="20"/>
                                  <w:szCs w:val="20"/>
                                </w:rPr>
                              </w:pPr>
                              <w:r>
                                <w:rPr>
                                  <w:rFonts w:ascii="Arial" w:hAnsi="Arial" w:cs="Arial"/>
                                  <w:color w:val="285685"/>
                                  <w:sz w:val="20"/>
                                  <w:szCs w:val="20"/>
                                </w:rPr>
                                <w:t> </w:t>
                              </w:r>
                            </w:p>
                            <w:p w:rsidR="009B3ADF" w:rsidRDefault="009B3ADF">
                              <w:pPr>
                                <w:pStyle w:val="NormalWeb"/>
                                <w:spacing w:before="0" w:beforeAutospacing="0" w:after="0" w:afterAutospacing="0"/>
                                <w:rPr>
                                  <w:rFonts w:ascii="Arial" w:hAnsi="Arial" w:cs="Arial"/>
                                  <w:color w:val="285685"/>
                                  <w:sz w:val="20"/>
                                  <w:szCs w:val="20"/>
                                </w:rPr>
                              </w:pPr>
                              <w:r>
                                <w:rPr>
                                  <w:rFonts w:ascii="Arial" w:hAnsi="Arial" w:cs="Arial"/>
                                  <w:color w:val="000000"/>
                                  <w:sz w:val="20"/>
                                  <w:szCs w:val="20"/>
                                </w:rPr>
                                <w:t xml:space="preserve">In Brussels this week, the European Commission released a communication entitled "A roadmap for moving to a low carbon economy in 2050." The note sets out key elements that could shape the </w:t>
                              </w:r>
                              <w:proofErr w:type="spellStart"/>
                              <w:r>
                                <w:rPr>
                                  <w:rFonts w:ascii="Arial" w:hAnsi="Arial" w:cs="Arial"/>
                                  <w:color w:val="000000"/>
                                  <w:sz w:val="20"/>
                                  <w:szCs w:val="20"/>
                                </w:rPr>
                                <w:t>EU's</w:t>
                              </w:r>
                              <w:proofErr w:type="spellEnd"/>
                              <w:r>
                                <w:rPr>
                                  <w:rFonts w:ascii="Arial" w:hAnsi="Arial" w:cs="Arial"/>
                                  <w:color w:val="000000"/>
                                  <w:sz w:val="20"/>
                                  <w:szCs w:val="20"/>
                                </w:rPr>
                                <w:t xml:space="preserve"> climate action in order to become a low carbon economy by 2050. The Commission believes that innovative solutions are required to mobilise investments in energy, transport, and information and communication technologies, and that more focus is needed on energy efficiency policies. The transition towards a low carbon economy means that the EU should prepare for reductions in its domestic emissions by 80% by 2050 compared to 1990. To read more click </w:t>
                              </w:r>
                              <w:hyperlink r:id="rId16"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9B3ADF" w:rsidRDefault="009B3ADF"/>
                    </w:tc>
                  </w:tr>
                  <w:tr w:rsidR="009B3ADF">
                    <w:trPr>
                      <w:tblCellSpacing w:w="0" w:type="dxa"/>
                    </w:trPr>
                    <w:tc>
                      <w:tcPr>
                        <w:tcW w:w="5000" w:type="pct"/>
                        <w:shd w:val="clear" w:color="auto" w:fill="FFFFFF"/>
                        <w:tcMar>
                          <w:top w:w="84" w:type="dxa"/>
                          <w:left w:w="84" w:type="dxa"/>
                          <w:bottom w:w="84" w:type="dxa"/>
                          <w:right w:w="84" w:type="dxa"/>
                        </w:tcMar>
                        <w:hideMark/>
                      </w:tcPr>
                      <w:p w:rsidR="009B3ADF" w:rsidRDefault="009B3ADF">
                        <w:pPr>
                          <w:rPr>
                            <w:rFonts w:asciiTheme="minorHAnsi" w:eastAsiaTheme="minorEastAsia" w:hAnsiTheme="minorHAnsi" w:cstheme="minorBidi"/>
                            <w:sz w:val="22"/>
                            <w:szCs w:val="22"/>
                          </w:rPr>
                        </w:pPr>
                      </w:p>
                    </w:tc>
                  </w:tr>
                </w:tbl>
                <w:p w:rsidR="009B3ADF" w:rsidRDefault="009B3ADF">
                  <w:pPr>
                    <w:rPr>
                      <w:rFonts w:asciiTheme="minorHAnsi" w:eastAsiaTheme="minorEastAsia" w:hAnsiTheme="minorHAnsi" w:cstheme="minorBidi"/>
                      <w:sz w:val="22"/>
                      <w:szCs w:val="22"/>
                    </w:rPr>
                  </w:pPr>
                </w:p>
              </w:tc>
              <w:tc>
                <w:tcPr>
                  <w:tcW w:w="0" w:type="auto"/>
                  <w:shd w:val="clear" w:color="auto" w:fill="FFFFFF"/>
                  <w:hideMark/>
                </w:tcPr>
                <w:tbl>
                  <w:tblPr>
                    <w:tblW w:w="1920" w:type="dxa"/>
                    <w:tblCellSpacing w:w="0" w:type="dxa"/>
                    <w:tblCellMar>
                      <w:left w:w="0" w:type="dxa"/>
                      <w:right w:w="0" w:type="dxa"/>
                    </w:tblCellMar>
                    <w:tblLook w:val="04A0"/>
                  </w:tblPr>
                  <w:tblGrid>
                    <w:gridCol w:w="2412"/>
                  </w:tblGrid>
                  <w:tr w:rsidR="009B3ADF">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12"/>
                        </w:tblGrid>
                        <w:tr w:rsidR="009B3ADF">
                          <w:trPr>
                            <w:tblCellSpacing w:w="0" w:type="dxa"/>
                          </w:trPr>
                          <w:tc>
                            <w:tcPr>
                              <w:tcW w:w="5000" w:type="pct"/>
                              <w:shd w:val="clear" w:color="auto" w:fill="FFFFFF"/>
                              <w:tcMar>
                                <w:top w:w="24" w:type="dxa"/>
                                <w:left w:w="24" w:type="dxa"/>
                                <w:bottom w:w="24" w:type="dxa"/>
                                <w:right w:w="24" w:type="dxa"/>
                              </w:tcMar>
                              <w:vAlign w:val="center"/>
                              <w:hideMark/>
                            </w:tcPr>
                            <w:p w:rsidR="009B3ADF" w:rsidRDefault="009B3ADF">
                              <w:pPr>
                                <w:spacing w:after="120"/>
                                <w:jc w:val="center"/>
                                <w:rPr>
                                  <w:rFonts w:ascii="Verdana" w:hAnsi="Verdana"/>
                                  <w:color w:val="EDEDED"/>
                                  <w:sz w:val="20"/>
                                  <w:szCs w:val="20"/>
                                </w:rPr>
                              </w:pPr>
                              <w:r>
                                <w:rPr>
                                  <w:rFonts w:ascii="Arial" w:hAnsi="Arial" w:cs="Arial"/>
                                  <w:b/>
                                  <w:bCs/>
                                  <w:color w:val="000000"/>
                                  <w:sz w:val="20"/>
                                  <w:szCs w:val="20"/>
                                </w:rPr>
                                <w:lastRenderedPageBreak/>
                                <w:t>Twitter</w:t>
                              </w:r>
                            </w:p>
                          </w:tc>
                        </w:tr>
                        <w:tr w:rsidR="009B3ADF">
                          <w:trPr>
                            <w:tblCellSpacing w:w="0" w:type="dxa"/>
                          </w:trPr>
                          <w:tc>
                            <w:tcPr>
                              <w:tcW w:w="5000" w:type="pct"/>
                              <w:shd w:val="clear" w:color="auto" w:fill="FFFFFF"/>
                              <w:tcMar>
                                <w:top w:w="120" w:type="dxa"/>
                                <w:left w:w="36" w:type="dxa"/>
                                <w:bottom w:w="24" w:type="dxa"/>
                                <w:right w:w="36" w:type="dxa"/>
                              </w:tcMar>
                              <w:vAlign w:val="center"/>
                              <w:hideMark/>
                            </w:tcPr>
                            <w:p w:rsidR="009B3ADF" w:rsidRDefault="009B3ADF">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2" name="Picture 2"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9B3ADF" w:rsidRDefault="009B3ADF">
                        <w:pPr>
                          <w:rPr>
                            <w:vanish/>
                          </w:rPr>
                        </w:pPr>
                      </w:p>
                      <w:tbl>
                        <w:tblPr>
                          <w:tblW w:w="5000" w:type="pct"/>
                          <w:tblCellSpacing w:w="0" w:type="dxa"/>
                          <w:shd w:val="clear" w:color="auto" w:fill="FFFFFF"/>
                          <w:tblCellMar>
                            <w:left w:w="0" w:type="dxa"/>
                            <w:right w:w="0" w:type="dxa"/>
                          </w:tblCellMar>
                          <w:tblLook w:val="04A0"/>
                        </w:tblPr>
                        <w:tblGrid>
                          <w:gridCol w:w="2412"/>
                        </w:tblGrid>
                        <w:tr w:rsidR="009B3ADF">
                          <w:trPr>
                            <w:tblCellSpacing w:w="0" w:type="dxa"/>
                          </w:trPr>
                          <w:tc>
                            <w:tcPr>
                              <w:tcW w:w="5000" w:type="pct"/>
                              <w:shd w:val="clear" w:color="auto" w:fill="FFFFFF"/>
                              <w:tcMar>
                                <w:top w:w="24" w:type="dxa"/>
                                <w:left w:w="24" w:type="dxa"/>
                                <w:bottom w:w="24" w:type="dxa"/>
                                <w:right w:w="24" w:type="dxa"/>
                              </w:tcMar>
                              <w:vAlign w:val="center"/>
                              <w:hideMark/>
                            </w:tcPr>
                            <w:p w:rsidR="009B3ADF" w:rsidRDefault="009B3ADF">
                              <w:pPr>
                                <w:spacing w:after="120"/>
                                <w:jc w:val="center"/>
                                <w:rPr>
                                  <w:rFonts w:ascii="Verdana" w:hAnsi="Verdana"/>
                                  <w:color w:val="EDEDED"/>
                                  <w:sz w:val="20"/>
                                  <w:szCs w:val="20"/>
                                </w:rPr>
                              </w:pPr>
                              <w:r>
                                <w:rPr>
                                  <w:rFonts w:ascii="Arial" w:hAnsi="Arial" w:cs="Arial"/>
                                  <w:b/>
                                  <w:bCs/>
                                  <w:color w:val="000000"/>
                                  <w:sz w:val="20"/>
                                  <w:szCs w:val="20"/>
                                </w:rPr>
                                <w:t>CV Show 2011</w:t>
                              </w:r>
                            </w:p>
                          </w:tc>
                        </w:tr>
                        <w:tr w:rsidR="009B3ADF">
                          <w:trPr>
                            <w:tblCellSpacing w:w="0" w:type="dxa"/>
                          </w:trPr>
                          <w:tc>
                            <w:tcPr>
                              <w:tcW w:w="5000" w:type="pct"/>
                              <w:shd w:val="clear" w:color="auto" w:fill="FFFFFF"/>
                              <w:tcMar>
                                <w:top w:w="120" w:type="dxa"/>
                                <w:left w:w="36" w:type="dxa"/>
                                <w:bottom w:w="24" w:type="dxa"/>
                                <w:right w:w="36" w:type="dxa"/>
                              </w:tcMar>
                              <w:vAlign w:val="center"/>
                              <w:hideMark/>
                            </w:tcPr>
                            <w:p w:rsidR="009B3ADF" w:rsidRDefault="009B3ADF">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38275" cy="504825"/>
                                    <wp:effectExtent l="19050" t="0" r="9525" b="0"/>
                                    <wp:docPr id="3" name="Picture 3" descr="https://origin.ih.constantcontact.com/fs041/1103225665917/img/66.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66.jpg"/>
                                            <pic:cNvPicPr>
                                              <a:picLocks noChangeAspect="1" noChangeArrowheads="1"/>
                                            </pic:cNvPicPr>
                                          </pic:nvPicPr>
                                          <pic:blipFill>
                                            <a:blip r:embed="rId20"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tc>
                        </w:tr>
                      </w:tbl>
                      <w:p w:rsidR="009B3ADF" w:rsidRDefault="009B3ADF">
                        <w:pPr>
                          <w:rPr>
                            <w:vanish/>
                          </w:rPr>
                        </w:pPr>
                      </w:p>
                      <w:tbl>
                        <w:tblPr>
                          <w:tblW w:w="5000" w:type="pct"/>
                          <w:tblCellSpacing w:w="0" w:type="dxa"/>
                          <w:shd w:val="clear" w:color="auto" w:fill="FFFFFF"/>
                          <w:tblCellMar>
                            <w:left w:w="0" w:type="dxa"/>
                            <w:right w:w="0" w:type="dxa"/>
                          </w:tblCellMar>
                          <w:tblLook w:val="04A0"/>
                        </w:tblPr>
                        <w:tblGrid>
                          <w:gridCol w:w="2412"/>
                        </w:tblGrid>
                        <w:tr w:rsidR="009B3ADF">
                          <w:trPr>
                            <w:tblCellSpacing w:w="0" w:type="dxa"/>
                          </w:trPr>
                          <w:tc>
                            <w:tcPr>
                              <w:tcW w:w="5000" w:type="pct"/>
                              <w:shd w:val="clear" w:color="auto" w:fill="FFFFFF"/>
                              <w:tcMar>
                                <w:top w:w="24" w:type="dxa"/>
                                <w:left w:w="24" w:type="dxa"/>
                                <w:bottom w:w="24" w:type="dxa"/>
                                <w:right w:w="24" w:type="dxa"/>
                              </w:tcMar>
                              <w:vAlign w:val="center"/>
                              <w:hideMark/>
                            </w:tcPr>
                            <w:p w:rsidR="009B3ADF" w:rsidRDefault="009B3ADF">
                              <w:pPr>
                                <w:spacing w:after="120"/>
                                <w:jc w:val="center"/>
                                <w:rPr>
                                  <w:rFonts w:ascii="Verdana" w:hAnsi="Verdana"/>
                                  <w:color w:val="EDEDED"/>
                                  <w:sz w:val="20"/>
                                  <w:szCs w:val="20"/>
                                </w:rPr>
                              </w:pPr>
                              <w:proofErr w:type="spellStart"/>
                              <w:r>
                                <w:rPr>
                                  <w:rFonts w:ascii="Arial" w:hAnsi="Arial" w:cs="Arial"/>
                                  <w:b/>
                                  <w:bCs/>
                                  <w:color w:val="000000"/>
                                  <w:sz w:val="20"/>
                                  <w:szCs w:val="20"/>
                                </w:rPr>
                                <w:t>Flickr</w:t>
                              </w:r>
                              <w:proofErr w:type="spellEnd"/>
                              <w:r>
                                <w:rPr>
                                  <w:rFonts w:ascii="Arial" w:hAnsi="Arial" w:cs="Arial"/>
                                  <w:b/>
                                  <w:bCs/>
                                  <w:color w:val="000000"/>
                                  <w:sz w:val="20"/>
                                  <w:szCs w:val="20"/>
                                </w:rPr>
                                <w:t> gallery</w:t>
                              </w:r>
                            </w:p>
                          </w:tc>
                        </w:tr>
                        <w:tr w:rsidR="009B3ADF">
                          <w:trPr>
                            <w:tblCellSpacing w:w="0" w:type="dxa"/>
                          </w:trPr>
                          <w:tc>
                            <w:tcPr>
                              <w:tcW w:w="5000" w:type="pct"/>
                              <w:shd w:val="clear" w:color="auto" w:fill="FFFFFF"/>
                              <w:tcMar>
                                <w:top w:w="120" w:type="dxa"/>
                                <w:left w:w="36" w:type="dxa"/>
                                <w:bottom w:w="24" w:type="dxa"/>
                                <w:right w:w="36" w:type="dxa"/>
                              </w:tcMar>
                              <w:vAlign w:val="center"/>
                              <w:hideMark/>
                            </w:tcPr>
                            <w:p w:rsidR="009B3ADF" w:rsidRDefault="009B3ADF">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4" name="Picture 4" descr="https://origin.ih.constantcontact.com/fs041/1103225665917/img/62.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62.jpg"/>
                                            <pic:cNvPicPr>
                                              <a:picLocks noChangeAspect="1" noChangeArrowheads="1"/>
                                            </pic:cNvPicPr>
                                          </pic:nvPicPr>
                                          <pic:blipFill>
                                            <a:blip r:embed="rId22"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9B3ADF" w:rsidRDefault="009B3ADF">
                        <w:pPr>
                          <w:rPr>
                            <w:vanish/>
                          </w:rPr>
                        </w:pPr>
                      </w:p>
                      <w:tbl>
                        <w:tblPr>
                          <w:tblW w:w="5000" w:type="pct"/>
                          <w:tblCellSpacing w:w="0" w:type="dxa"/>
                          <w:shd w:val="clear" w:color="auto" w:fill="FFFFFF"/>
                          <w:tblCellMar>
                            <w:left w:w="0" w:type="dxa"/>
                            <w:right w:w="0" w:type="dxa"/>
                          </w:tblCellMar>
                          <w:tblLook w:val="04A0"/>
                        </w:tblPr>
                        <w:tblGrid>
                          <w:gridCol w:w="2412"/>
                        </w:tblGrid>
                        <w:tr w:rsidR="009B3ADF">
                          <w:trPr>
                            <w:tblCellSpacing w:w="0" w:type="dxa"/>
                          </w:trPr>
                          <w:tc>
                            <w:tcPr>
                              <w:tcW w:w="5000" w:type="pct"/>
                              <w:shd w:val="clear" w:color="auto" w:fill="FFFFFF"/>
                              <w:tcMar>
                                <w:top w:w="24" w:type="dxa"/>
                                <w:left w:w="24" w:type="dxa"/>
                                <w:bottom w:w="24" w:type="dxa"/>
                                <w:right w:w="24" w:type="dxa"/>
                              </w:tcMar>
                              <w:vAlign w:val="center"/>
                              <w:hideMark/>
                            </w:tcPr>
                            <w:p w:rsidR="009B3ADF" w:rsidRDefault="009B3ADF">
                              <w:pPr>
                                <w:spacing w:after="120"/>
                                <w:jc w:val="center"/>
                                <w:rPr>
                                  <w:rFonts w:ascii="Verdana" w:hAnsi="Verdana"/>
                                  <w:color w:val="EDEDED"/>
                                  <w:sz w:val="20"/>
                                  <w:szCs w:val="20"/>
                                </w:rPr>
                              </w:pPr>
                              <w:r>
                                <w:rPr>
                                  <w:rFonts w:ascii="Arial" w:hAnsi="Arial" w:cs="Arial"/>
                                  <w:b/>
                                  <w:bCs/>
                                  <w:color w:val="000000"/>
                                  <w:sz w:val="20"/>
                                  <w:szCs w:val="20"/>
                                </w:rPr>
                                <w:t>Motor  Codes</w:t>
                              </w:r>
                            </w:p>
                          </w:tc>
                        </w:tr>
                        <w:tr w:rsidR="009B3ADF">
                          <w:trPr>
                            <w:tblCellSpacing w:w="0" w:type="dxa"/>
                          </w:trPr>
                          <w:tc>
                            <w:tcPr>
                              <w:tcW w:w="5000" w:type="pct"/>
                              <w:shd w:val="clear" w:color="auto" w:fill="FFFFFF"/>
                              <w:tcMar>
                                <w:top w:w="120" w:type="dxa"/>
                                <w:left w:w="36" w:type="dxa"/>
                                <w:bottom w:w="24" w:type="dxa"/>
                                <w:right w:w="36" w:type="dxa"/>
                              </w:tcMar>
                              <w:vAlign w:val="center"/>
                              <w:hideMark/>
                            </w:tcPr>
                            <w:p w:rsidR="009B3ADF" w:rsidRDefault="009B3ADF">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5" name="Picture 5" descr="https://origin.ih.constantcontact.com/fs041/1103225665917/img/47.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47.jpg"/>
                                            <pic:cNvPicPr>
                                              <a:picLocks noChangeAspect="1" noChangeArrowheads="1"/>
                                            </pic:cNvPicPr>
                                          </pic:nvPicPr>
                                          <pic:blipFill>
                                            <a:blip r:embed="rId24"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9B3ADF" w:rsidRDefault="009B3ADF">
                        <w:pPr>
                          <w:rPr>
                            <w:vanish/>
                          </w:rPr>
                        </w:pPr>
                      </w:p>
                      <w:tbl>
                        <w:tblPr>
                          <w:tblW w:w="5000" w:type="pct"/>
                          <w:tblCellSpacing w:w="0" w:type="dxa"/>
                          <w:shd w:val="clear" w:color="auto" w:fill="FFFFFF"/>
                          <w:tblCellMar>
                            <w:left w:w="0" w:type="dxa"/>
                            <w:right w:w="0" w:type="dxa"/>
                          </w:tblCellMar>
                          <w:tblLook w:val="04A0"/>
                        </w:tblPr>
                        <w:tblGrid>
                          <w:gridCol w:w="2412"/>
                        </w:tblGrid>
                        <w:tr w:rsidR="009B3ADF">
                          <w:trPr>
                            <w:tblCellSpacing w:w="0" w:type="dxa"/>
                          </w:trPr>
                          <w:tc>
                            <w:tcPr>
                              <w:tcW w:w="5000" w:type="pct"/>
                              <w:shd w:val="clear" w:color="auto" w:fill="FFFFFF"/>
                              <w:tcMar>
                                <w:top w:w="24" w:type="dxa"/>
                                <w:left w:w="24" w:type="dxa"/>
                                <w:bottom w:w="24" w:type="dxa"/>
                                <w:right w:w="24" w:type="dxa"/>
                              </w:tcMar>
                              <w:vAlign w:val="center"/>
                              <w:hideMark/>
                            </w:tcPr>
                            <w:p w:rsidR="009B3ADF" w:rsidRDefault="009B3ADF">
                              <w:pPr>
                                <w:spacing w:after="120"/>
                                <w:jc w:val="center"/>
                                <w:rPr>
                                  <w:rFonts w:ascii="Verdana" w:hAnsi="Verdana"/>
                                  <w:color w:val="EDEDED"/>
                                  <w:sz w:val="20"/>
                                  <w:szCs w:val="20"/>
                                </w:rPr>
                              </w:pPr>
                              <w:r>
                                <w:rPr>
                                  <w:rFonts w:ascii="Arial" w:hAnsi="Arial" w:cs="Arial"/>
                                  <w:b/>
                                  <w:bCs/>
                                  <w:color w:val="000000"/>
                                  <w:sz w:val="20"/>
                                  <w:szCs w:val="20"/>
                                </w:rPr>
                                <w:lastRenderedPageBreak/>
                                <w:t>SMMT IATF Oversight</w:t>
                              </w:r>
                            </w:p>
                          </w:tc>
                        </w:tr>
                        <w:tr w:rsidR="009B3ADF">
                          <w:trPr>
                            <w:tblCellSpacing w:w="0" w:type="dxa"/>
                          </w:trPr>
                          <w:tc>
                            <w:tcPr>
                              <w:tcW w:w="5000" w:type="pct"/>
                              <w:shd w:val="clear" w:color="auto" w:fill="FFFFFF"/>
                              <w:tcMar>
                                <w:top w:w="120" w:type="dxa"/>
                                <w:left w:w="36" w:type="dxa"/>
                                <w:bottom w:w="24" w:type="dxa"/>
                                <w:right w:w="36" w:type="dxa"/>
                              </w:tcMar>
                              <w:vAlign w:val="center"/>
                              <w:hideMark/>
                            </w:tcPr>
                            <w:p w:rsidR="009B3ADF" w:rsidRDefault="009B3ADF">
                              <w:pPr>
                                <w:spacing w:after="120"/>
                                <w:jc w:val="center"/>
                                <w:rPr>
                                  <w:rFonts w:ascii="Verdana" w:hAnsi="Verdana"/>
                                  <w:color w:val="285685"/>
                                  <w:sz w:val="16"/>
                                  <w:szCs w:val="16"/>
                                </w:rPr>
                              </w:pPr>
                              <w:r>
                                <w:rPr>
                                  <w:rFonts w:ascii="Arial" w:hAnsi="Arial" w:cs="Arial"/>
                                  <w:b/>
                                  <w:bCs/>
                                  <w:noProof/>
                                  <w:color w:val="0000FF"/>
                                  <w:sz w:val="16"/>
                                  <w:szCs w:val="16"/>
                                </w:rPr>
                                <w:drawing>
                                  <wp:inline distT="0" distB="0" distL="0" distR="0">
                                    <wp:extent cx="1457325" cy="561975"/>
                                    <wp:effectExtent l="19050" t="0" r="9525" b="0"/>
                                    <wp:docPr id="6" name="Picture 6" descr="https://origin.ih.constantcontact.com/fs041/1103225665917/img/70.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70.jpg"/>
                                            <pic:cNvPicPr>
                                              <a:picLocks noChangeAspect="1" noChangeArrowheads="1"/>
                                            </pic:cNvPicPr>
                                          </pic:nvPicPr>
                                          <pic:blipFill>
                                            <a:blip r:embed="rId26"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9B3ADF" w:rsidRDefault="009B3ADF">
                        <w:pPr>
                          <w:rPr>
                            <w:vanish/>
                          </w:rPr>
                        </w:pPr>
                      </w:p>
                      <w:tbl>
                        <w:tblPr>
                          <w:tblW w:w="5000" w:type="pct"/>
                          <w:tblCellSpacing w:w="0" w:type="dxa"/>
                          <w:shd w:val="clear" w:color="auto" w:fill="FFFFFF"/>
                          <w:tblCellMar>
                            <w:left w:w="0" w:type="dxa"/>
                            <w:right w:w="0" w:type="dxa"/>
                          </w:tblCellMar>
                          <w:tblLook w:val="04A0"/>
                        </w:tblPr>
                        <w:tblGrid>
                          <w:gridCol w:w="2412"/>
                        </w:tblGrid>
                        <w:tr w:rsidR="009B3ADF">
                          <w:trPr>
                            <w:tblCellSpacing w:w="0" w:type="dxa"/>
                          </w:trPr>
                          <w:tc>
                            <w:tcPr>
                              <w:tcW w:w="5000" w:type="pct"/>
                              <w:shd w:val="clear" w:color="auto" w:fill="FFFFFF"/>
                              <w:tcMar>
                                <w:top w:w="24" w:type="dxa"/>
                                <w:left w:w="24" w:type="dxa"/>
                                <w:bottom w:w="24" w:type="dxa"/>
                                <w:right w:w="24" w:type="dxa"/>
                              </w:tcMar>
                              <w:vAlign w:val="center"/>
                              <w:hideMark/>
                            </w:tcPr>
                            <w:p w:rsidR="009B3ADF" w:rsidRDefault="009B3ADF">
                              <w:pPr>
                                <w:spacing w:after="120"/>
                                <w:jc w:val="center"/>
                                <w:rPr>
                                  <w:rFonts w:ascii="Arial" w:hAnsi="Arial" w:cs="Arial"/>
                                  <w:b/>
                                  <w:bCs/>
                                  <w:color w:val="000000"/>
                                  <w:sz w:val="20"/>
                                  <w:szCs w:val="20"/>
                                </w:rPr>
                              </w:pPr>
                              <w:r>
                                <w:rPr>
                                  <w:rFonts w:ascii="Arial" w:hAnsi="Arial" w:cs="Arial"/>
                                  <w:b/>
                                  <w:bCs/>
                                  <w:color w:val="000000"/>
                                  <w:sz w:val="20"/>
                                  <w:szCs w:val="20"/>
                                </w:rPr>
                                <w:t>Industry Forum  </w:t>
                              </w:r>
                            </w:p>
                          </w:tc>
                        </w:tr>
                        <w:tr w:rsidR="009B3ADF">
                          <w:trPr>
                            <w:tblCellSpacing w:w="0" w:type="dxa"/>
                          </w:trPr>
                          <w:tc>
                            <w:tcPr>
                              <w:tcW w:w="5000" w:type="pct"/>
                              <w:shd w:val="clear" w:color="auto" w:fill="FFFFFF"/>
                              <w:tcMar>
                                <w:top w:w="120" w:type="dxa"/>
                                <w:left w:w="36" w:type="dxa"/>
                                <w:bottom w:w="24" w:type="dxa"/>
                                <w:right w:w="36" w:type="dxa"/>
                              </w:tcMar>
                              <w:vAlign w:val="center"/>
                              <w:hideMark/>
                            </w:tcPr>
                            <w:p w:rsidR="009B3ADF" w:rsidRDefault="009B3ADF">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7" name="Picture 7" descr="https://origin.ih.constantcontact.com/fs041/1103225665917/img/72.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041/1103225665917/img/72.jpg"/>
                                            <pic:cNvPicPr>
                                              <a:picLocks noChangeAspect="1" noChangeArrowheads="1"/>
                                            </pic:cNvPicPr>
                                          </pic:nvPicPr>
                                          <pic:blipFill>
                                            <a:blip r:embed="rId28"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9B3ADF" w:rsidRDefault="009B3ADF"/>
                    </w:tc>
                  </w:tr>
                </w:tbl>
                <w:p w:rsidR="009B3ADF" w:rsidRDefault="009B3ADF">
                  <w:pPr>
                    <w:rPr>
                      <w:rFonts w:asciiTheme="minorHAnsi" w:eastAsiaTheme="minorEastAsia" w:hAnsiTheme="minorHAnsi" w:cstheme="minorBidi"/>
                      <w:sz w:val="22"/>
                      <w:szCs w:val="22"/>
                    </w:rPr>
                  </w:pPr>
                </w:p>
              </w:tc>
            </w:tr>
          </w:tbl>
          <w:p w:rsidR="009B3ADF" w:rsidRDefault="009B3ADF">
            <w:pPr>
              <w:rPr>
                <w:rFonts w:asciiTheme="minorHAnsi" w:eastAsiaTheme="minorEastAsia" w:hAnsiTheme="minorHAnsi" w:cstheme="minorBidi"/>
                <w:sz w:val="22"/>
                <w:szCs w:val="22"/>
              </w:rPr>
            </w:pPr>
          </w:p>
        </w:tc>
        <w:tc>
          <w:tcPr>
            <w:tcW w:w="0" w:type="auto"/>
            <w:tcMar>
              <w:top w:w="12" w:type="dxa"/>
              <w:left w:w="12" w:type="dxa"/>
              <w:bottom w:w="12" w:type="dxa"/>
              <w:right w:w="12" w:type="dxa"/>
            </w:tcMar>
            <w:vAlign w:val="center"/>
            <w:hideMark/>
          </w:tcPr>
          <w:p w:rsidR="009B3ADF" w:rsidRDefault="009B3ADF">
            <w:pPr>
              <w:rPr>
                <w:rFonts w:asciiTheme="minorHAnsi" w:eastAsiaTheme="minorEastAsia" w:hAnsiTheme="minorHAnsi" w:cstheme="minorBidi"/>
                <w:sz w:val="22"/>
                <w:szCs w:val="22"/>
              </w:rPr>
            </w:pPr>
          </w:p>
        </w:tc>
      </w:tr>
      <w:tr w:rsidR="009B3ADF" w:rsidTr="009B3ADF">
        <w:trPr>
          <w:trHeight w:val="120"/>
          <w:tblCellSpacing w:w="0" w:type="dxa"/>
          <w:jc w:val="center"/>
        </w:trPr>
        <w:tc>
          <w:tcPr>
            <w:tcW w:w="5000" w:type="pct"/>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8277"/>
            </w:tblGrid>
            <w:tr w:rsidR="009B3ADF">
              <w:trPr>
                <w:tblCellSpacing w:w="0" w:type="dxa"/>
              </w:trPr>
              <w:tc>
                <w:tcPr>
                  <w:tcW w:w="0" w:type="auto"/>
                  <w:vAlign w:val="bottom"/>
                  <w:hideMark/>
                </w:tcPr>
                <w:p w:rsidR="009B3ADF" w:rsidRDefault="009B3ADF">
                  <w:pPr>
                    <w:pStyle w:val="NormalWeb"/>
                    <w:spacing w:before="0" w:beforeAutospacing="0" w:after="0" w:afterAutospacing="0"/>
                  </w:pPr>
                  <w:r>
                    <w:rPr>
                      <w:rStyle w:val="Strong"/>
                      <w:rFonts w:ascii="Arial" w:hAnsi="Arial" w:cs="Arial"/>
                      <w:sz w:val="20"/>
                      <w:szCs w:val="20"/>
                    </w:rPr>
                    <w:lastRenderedPageBreak/>
                    <w:t>Dates for your diary:</w:t>
                  </w:r>
                </w:p>
                <w:p w:rsidR="009B3ADF" w:rsidRDefault="009B3ADF">
                  <w:pPr>
                    <w:pStyle w:val="NormalWeb"/>
                    <w:spacing w:before="0" w:beforeAutospacing="0" w:after="0" w:afterAutospacing="0"/>
                  </w:pPr>
                  <w:r>
                    <w:rPr>
                      <w:rFonts w:ascii="Arial" w:hAnsi="Arial" w:cs="Arial"/>
                      <w:sz w:val="20"/>
                      <w:szCs w:val="20"/>
                    </w:rPr>
                    <w:t xml:space="preserve">Commercial Vehicle Show 2011, NEC Birmingham, 12-14 April 2011 - </w:t>
                  </w:r>
                  <w:hyperlink r:id="rId29" w:tgtFrame="_blank" w:history="1">
                    <w:r>
                      <w:rPr>
                        <w:rStyle w:val="Hyperlink"/>
                        <w:rFonts w:ascii="Arial" w:hAnsi="Arial" w:cs="Arial"/>
                        <w:sz w:val="20"/>
                        <w:szCs w:val="20"/>
                      </w:rPr>
                      <w:t>enquiries@cvshow.com</w:t>
                    </w:r>
                  </w:hyperlink>
                </w:p>
                <w:p w:rsidR="009B3ADF" w:rsidRDefault="009B3ADF">
                  <w:pPr>
                    <w:pStyle w:val="NormalWeb"/>
                    <w:spacing w:before="0" w:beforeAutospacing="0" w:after="0" w:afterAutospacing="0"/>
                  </w:pPr>
                  <w:r>
                    <w:rPr>
                      <w:rFonts w:ascii="Arial" w:hAnsi="Arial" w:cs="Arial"/>
                      <w:sz w:val="20"/>
                      <w:szCs w:val="20"/>
                    </w:rPr>
                    <w:t xml:space="preserve">2011 SMMT International Automotive Summit, </w:t>
                  </w:r>
                  <w:proofErr w:type="spellStart"/>
                  <w:r>
                    <w:rPr>
                      <w:rFonts w:ascii="Arial" w:hAnsi="Arial" w:cs="Arial"/>
                      <w:sz w:val="20"/>
                      <w:szCs w:val="20"/>
                    </w:rPr>
                    <w:t>Millbank</w:t>
                  </w:r>
                  <w:proofErr w:type="spellEnd"/>
                  <w:r>
                    <w:rPr>
                      <w:rFonts w:ascii="Arial" w:hAnsi="Arial" w:cs="Arial"/>
                      <w:sz w:val="20"/>
                      <w:szCs w:val="20"/>
                    </w:rPr>
                    <w:t xml:space="preserve"> Tower, Westminster, </w:t>
                  </w:r>
                </w:p>
                <w:p w:rsidR="009B3ADF" w:rsidRDefault="009B3ADF">
                  <w:pPr>
                    <w:pStyle w:val="NormalWeb"/>
                    <w:spacing w:before="0" w:beforeAutospacing="0" w:after="0" w:afterAutospacing="0"/>
                  </w:pPr>
                  <w:r>
                    <w:rPr>
                      <w:rFonts w:ascii="Arial" w:hAnsi="Arial" w:cs="Arial"/>
                      <w:sz w:val="20"/>
                      <w:szCs w:val="20"/>
                    </w:rPr>
                    <w:t xml:space="preserve">28 June 2011 - </w:t>
                  </w:r>
                  <w:hyperlink r:id="rId30" w:tgtFrame="_blank" w:history="1">
                    <w:r>
                      <w:rPr>
                        <w:rStyle w:val="Hyperlink"/>
                        <w:rFonts w:ascii="Arial" w:hAnsi="Arial" w:cs="Arial"/>
                        <w:sz w:val="20"/>
                        <w:szCs w:val="20"/>
                      </w:rPr>
                      <w:t>www.smmtsummit.co.uk</w:t>
                    </w:r>
                  </w:hyperlink>
                  <w:r>
                    <w:rPr>
                      <w:rFonts w:ascii="Arial" w:hAnsi="Arial" w:cs="Arial"/>
                      <w:sz w:val="20"/>
                      <w:szCs w:val="20"/>
                    </w:rPr>
                    <w:t>.</w:t>
                  </w:r>
                </w:p>
                <w:p w:rsidR="009B3ADF" w:rsidRDefault="009B3ADF">
                  <w:pPr>
                    <w:pStyle w:val="NormalWeb"/>
                    <w:spacing w:before="0" w:beforeAutospacing="0" w:after="0" w:afterAutospacing="0"/>
                  </w:pPr>
                  <w:r>
                    <w:rPr>
                      <w:rFonts w:ascii="Arial" w:hAnsi="Arial" w:cs="Arial"/>
                      <w:sz w:val="20"/>
                      <w:szCs w:val="20"/>
                    </w:rPr>
                    <w:t xml:space="preserve">SMMT Annual Dinner, London Hilton Park Lane, 22 November 2011 - </w:t>
                  </w:r>
                  <w:hyperlink r:id="rId31"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9B3ADF" w:rsidRDefault="009B3ADF">
                  <w:pPr>
                    <w:pStyle w:val="NormalWeb"/>
                    <w:spacing w:before="0" w:beforeAutospacing="0" w:after="0" w:afterAutospacing="0"/>
                  </w:pPr>
                  <w:r>
                    <w:rPr>
                      <w:rFonts w:ascii="Arial" w:hAnsi="Arial" w:cs="Arial"/>
                      <w:sz w:val="20"/>
                      <w:szCs w:val="20"/>
                    </w:rPr>
                    <w:t> </w:t>
                  </w:r>
                </w:p>
                <w:p w:rsidR="009B3ADF" w:rsidRDefault="009B3ADF">
                  <w:pPr>
                    <w:pStyle w:val="NormalWeb"/>
                    <w:spacing w:before="0" w:beforeAutospacing="0" w:after="0" w:afterAutospacing="0"/>
                  </w:pPr>
                  <w:r>
                    <w:rPr>
                      <w:rStyle w:val="Strong"/>
                      <w:rFonts w:ascii="Arial" w:hAnsi="Arial" w:cs="Arial"/>
                      <w:sz w:val="20"/>
                      <w:szCs w:val="20"/>
                    </w:rPr>
                    <w:t>Automotive information: </w:t>
                  </w:r>
                </w:p>
                <w:p w:rsidR="009B3ADF" w:rsidRDefault="009B3ADF">
                  <w:pPr>
                    <w:pStyle w:val="NormalWeb"/>
                    <w:spacing w:before="0" w:beforeAutospacing="0" w:after="0" w:afterAutospacing="0"/>
                  </w:pPr>
                  <w:r>
                    <w:rPr>
                      <w:rFonts w:ascii="Arial" w:hAnsi="Arial" w:cs="Arial"/>
                      <w:sz w:val="20"/>
                      <w:szCs w:val="20"/>
                    </w:rPr>
                    <w:t xml:space="preserve">To download </w:t>
                  </w:r>
                  <w:proofErr w:type="spellStart"/>
                  <w:r>
                    <w:rPr>
                      <w:rFonts w:ascii="Arial" w:hAnsi="Arial" w:cs="Arial"/>
                      <w:sz w:val="20"/>
                      <w:szCs w:val="20"/>
                    </w:rPr>
                    <w:t>SMMT's</w:t>
                  </w:r>
                  <w:proofErr w:type="spellEnd"/>
                  <w:r>
                    <w:rPr>
                      <w:rFonts w:ascii="Arial" w:hAnsi="Arial" w:cs="Arial"/>
                      <w:sz w:val="20"/>
                      <w:szCs w:val="20"/>
                    </w:rPr>
                    <w:t xml:space="preserve"> 2011 new vehicle and UK automotive manufacturing release dates click </w:t>
                  </w:r>
                  <w:hyperlink r:id="rId32" w:tgtFrame="_blank" w:history="1">
                    <w:r>
                      <w:rPr>
                        <w:rStyle w:val="Hyperlink"/>
                        <w:rFonts w:ascii="Arial" w:hAnsi="Arial" w:cs="Arial"/>
                        <w:sz w:val="20"/>
                        <w:szCs w:val="20"/>
                      </w:rPr>
                      <w:t>here.</w:t>
                    </w:r>
                  </w:hyperlink>
                  <w:r>
                    <w:rPr>
                      <w:rFonts w:ascii="Arial" w:hAnsi="Arial" w:cs="Arial"/>
                      <w:sz w:val="20"/>
                      <w:szCs w:val="20"/>
                    </w:rPr>
                    <w:t xml:space="preserve"> </w:t>
                  </w:r>
                </w:p>
                <w:p w:rsidR="009B3ADF" w:rsidRDefault="009B3ADF">
                  <w:pPr>
                    <w:pStyle w:val="NormalWeb"/>
                    <w:spacing w:before="0" w:beforeAutospacing="0" w:after="0" w:afterAutospacing="0"/>
                  </w:pPr>
                  <w:r>
                    <w:rPr>
                      <w:rFonts w:ascii="Arial" w:hAnsi="Arial" w:cs="Arial"/>
                      <w:sz w:val="20"/>
                      <w:szCs w:val="20"/>
                    </w:rPr>
                    <w:t xml:space="preserve">To download Industry Forum's latest information on sustainable business improvement click </w:t>
                  </w:r>
                  <w:hyperlink r:id="rId33" w:tgtFrame="_blank" w:history="1">
                    <w:r>
                      <w:rPr>
                        <w:rStyle w:val="Hyperlink"/>
                        <w:rFonts w:ascii="Arial" w:hAnsi="Arial" w:cs="Arial"/>
                        <w:sz w:val="20"/>
                        <w:szCs w:val="20"/>
                      </w:rPr>
                      <w:t>here</w:t>
                    </w:r>
                  </w:hyperlink>
                  <w:r>
                    <w:rPr>
                      <w:rFonts w:ascii="Arial" w:hAnsi="Arial" w:cs="Arial"/>
                      <w:sz w:val="20"/>
                      <w:szCs w:val="20"/>
                    </w:rPr>
                    <w:t>. </w:t>
                  </w:r>
                </w:p>
                <w:p w:rsidR="009B3ADF" w:rsidRDefault="009B3ADF">
                  <w:pPr>
                    <w:pStyle w:val="NormalWeb"/>
                    <w:spacing w:before="0" w:beforeAutospacing="0" w:after="0" w:afterAutospacing="0"/>
                  </w:pPr>
                  <w:r>
                    <w:rPr>
                      <w:rFonts w:ascii="Arial" w:hAnsi="Arial" w:cs="Arial"/>
                      <w:noProof/>
                      <w:sz w:val="20"/>
                      <w:szCs w:val="20"/>
                    </w:rPr>
                    <w:drawing>
                      <wp:inline distT="0" distB="0" distL="0" distR="0">
                        <wp:extent cx="5724525" cy="142875"/>
                        <wp:effectExtent l="19050" t="0" r="9525" b="0"/>
                        <wp:docPr id="8" name="Picture 8"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om banner"/>
                                <pic:cNvPicPr>
                                  <a:picLocks noChangeAspect="1" noChangeArrowheads="1"/>
                                </pic:cNvPicPr>
                              </pic:nvPicPr>
                              <pic:blipFill>
                                <a:blip r:embed="rId34"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9B3ADF" w:rsidRDefault="009B3ADF">
                  <w:pPr>
                    <w:jc w:val="center"/>
                  </w:pPr>
                  <w:r>
                    <w:t> </w:t>
                  </w:r>
                </w:p>
              </w:tc>
            </w:tr>
          </w:tbl>
          <w:p w:rsidR="009B3ADF" w:rsidRDefault="009B3ADF">
            <w:pPr>
              <w:rPr>
                <w:rFonts w:asciiTheme="minorHAnsi" w:eastAsiaTheme="minorEastAsia" w:hAnsiTheme="minorHAnsi" w:cstheme="minorBidi"/>
                <w:sz w:val="22"/>
                <w:szCs w:val="22"/>
              </w:rPr>
            </w:pPr>
          </w:p>
        </w:tc>
        <w:tc>
          <w:tcPr>
            <w:tcW w:w="0" w:type="auto"/>
            <w:tcMar>
              <w:top w:w="12" w:type="dxa"/>
              <w:left w:w="12" w:type="dxa"/>
              <w:bottom w:w="12" w:type="dxa"/>
              <w:right w:w="12" w:type="dxa"/>
            </w:tcMar>
            <w:vAlign w:val="center"/>
            <w:hideMark/>
          </w:tcPr>
          <w:p w:rsidR="009B3ADF" w:rsidRDefault="009B3ADF">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B3ADF"/>
    <w:rsid w:val="00161EDC"/>
    <w:rsid w:val="00236CD3"/>
    <w:rsid w:val="00416E0E"/>
    <w:rsid w:val="00473D48"/>
    <w:rsid w:val="005C28E0"/>
    <w:rsid w:val="006A5FB9"/>
    <w:rsid w:val="009246A1"/>
    <w:rsid w:val="009B3ADF"/>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AD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ADF"/>
    <w:rPr>
      <w:color w:val="0000FF"/>
      <w:u w:val="single"/>
    </w:rPr>
  </w:style>
  <w:style w:type="paragraph" w:styleId="NormalWeb">
    <w:name w:val="Normal (Web)"/>
    <w:basedOn w:val="Normal"/>
    <w:uiPriority w:val="99"/>
    <w:unhideWhenUsed/>
    <w:rsid w:val="009B3ADF"/>
    <w:pPr>
      <w:spacing w:before="100" w:beforeAutospacing="1" w:after="100" w:afterAutospacing="1"/>
    </w:pPr>
  </w:style>
  <w:style w:type="character" w:styleId="Strong">
    <w:name w:val="Strong"/>
    <w:basedOn w:val="DefaultParagraphFont"/>
    <w:uiPriority w:val="22"/>
    <w:qFormat/>
    <w:rsid w:val="009B3ADF"/>
    <w:rPr>
      <w:b/>
      <w:bCs/>
    </w:rPr>
  </w:style>
  <w:style w:type="character" w:styleId="Emphasis">
    <w:name w:val="Emphasis"/>
    <w:basedOn w:val="DefaultParagraphFont"/>
    <w:uiPriority w:val="20"/>
    <w:qFormat/>
    <w:rsid w:val="009B3ADF"/>
    <w:rPr>
      <w:i/>
      <w:iCs/>
    </w:rPr>
  </w:style>
  <w:style w:type="paragraph" w:styleId="BalloonText">
    <w:name w:val="Balloon Text"/>
    <w:basedOn w:val="Normal"/>
    <w:link w:val="BalloonTextChar"/>
    <w:rsid w:val="009B3ADF"/>
    <w:rPr>
      <w:rFonts w:ascii="Tahoma" w:hAnsi="Tahoma" w:cs="Tahoma"/>
      <w:sz w:val="16"/>
      <w:szCs w:val="16"/>
    </w:rPr>
  </w:style>
  <w:style w:type="character" w:customStyle="1" w:styleId="BalloonTextChar">
    <w:name w:val="Balloon Text Char"/>
    <w:basedOn w:val="DefaultParagraphFont"/>
    <w:link w:val="BalloonText"/>
    <w:rsid w:val="009B3ADF"/>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3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6lo4vodab&amp;et=1104792326300&amp;s=0&amp;e=001I69xkIT8CetL3h4I41cV3D0JEAT8B7b50xHyXNGReW72v-LTTB6xvcJeNTjgXgD6SMgwKtpkELeNw5RNZSqa1X8MZfj_EbbBLnVjQi7Cb4NnCFKiS4cL_w==" TargetMode="External"/><Relationship Id="rId13" Type="http://schemas.openxmlformats.org/officeDocument/2006/relationships/hyperlink" Target="http://r20.rs6.net/tn.jsp?llr=6lo4vodab&amp;et=1104792326300&amp;s=0&amp;e=001I69xkIT8CetL3h4I41cV3D0JEAT8B7b50xHyXNGReW72v-LTTB6xvXIcAu1V3M2SFbUzPvU9w2yyHdVE3xzuwUW-p_3y1s-Xpn3Yy25jE_85QPleM1cSTy6MK5SpI5JEut4TDs9oaMeFSk5RNthYaRewJGx4XgQwXDPc6MIUMZVGcTlbeHKZ05amXpboyw4l" TargetMode="External"/><Relationship Id="rId18" Type="http://schemas.openxmlformats.org/officeDocument/2006/relationships/image" Target="media/image2.gif"/><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r20.rs6.net/tn.jsp?llr=6lo4vodab&amp;et=1104792326300&amp;s=0&amp;e=001I69xkIT8CetL3h4I41cV3D0JEAT8B7b50xHyXNGReW72v-LTTB6xvcJeNTjgXgD6SMgwKtpkELe4VWoChnKHnBfOE_31iCEDxjkkU164XwRWbmyEk9--nZ8j4NLZQq_DHzIdGS6toVw=" TargetMode="External"/><Relationship Id="rId34" Type="http://schemas.openxmlformats.org/officeDocument/2006/relationships/image" Target="media/image8.jpeg"/><Relationship Id="rId7" Type="http://schemas.openxmlformats.org/officeDocument/2006/relationships/hyperlink" Target="mailto:cbalch@smmt.co.uk" TargetMode="External"/><Relationship Id="rId12" Type="http://schemas.openxmlformats.org/officeDocument/2006/relationships/hyperlink" Target="mailto:nhuggett@smmt.co.uk" TargetMode="External"/><Relationship Id="rId17" Type="http://schemas.openxmlformats.org/officeDocument/2006/relationships/hyperlink" Target="http://r20.rs6.net/tn.jsp?llr=6lo4vodab&amp;et=1104792326300&amp;s=0&amp;e=001I69xkIT8CetL3h4I41cV3D0JEAT8B7b50xHyXNGReW72v-LTTB6xvcJeNTjgXgD6rHpQZ9WAfaiIhTorOT_Bb5Q5GnNA7yk-p5o3SnTPgXAYrN_bkUbbrg==" TargetMode="External"/><Relationship Id="rId25" Type="http://schemas.openxmlformats.org/officeDocument/2006/relationships/hyperlink" Target="http://r20.rs6.net/tn.jsp?llr=6lo4vodab&amp;et=1104792326300&amp;s=0&amp;e=001I69xkIT8CetL3h4I41cV3D0JEAT8B7b50xHyXNGReW72v-LTTB6xvcJeNTjgXgD6SMgwKtpkELfw4-lu9oULwSC0i9Yi7J68Wfhhu3Ms55OPYRnLrYiLWA==" TargetMode="External"/><Relationship Id="rId33" Type="http://schemas.openxmlformats.org/officeDocument/2006/relationships/hyperlink" Target="http://r20.rs6.net/tn.jsp?llr=6lo4vodab&amp;et=1104792326300&amp;s=0&amp;e=001I69xkIT8CetL3h4I41cV3D0JEAT8B7b50xHyXNGReW72v-LTTB6xvcJeNTjgXgD6w5esiragzZ8mA6s7QorpX3C4UAk43Fc3zjSOVCRDcXgBmVrcODo-Dxs4Bq23KN8NUachD48YuW0HO-oMfuF5cb70rOwxmcrh-ZYdQaE55XAzlRAnROy8oA==" TargetMode="External"/><Relationship Id="rId2" Type="http://schemas.openxmlformats.org/officeDocument/2006/relationships/settings" Target="settings.xml"/><Relationship Id="rId16" Type="http://schemas.openxmlformats.org/officeDocument/2006/relationships/hyperlink" Target="http://r20.rs6.net/tn.jsp?llr=6lo4vodab&amp;et=1104792326300&amp;s=0&amp;e=001I69xkIT8CetL3h4I41cV3D0JEAT8B7b50xHyXNGReW72v-LTTB6xvcJeNTjgXgD6SMgwKtpkELeNw5RNZSqa1elnSYcjAL7rLde4ZOdK0xJol9PJjD5DU6NCBufKgEBz5ncyYc8UFs00B_p7xOtHbNiiez5L7ld--5EM56dFuuiQiKPXy_M8WDZejOJDHpCf8nTqgGPG0Aoph-Ry8n8tkQ==" TargetMode="External"/><Relationship Id="rId20" Type="http://schemas.openxmlformats.org/officeDocument/2006/relationships/image" Target="media/image3.jpeg"/><Relationship Id="rId29" Type="http://schemas.openxmlformats.org/officeDocument/2006/relationships/hyperlink" Target="mailto:enquiries@cvshow.com" TargetMode="External"/><Relationship Id="rId1" Type="http://schemas.openxmlformats.org/officeDocument/2006/relationships/styles" Target="styles.xml"/><Relationship Id="rId6" Type="http://schemas.openxmlformats.org/officeDocument/2006/relationships/hyperlink" Target="http://r20.rs6.net/tn.jsp?llr=6lo4vodab&amp;et=1104792326300&amp;s=0&amp;e=001I69xkIT8CetL3h4I41cV3D0JEAT8B7b50xHyXNGReW72v-LTTB6xvcJeNTjgXgD6SMgwKtpkELeNw5RNZSqa1X8MZfj_EbbBC92u9nw3wFPCL7UJsUneJdw6XZeAay1pQJaGbJAwQ_e4ZX6qJ_0XWWh3P1AnXx8A" TargetMode="External"/><Relationship Id="rId11" Type="http://schemas.openxmlformats.org/officeDocument/2006/relationships/hyperlink" Target="http://r20.rs6.net/tn.jsp?llr=6lo4vodab&amp;et=1104792326300&amp;s=0&amp;e=001I69xkIT8CetL3h4I41cV3D0JEAT8B7b50xHyXNGReW72v-LTTB6xvcJeNTjgXgD6SMgwKtpkELeNw5RNZSqa1X8MZfj_EbbBsp8KyahU0YIDKNVfh12LfS4NeVppfcJGEsj9-T0668iVgDXMNdCe_r7AS11rnYFT" TargetMode="External"/><Relationship Id="rId24" Type="http://schemas.openxmlformats.org/officeDocument/2006/relationships/image" Target="media/image5.jpeg"/><Relationship Id="rId32" Type="http://schemas.openxmlformats.org/officeDocument/2006/relationships/hyperlink" Target="http://r20.rs6.net/tn.jsp?llr=6lo4vodab&amp;et=1104792326300&amp;s=0&amp;e=001I69xkIT8CetL3h4I41cV3D0JEAT8B7b50xHyXNGReW72v-LTTB6xvcJeNTjgXgD6w5esiragzZ9z5hcJ-1OGVHR414OP_IvjWGWeFyTo3MUEBdV0VGSgNGW-ZE7GfB1UzA8FL2is0EtfQJd-eJbOxIVKzOOUZTfOPFwogQ6G2XwAvL0pbBvoRZ6SEZehkjq7" TargetMode="External"/><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4792326300&amp;s=0&amp;e=001I69xkIT8CetL3h4I41cV3D0JEAT8B7b50xHyXNGReW72v-LTTB6xvcJeNTjgXgD6SMgwKtpkELeNw5RNZSqa1elnSYcjAL7r694bY539hyGwrIoFRI-P_Hb5tiO0Zc4FF3BFYWa_poTpkJ_ggTgBB-fh82c0uSlwby31BdlMmutJGHbM2WeUPEX7LLXDqhDoS8Gvkw4p33sK3CHE5Fzfhg==" TargetMode="External"/><Relationship Id="rId23" Type="http://schemas.openxmlformats.org/officeDocument/2006/relationships/hyperlink" Target="http://r20.rs6.net/tn.jsp?llr=6lo4vodab&amp;et=1104792326300&amp;s=0&amp;e=001I69xkIT8CetL3h4I41cV3D0JEAT8B7b50xHyXNGReW72v-LTTB6xvcJeNTjgXgD6SMgwKtpkELc7s1UlHFVsCTfcNvvU7YSCE2PTHPwXn8Y="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mailto:jack@btob.co.uk" TargetMode="External"/><Relationship Id="rId19" Type="http://schemas.openxmlformats.org/officeDocument/2006/relationships/hyperlink" Target="http://r20.rs6.net/tn.jsp?llr=6lo4vodab&amp;et=1104792326300&amp;s=0&amp;e=001I69xkIT8CetL3h4I41cV3D0JEAT8B7b50xHyXNGReW72v-LTTB6xvcJeNTjgXgD6SMgwKtpkELf6IloUVl3KHTq11dKE9UgJanb8eQJ-aVZW5HovHpFrKg==" TargetMode="External"/><Relationship Id="rId31" Type="http://schemas.openxmlformats.org/officeDocument/2006/relationships/hyperlink" Target="mailto:annualdinner@smmt.co.uk" TargetMode="External"/><Relationship Id="rId4" Type="http://schemas.openxmlformats.org/officeDocument/2006/relationships/image" Target="media/image1.jpeg"/><Relationship Id="rId9" Type="http://schemas.openxmlformats.org/officeDocument/2006/relationships/hyperlink" Target="http://r20.rs6.net/tn.jsp?llr=6lo4vodab&amp;et=1104792326300&amp;s=0&amp;e=001I69xkIT8CetL3h4I41cV3D0JEAT8B7b50xHyXNGReW72v-LTTB6xvcJeNTjgXgD6SMgwKtpkELeNw5RNZSqa1T_HNwFPwZCArw0Ys0b5AGTvWVEx5h973Fqxej-8SnVqxPnWIwosZRr65a1KIKq-Xdxy8QVjnbIE" TargetMode="External"/><Relationship Id="rId14" Type="http://schemas.openxmlformats.org/officeDocument/2006/relationships/hyperlink" Target="mailto:raisthorpe@smmt.co.uk" TargetMode="External"/><Relationship Id="rId22" Type="http://schemas.openxmlformats.org/officeDocument/2006/relationships/image" Target="media/image4.jpeg"/><Relationship Id="rId27" Type="http://schemas.openxmlformats.org/officeDocument/2006/relationships/hyperlink" Target="http://r20.rs6.net/tn.jsp?llr=6lo4vodab&amp;et=1104792326300&amp;s=0&amp;e=001I69xkIT8CetL3h4I41cV3D0JEAT8B7b50xHyXNGReW72v-LTTB6xvcJeNTjgXgD6SMgwKtpkELeMw_Sskdm3sF6uOmANAx_G16_tZHnqWJ6XwMPhkmSPuQ==" TargetMode="External"/><Relationship Id="rId30" Type="http://schemas.openxmlformats.org/officeDocument/2006/relationships/hyperlink" Target="http://r20.rs6.net/tn.jsp?llr=6lo4vodab&amp;et=1104792326300&amp;s=0&amp;e=001I69xkIT8CetL3h4I41cV3D0JEAT8B7b50xHyXNGReW72v-LTTB6xvcJeNTjgXgD6SMgwKtpkELc2cc_Tgdvh37ptSwE9oFxdCvoKcWJigh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calloe</dc:creator>
  <cp:keywords/>
  <dc:description/>
  <cp:lastModifiedBy>calloe</cp:lastModifiedBy>
  <cp:revision>1</cp:revision>
  <dcterms:created xsi:type="dcterms:W3CDTF">2011-04-08T15:29:00Z</dcterms:created>
  <dcterms:modified xsi:type="dcterms:W3CDTF">2011-04-08T15:29:00Z</dcterms:modified>
</cp:coreProperties>
</file>