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201</w:t>
      </w:r>
      <w:r w:rsidR="00981C8D">
        <w:rPr>
          <w:rFonts w:ascii="Arial" w:hAnsi="Arial" w:cs="Arial"/>
          <w:color w:val="1074CB"/>
          <w:sz w:val="28"/>
          <w:szCs w:val="28"/>
        </w:rPr>
        <w:t>5</w:t>
      </w:r>
      <w:r w:rsidR="0089316E">
        <w:rPr>
          <w:rFonts w:ascii="Arial" w:hAnsi="Arial" w:cs="Arial"/>
          <w:color w:val="1074CB"/>
          <w:sz w:val="28"/>
          <w:szCs w:val="28"/>
        </w:rPr>
        <w:t>,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981C8D">
        <w:rPr>
          <w:rFonts w:ascii="Arial" w:hAnsi="Arial" w:cs="Arial"/>
          <w:color w:val="1074CB"/>
          <w:sz w:val="28"/>
          <w:szCs w:val="28"/>
        </w:rPr>
        <w:t>6</w:t>
      </w:r>
      <w:r w:rsidR="0089316E">
        <w:rPr>
          <w:rFonts w:ascii="Arial" w:hAnsi="Arial" w:cs="Arial"/>
          <w:color w:val="1074CB"/>
          <w:sz w:val="28"/>
          <w:szCs w:val="28"/>
        </w:rPr>
        <w:t xml:space="preserve"> and 2017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89316E">
        <w:rPr>
          <w:rFonts w:ascii="Arial" w:hAnsi="Arial" w:cs="Arial"/>
          <w:b w:val="0"/>
          <w:sz w:val="20"/>
        </w:rPr>
        <w:t>October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E63B95">
        <w:rPr>
          <w:rFonts w:ascii="Arial" w:hAnsi="Arial" w:cs="Arial"/>
          <w:b w:val="0"/>
          <w:sz w:val="20"/>
        </w:rPr>
        <w:t>5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E63B95">
        <w:rPr>
          <w:rFonts w:ascii="Arial" w:hAnsi="Arial" w:cs="Arial"/>
          <w:color w:val="1074CB"/>
          <w:sz w:val="24"/>
          <w:szCs w:val="24"/>
        </w:rPr>
        <w:t>4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476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027F49">
        <w:rPr>
          <w:rFonts w:ascii="Arial" w:hAnsi="Arial" w:cs="Arial"/>
          <w:b w:val="0"/>
          <w:sz w:val="20"/>
        </w:rPr>
        <w:t>9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265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027F49">
        <w:rPr>
          <w:rFonts w:ascii="Arial" w:hAnsi="Arial" w:cs="Arial"/>
          <w:b w:val="0"/>
          <w:sz w:val="20"/>
        </w:rPr>
        <w:t>50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027F49">
        <w:rPr>
          <w:rFonts w:ascii="Arial" w:hAnsi="Arial" w:cs="Arial"/>
          <w:b w:val="0"/>
          <w:sz w:val="20"/>
        </w:rPr>
        <w:t>49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32</w:t>
      </w:r>
      <w:r w:rsidR="002E4596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681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8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027F49">
        <w:rPr>
          <w:rFonts w:ascii="Arial" w:hAnsi="Arial" w:cs="Arial"/>
          <w:b w:val="0"/>
          <w:sz w:val="20"/>
        </w:rPr>
        <w:t>71</w:t>
      </w:r>
      <w:r w:rsidR="000D6983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073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 xml:space="preserve">s for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89316E">
              <w:rPr>
                <w:rFonts w:ascii="Arial" w:hAnsi="Arial" w:cs="Arial"/>
                <w:color w:val="1074CB"/>
                <w:sz w:val="24"/>
                <w:szCs w:val="24"/>
              </w:rPr>
              <w:t>,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 xml:space="preserve"> 2016</w:t>
            </w:r>
            <w:r w:rsidR="0089316E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2017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89316E">
              <w:rPr>
                <w:rFonts w:ascii="Arial" w:hAnsi="Arial" w:cs="Arial"/>
                <w:color w:val="1074CB"/>
                <w:sz w:val="24"/>
                <w:szCs w:val="24"/>
              </w:rPr>
              <w:t>October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E63B95">
              <w:rPr>
                <w:rFonts w:ascii="Arial" w:hAnsi="Arial" w:cs="Arial"/>
                <w:color w:val="1074CB"/>
                <w:sz w:val="24"/>
                <w:szCs w:val="24"/>
              </w:rPr>
              <w:t>5</w:t>
            </w:r>
          </w:p>
          <w:p w:rsidR="00BF6713" w:rsidRPr="0089316E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sz w:val="16"/>
                <w:szCs w:val="16"/>
              </w:rPr>
              <w:t>2015</w:t>
            </w:r>
          </w:p>
          <w:p w:rsidR="00BF6713" w:rsidRPr="0089316E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ew car registrations: </w:t>
            </w:r>
            <w:r w:rsidR="00924F09" w:rsidRPr="0089316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565FB7" w:rsidRPr="0089316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89316E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m units, up 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924F09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4E1F93" w:rsidRPr="0089316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>% on 2014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’s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volume; 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iesel 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>share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: </w:t>
            </w:r>
            <w:r w:rsidR="00565FB7" w:rsidRPr="0089316E"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%.</w:t>
            </w:r>
          </w:p>
          <w:p w:rsidR="001848DB" w:rsidRPr="0089316E" w:rsidRDefault="000F4F71" w:rsidP="005F586D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ew LCV registrations: </w:t>
            </w:r>
            <w:r w:rsidR="005F586D" w:rsidRPr="0089316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="004E1F93" w:rsidRPr="0089316E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565FB7" w:rsidRPr="0089316E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8B1A7C" w:rsidRPr="0089316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8B1A7C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F586D" w:rsidRPr="0089316E">
              <w:rPr>
                <w:rFonts w:ascii="Arial" w:hAnsi="Arial" w:cs="Arial"/>
                <w:b w:val="0"/>
                <w:sz w:val="16"/>
                <w:szCs w:val="16"/>
              </w:rPr>
              <w:t>up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65FB7" w:rsidRPr="0089316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% on the 2014 volume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BD3D2E" w:rsidRPr="0089316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D3D2E" w:rsidRPr="0089316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BD3D2E" w:rsidRP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cars registrations: 2.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4E1F93" w:rsidRPr="0089316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m units; 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diesel share at 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47.7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%.</w:t>
            </w:r>
          </w:p>
          <w:p w:rsidR="0089316E" w:rsidRP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LCV registrations: 3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85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F564AC" w:rsidRPr="0089316E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00 units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, up 2.7% on the 2015 forecast volume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9316E" w:rsidRPr="0089316E" w:rsidRDefault="0089316E" w:rsidP="0089316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89316E" w:rsidRPr="0089316E" w:rsidRDefault="00422F94" w:rsidP="0089316E">
            <w:pPr>
              <w:pStyle w:val="Title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cars registrations: 2.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582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m units; diesel share at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47.6%</w:t>
            </w:r>
          </w:p>
          <w:p w:rsidR="0089316E" w:rsidRPr="0089316E" w:rsidRDefault="00422F94" w:rsidP="0089316E">
            <w:pPr>
              <w:pStyle w:val="Title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LCV registrations: 3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87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,000 units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up 0.4% on the 2016 forecast volume.</w:t>
            </w:r>
          </w:p>
          <w:p w:rsidR="00BD3D2E" w:rsidRPr="008F69CE" w:rsidRDefault="008F69CE" w:rsidP="008F69CE">
            <w:pPr>
              <w:pStyle w:val="Title"/>
              <w:spacing w:line="276" w:lineRule="auto"/>
              <w:jc w:val="righ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proofErr w:type="gramStart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note</w:t>
            </w:r>
            <w:proofErr w:type="gramEnd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units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422F94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422F94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67400" cy="3055620"/>
                  <wp:effectExtent l="19050" t="0" r="19050" b="0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422F94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422F94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422F94">
              <w:rPr>
                <w:rFonts w:ascii="Arial" w:hAnsi="Arial" w:cs="Arial"/>
                <w:b w:val="0"/>
                <w:i/>
                <w:sz w:val="16"/>
                <w:szCs w:val="16"/>
              </w:rPr>
              <w:t>18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89316E">
        <w:rPr>
          <w:rFonts w:ascii="Arial" w:hAnsi="Arial" w:cs="Arial"/>
          <w:sz w:val="20"/>
        </w:rPr>
        <w:t>January</w:t>
      </w:r>
      <w:r w:rsidR="00E1304A">
        <w:rPr>
          <w:rFonts w:ascii="Arial" w:hAnsi="Arial" w:cs="Arial"/>
          <w:sz w:val="20"/>
        </w:rPr>
        <w:t xml:space="preserve"> 201</w:t>
      </w:r>
      <w:r w:rsidR="0089316E">
        <w:rPr>
          <w:rFonts w:ascii="Arial" w:hAnsi="Arial" w:cs="Arial"/>
          <w:sz w:val="20"/>
        </w:rPr>
        <w:t>6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BB4404">
        <w:rPr>
          <w:rFonts w:ascii="Arial" w:hAnsi="Arial" w:cs="Arial"/>
          <w:sz w:val="20"/>
        </w:rPr>
        <w:t>e</w:t>
      </w:r>
      <w:r w:rsidR="004A2131">
        <w:rPr>
          <w:rFonts w:ascii="Arial" w:hAnsi="Arial" w:cs="Arial"/>
          <w:sz w:val="20"/>
        </w:rPr>
        <w:t xml:space="preserve"> </w:t>
      </w:r>
      <w:r w:rsidR="00054E9D">
        <w:rPr>
          <w:rFonts w:ascii="Arial" w:hAnsi="Arial" w:cs="Arial"/>
          <w:sz w:val="20"/>
        </w:rPr>
        <w:t>29</w:t>
      </w:r>
      <w:r w:rsidR="00F564AC" w:rsidRPr="00F564AC">
        <w:rPr>
          <w:rFonts w:ascii="Arial" w:hAnsi="Arial" w:cs="Arial"/>
          <w:sz w:val="20"/>
          <w:vertAlign w:val="superscript"/>
        </w:rPr>
        <w:t>th</w:t>
      </w:r>
      <w:r w:rsidR="00F564AC">
        <w:rPr>
          <w:rFonts w:ascii="Arial" w:hAnsi="Arial" w:cs="Arial"/>
          <w:sz w:val="20"/>
        </w:rPr>
        <w:t xml:space="preserve"> </w:t>
      </w:r>
      <w:r w:rsidR="0089316E">
        <w:rPr>
          <w:rFonts w:ascii="Arial" w:hAnsi="Arial" w:cs="Arial"/>
          <w:sz w:val="20"/>
        </w:rPr>
        <w:t>January</w:t>
      </w:r>
      <w:r w:rsidR="00AF7BA4">
        <w:rPr>
          <w:rFonts w:ascii="Arial" w:hAnsi="Arial" w:cs="Arial"/>
          <w:sz w:val="20"/>
        </w:rPr>
        <w:t>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Pr="00560F7F" w:rsidRDefault="00DE2FB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89316E">
        <w:rPr>
          <w:rFonts w:ascii="Arial" w:hAnsi="Arial" w:cs="Arial"/>
          <w:i/>
          <w:sz w:val="16"/>
          <w:szCs w:val="16"/>
        </w:rPr>
        <w:t>29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89316E">
        <w:rPr>
          <w:rFonts w:ascii="Arial" w:hAnsi="Arial" w:cs="Arial"/>
          <w:i/>
          <w:sz w:val="16"/>
          <w:szCs w:val="16"/>
        </w:rPr>
        <w:t>10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E63B95">
        <w:rPr>
          <w:rFonts w:ascii="Arial" w:hAnsi="Arial" w:cs="Arial"/>
          <w:i/>
          <w:sz w:val="16"/>
          <w:szCs w:val="16"/>
        </w:rPr>
        <w:t>5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4E1F93">
        <w:rPr>
          <w:rFonts w:ascii="Arial" w:hAnsi="Arial" w:cs="Arial"/>
          <w:i/>
          <w:sz w:val="16"/>
          <w:szCs w:val="16"/>
        </w:rPr>
        <w:t>3</w:t>
      </w:r>
      <w:r w:rsidR="0089316E">
        <w:rPr>
          <w:rFonts w:ascii="Arial" w:hAnsi="Arial" w:cs="Arial"/>
          <w:i/>
          <w:sz w:val="16"/>
          <w:szCs w:val="16"/>
        </w:rPr>
        <w:t>0</w:t>
      </w:r>
      <w:r w:rsidR="0089316E" w:rsidRPr="0089316E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89316E">
        <w:rPr>
          <w:rFonts w:ascii="Arial" w:hAnsi="Arial" w:cs="Arial"/>
          <w:i/>
          <w:sz w:val="16"/>
          <w:szCs w:val="16"/>
        </w:rPr>
        <w:t xml:space="preserve"> October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E63B95">
        <w:rPr>
          <w:rFonts w:ascii="Arial" w:hAnsi="Arial" w:cs="Arial"/>
          <w:i/>
          <w:sz w:val="16"/>
          <w:szCs w:val="16"/>
        </w:rPr>
        <w:t>5</w:t>
      </w:r>
    </w:p>
    <w:sectPr w:rsidR="00DE2FB1" w:rsidRPr="00560F7F" w:rsidSect="0099618B">
      <w:footerReference w:type="default" r:id="rId10"/>
      <w:headerReference w:type="first" r:id="rId11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6E" w:rsidRDefault="0089316E">
      <w:r>
        <w:separator/>
      </w:r>
    </w:p>
  </w:endnote>
  <w:endnote w:type="continuationSeparator" w:id="0">
    <w:p w:rsidR="0089316E" w:rsidRDefault="0089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6E" w:rsidRPr="00AC3DAC" w:rsidRDefault="0089316E" w:rsidP="00CC3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6E" w:rsidRDefault="0089316E">
      <w:r>
        <w:separator/>
      </w:r>
    </w:p>
  </w:footnote>
  <w:footnote w:type="continuationSeparator" w:id="0">
    <w:p w:rsidR="0089316E" w:rsidRDefault="0089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6E" w:rsidRPr="00BB71CE" w:rsidRDefault="0089316E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16E" w:rsidRPr="00BB71CE" w:rsidRDefault="0089316E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4032B"/>
    <w:rsid w:val="00540633"/>
    <w:rsid w:val="00540DD4"/>
    <w:rsid w:val="00553ADB"/>
    <w:rsid w:val="00560F7F"/>
    <w:rsid w:val="00565FB7"/>
    <w:rsid w:val="0057674C"/>
    <w:rsid w:val="005908CB"/>
    <w:rsid w:val="005B0EAF"/>
    <w:rsid w:val="005B1432"/>
    <w:rsid w:val="005C37C3"/>
    <w:rsid w:val="005C37CC"/>
    <w:rsid w:val="005C6C60"/>
    <w:rsid w:val="005F1E82"/>
    <w:rsid w:val="005F586D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10765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9316E"/>
    <w:rsid w:val="008A3829"/>
    <w:rsid w:val="008A4E52"/>
    <w:rsid w:val="008B1A7C"/>
    <w:rsid w:val="008C63A0"/>
    <w:rsid w:val="008D3B57"/>
    <w:rsid w:val="008E12E7"/>
    <w:rsid w:val="008E778A"/>
    <w:rsid w:val="008F14F8"/>
    <w:rsid w:val="008F69CE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F25C6"/>
    <w:rsid w:val="00A01F4E"/>
    <w:rsid w:val="00A068C7"/>
    <w:rsid w:val="00A17444"/>
    <w:rsid w:val="00A32271"/>
    <w:rsid w:val="00A32492"/>
    <w:rsid w:val="00A3747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404"/>
    <w:rsid w:val="00BB4F66"/>
    <w:rsid w:val="00BB71CE"/>
    <w:rsid w:val="00BD3D2E"/>
    <w:rsid w:val="00BE48DE"/>
    <w:rsid w:val="00BE55E0"/>
    <w:rsid w:val="00BF6713"/>
    <w:rsid w:val="00C04A39"/>
    <w:rsid w:val="00C04A3D"/>
    <w:rsid w:val="00C210F3"/>
    <w:rsid w:val="00C33CFF"/>
    <w:rsid w:val="00C362E8"/>
    <w:rsid w:val="00C407D9"/>
    <w:rsid w:val="00C5374B"/>
    <w:rsid w:val="00C61C1E"/>
    <w:rsid w:val="00C8158D"/>
    <w:rsid w:val="00C93D2E"/>
    <w:rsid w:val="00CC056F"/>
    <w:rsid w:val="00CC3E33"/>
    <w:rsid w:val="00CD749B"/>
    <w:rsid w:val="00CE7A5D"/>
    <w:rsid w:val="00CF292E"/>
    <w:rsid w:val="00CF6356"/>
    <w:rsid w:val="00CF76A0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5374C"/>
    <w:rsid w:val="00D54D18"/>
    <w:rsid w:val="00D54DF2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64AC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5\Q4-Oct15\ANALYSIS-Bf-Q3-15\FORE-ANAL-Q4-2015-(WIP021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bands</a:t>
            </a:r>
            <a:endParaRPr lang="en-US" sz="1000" i="1"/>
          </a:p>
        </c:rich>
      </c:tx>
      <c:layout>
        <c:manualLayout>
          <c:xMode val="edge"/>
          <c:yMode val="edge"/>
          <c:x val="0.18269826136034356"/>
          <c:y val="3.1505986137366097E-2"/>
        </c:manualLayout>
      </c:layout>
    </c:title>
    <c:plotArea>
      <c:layout>
        <c:manualLayout>
          <c:layoutTarget val="inner"/>
          <c:xMode val="edge"/>
          <c:yMode val="edge"/>
          <c:x val="8.0751264390500066E-2"/>
          <c:y val="1.7152658662092625E-2"/>
          <c:w val="0.87794743513216078"/>
          <c:h val="0.8579591037398206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'FRE-CHARTS-1'!$H$8:$H$14</c:f>
              <c:strCache>
                <c:ptCount val="7"/>
                <c:pt idx="0">
                  <c:v>&lt;=2.499</c:v>
                </c:pt>
                <c:pt idx="1">
                  <c:v>2.5 - 2.599</c:v>
                </c:pt>
                <c:pt idx="2">
                  <c:v>2.6 - 2.619</c:v>
                </c:pt>
                <c:pt idx="3">
                  <c:v>2.62 - 2.629</c:v>
                </c:pt>
                <c:pt idx="4">
                  <c:v>2.63 - 2.639</c:v>
                </c:pt>
                <c:pt idx="5">
                  <c:v>2.64 - 2.669</c:v>
                </c:pt>
                <c:pt idx="6">
                  <c:v>2.67+</c:v>
                </c:pt>
              </c:strCache>
            </c:strRef>
          </c:cat>
          <c:val>
            <c:numRef>
              <c:f>'FRE-CHARTS-1'!$I$8:$I$14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'FRE-CHARTS-1'!$H$8:$H$14</c:f>
              <c:strCache>
                <c:ptCount val="7"/>
                <c:pt idx="0">
                  <c:v>&lt;=2.499</c:v>
                </c:pt>
                <c:pt idx="1">
                  <c:v>2.5 - 2.599</c:v>
                </c:pt>
                <c:pt idx="2">
                  <c:v>2.6 - 2.619</c:v>
                </c:pt>
                <c:pt idx="3">
                  <c:v>2.62 - 2.629</c:v>
                </c:pt>
                <c:pt idx="4">
                  <c:v>2.63 - 2.639</c:v>
                </c:pt>
                <c:pt idx="5">
                  <c:v>2.64 - 2.669</c:v>
                </c:pt>
                <c:pt idx="6">
                  <c:v>2.67+</c:v>
                </c:pt>
              </c:strCache>
            </c:strRef>
          </c:cat>
          <c:val>
            <c:numRef>
              <c:f>'FRE-CHARTS-1'!$J$8:$J$14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'FRE-CHARTS-1'!$K$7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'FRE-CHARTS-1'!$H$8:$H$14</c:f>
              <c:strCache>
                <c:ptCount val="7"/>
                <c:pt idx="0">
                  <c:v>&lt;=2.499</c:v>
                </c:pt>
                <c:pt idx="1">
                  <c:v>2.5 - 2.599</c:v>
                </c:pt>
                <c:pt idx="2">
                  <c:v>2.6 - 2.619</c:v>
                </c:pt>
                <c:pt idx="3">
                  <c:v>2.62 - 2.629</c:v>
                </c:pt>
                <c:pt idx="4">
                  <c:v>2.63 - 2.639</c:v>
                </c:pt>
                <c:pt idx="5">
                  <c:v>2.64 - 2.669</c:v>
                </c:pt>
                <c:pt idx="6">
                  <c:v>2.67+</c:v>
                </c:pt>
              </c:strCache>
            </c:strRef>
          </c:cat>
          <c:val>
            <c:numRef>
              <c:f>'FRE-CHARTS-1'!$K$8:$K$14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gapWidth val="33"/>
        <c:axId val="90782336"/>
        <c:axId val="90851968"/>
      </c:barChart>
      <c:catAx>
        <c:axId val="90782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90851968"/>
        <c:crosses val="autoZero"/>
        <c:auto val="1"/>
        <c:lblAlgn val="ctr"/>
        <c:lblOffset val="300"/>
      </c:catAx>
      <c:valAx>
        <c:axId val="908519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  <c:layout/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 sz="800"/>
            </a:pPr>
            <a:endParaRPr lang="en-US"/>
          </a:p>
        </c:txPr>
        <c:crossAx val="90782336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87838736067082523"/>
          <c:y val="0.16725214522748266"/>
          <c:w val="8.2894979036711322E-2"/>
          <c:h val="0.21275845818524594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D4AB-8EBA-4A86-BE6C-C25D07BB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4</cp:revision>
  <cp:lastPrinted>2013-07-29T10:54:00Z</cp:lastPrinted>
  <dcterms:created xsi:type="dcterms:W3CDTF">2015-10-29T09:19:00Z</dcterms:created>
  <dcterms:modified xsi:type="dcterms:W3CDTF">2015-10-29T09:39:00Z</dcterms:modified>
</cp:coreProperties>
</file>