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9B01CF" w:rsidRPr="009B01CF" w:rsidTr="00A50E76">
        <w:trPr>
          <w:trHeight w:val="154"/>
        </w:trPr>
        <w:tc>
          <w:tcPr>
            <w:tcW w:w="9962"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010E60" w:rsidRPr="009B01CF" w:rsidTr="009B01CF">
        <w:trPr>
          <w:trHeight w:val="154"/>
        </w:trPr>
        <w:tc>
          <w:tcPr>
            <w:tcW w:w="9962" w:type="dxa"/>
          </w:tcPr>
          <w:p w:rsidR="00010E60" w:rsidRPr="001E6A87" w:rsidRDefault="00010E60" w:rsidP="00080F0C">
            <w:pPr>
              <w:pStyle w:val="Heading1"/>
              <w:outlineLvl w:val="0"/>
              <w:rPr>
                <w:rFonts w:ascii="Arial" w:eastAsiaTheme="minorEastAsia" w:hAnsi="Arial" w:cs="Arial"/>
                <w:bCs/>
                <w:color w:val="1074CB"/>
                <w:sz w:val="40"/>
                <w:szCs w:val="40"/>
              </w:rPr>
            </w:pPr>
            <w:r w:rsidRPr="001E6A87">
              <w:rPr>
                <w:rFonts w:ascii="Arial" w:eastAsiaTheme="minorEastAsia" w:hAnsi="Arial" w:cs="Arial"/>
                <w:bCs/>
                <w:color w:val="1074CB"/>
                <w:sz w:val="40"/>
                <w:szCs w:val="40"/>
              </w:rPr>
              <w:t xml:space="preserve">UK COMMERCIAL VEHICLE MANUFACTURING </w:t>
            </w:r>
          </w:p>
        </w:tc>
      </w:tr>
      <w:tr w:rsidR="00010E60" w:rsidRPr="009B01CF" w:rsidTr="00593559">
        <w:trPr>
          <w:trHeight w:val="521"/>
        </w:trPr>
        <w:tc>
          <w:tcPr>
            <w:tcW w:w="9962" w:type="dxa"/>
            <w:tcBorders>
              <w:bottom w:val="single" w:sz="4" w:space="0" w:color="0070C0"/>
            </w:tcBorders>
          </w:tcPr>
          <w:p w:rsidR="00CC49B1" w:rsidRPr="00593559" w:rsidRDefault="00593559" w:rsidP="00593559">
            <w:pPr>
              <w:pStyle w:val="Heading1"/>
              <w:spacing w:line="276" w:lineRule="auto"/>
              <w:outlineLvl w:val="0"/>
              <w:rPr>
                <w:rFonts w:ascii="Arial" w:eastAsiaTheme="minorEastAsia" w:hAnsi="Arial" w:cs="Arial"/>
                <w:b w:val="0"/>
                <w:bCs/>
                <w:color w:val="1074CB"/>
                <w:sz w:val="28"/>
                <w:szCs w:val="28"/>
              </w:rPr>
            </w:pPr>
            <w:r>
              <w:rPr>
                <w:rFonts w:ascii="Arial" w:eastAsiaTheme="minorEastAsia" w:hAnsi="Arial" w:cs="Arial"/>
                <w:b w:val="0"/>
                <w:bCs/>
                <w:color w:val="1074CB"/>
                <w:sz w:val="44"/>
                <w:szCs w:val="44"/>
              </w:rPr>
              <w:t>30 June</w:t>
            </w:r>
            <w:r w:rsidR="007E3E1D">
              <w:rPr>
                <w:rFonts w:ascii="Arial" w:eastAsiaTheme="minorEastAsia" w:hAnsi="Arial" w:cs="Arial"/>
                <w:b w:val="0"/>
                <w:bCs/>
                <w:color w:val="1074CB"/>
                <w:sz w:val="44"/>
                <w:szCs w:val="44"/>
              </w:rPr>
              <w:t xml:space="preserve"> </w:t>
            </w:r>
            <w:r w:rsidR="00010E60" w:rsidRPr="001E6A87">
              <w:rPr>
                <w:rFonts w:ascii="Arial" w:eastAsiaTheme="minorEastAsia" w:hAnsi="Arial" w:cs="Arial"/>
                <w:b w:val="0"/>
                <w:bCs/>
                <w:color w:val="1074CB"/>
                <w:sz w:val="44"/>
                <w:szCs w:val="44"/>
              </w:rPr>
              <w:t>2016</w:t>
            </w:r>
            <w:r w:rsidR="00010E60" w:rsidRPr="001E6A87">
              <w:rPr>
                <w:rFonts w:ascii="Arial" w:eastAsiaTheme="minorEastAsia" w:hAnsi="Arial" w:cs="Arial"/>
                <w:bCs/>
                <w:color w:val="FF0000"/>
                <w:sz w:val="44"/>
                <w:szCs w:val="44"/>
              </w:rPr>
              <w:t xml:space="preserve"> </w:t>
            </w:r>
            <w:r w:rsidR="00010E60" w:rsidRPr="001E6A87">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May</w:t>
            </w:r>
            <w:r w:rsidR="00CC49B1">
              <w:rPr>
                <w:rFonts w:ascii="Arial" w:eastAsiaTheme="minorEastAsia" w:hAnsi="Arial" w:cs="Arial"/>
                <w:b w:val="0"/>
                <w:bCs/>
                <w:color w:val="1074CB"/>
                <w:sz w:val="28"/>
                <w:szCs w:val="28"/>
              </w:rPr>
              <w:t xml:space="preserve"> </w:t>
            </w:r>
            <w:r w:rsidR="00010E60" w:rsidRPr="001E6A87">
              <w:rPr>
                <w:rFonts w:ascii="Arial" w:eastAsiaTheme="minorEastAsia" w:hAnsi="Arial" w:cs="Arial"/>
                <w:b w:val="0"/>
                <w:bCs/>
                <w:color w:val="1074CB"/>
                <w:sz w:val="28"/>
                <w:szCs w:val="28"/>
              </w:rPr>
              <w:t>2016)</w:t>
            </w:r>
          </w:p>
        </w:tc>
      </w:tr>
      <w:tr w:rsidR="009B01CF" w:rsidRPr="009B01CF" w:rsidTr="00A50E76">
        <w:trPr>
          <w:trHeight w:val="154"/>
        </w:trPr>
        <w:tc>
          <w:tcPr>
            <w:tcW w:w="9962"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CC49B1" w:rsidRPr="009B01CF" w:rsidTr="009B01CF">
        <w:trPr>
          <w:trHeight w:val="154"/>
        </w:trPr>
        <w:tc>
          <w:tcPr>
            <w:tcW w:w="9962" w:type="dxa"/>
          </w:tcPr>
          <w:p w:rsidR="00CC49B1" w:rsidRDefault="00053B01" w:rsidP="00577B1E">
            <w:pPr>
              <w:spacing w:before="100" w:beforeAutospacing="1" w:after="100" w:afterAutospacing="1" w:line="154" w:lineRule="atLeast"/>
              <w:rPr>
                <w:rFonts w:eastAsiaTheme="minorHAnsi"/>
                <w:szCs w:val="24"/>
              </w:rPr>
            </w:pPr>
            <w:r>
              <w:rPr>
                <w:rFonts w:ascii="Arial" w:hAnsi="Arial" w:cs="Arial"/>
                <w:b/>
                <w:bCs/>
                <w:color w:val="1074CB"/>
                <w:sz w:val="32"/>
                <w:szCs w:val="32"/>
              </w:rPr>
              <w:t>UK CV production enjoys double-</w:t>
            </w:r>
            <w:r w:rsidR="00593559" w:rsidRPr="00593559">
              <w:rPr>
                <w:rFonts w:ascii="Arial" w:hAnsi="Arial" w:cs="Arial"/>
                <w:b/>
                <w:bCs/>
                <w:color w:val="1074CB"/>
                <w:sz w:val="32"/>
                <w:szCs w:val="32"/>
              </w:rPr>
              <w:t>digit boost in May</w:t>
            </w:r>
          </w:p>
        </w:tc>
      </w:tr>
      <w:tr w:rsidR="00CC49B1" w:rsidRPr="009B01CF" w:rsidTr="009B01CF">
        <w:trPr>
          <w:trHeight w:val="154"/>
        </w:trPr>
        <w:tc>
          <w:tcPr>
            <w:tcW w:w="9962" w:type="dxa"/>
          </w:tcPr>
          <w:p w:rsidR="00CC49B1" w:rsidRDefault="00CC49B1">
            <w:pPr>
              <w:spacing w:line="154" w:lineRule="atLeast"/>
              <w:rPr>
                <w:rFonts w:eastAsiaTheme="minorHAnsi"/>
                <w:szCs w:val="24"/>
              </w:rPr>
            </w:pPr>
            <w:r>
              <w:t> </w:t>
            </w:r>
          </w:p>
        </w:tc>
      </w:tr>
      <w:tr w:rsidR="00CC49B1" w:rsidRPr="009B01CF" w:rsidTr="009B01CF">
        <w:trPr>
          <w:trHeight w:val="874"/>
        </w:trPr>
        <w:tc>
          <w:tcPr>
            <w:tcW w:w="9962" w:type="dxa"/>
          </w:tcPr>
          <w:p w:rsidR="00593559" w:rsidRPr="00593559" w:rsidRDefault="00593559" w:rsidP="00593559">
            <w:pPr>
              <w:pStyle w:val="ListParagraph"/>
              <w:numPr>
                <w:ilvl w:val="0"/>
                <w:numId w:val="24"/>
              </w:numPr>
              <w:spacing w:line="276" w:lineRule="auto"/>
              <w:ind w:left="426"/>
              <w:rPr>
                <w:rFonts w:ascii="Arial" w:eastAsiaTheme="minorHAnsi" w:hAnsi="Arial" w:cs="Arial"/>
                <w:sz w:val="20"/>
              </w:rPr>
            </w:pPr>
            <w:r w:rsidRPr="00593559">
              <w:rPr>
                <w:rFonts w:ascii="Arial" w:eastAsiaTheme="minorHAnsi" w:hAnsi="Arial" w:cs="Arial"/>
                <w:sz w:val="20"/>
              </w:rPr>
              <w:t>May UK commercial vehicle (CV) output increases 13.8% to 7,748 units.</w:t>
            </w:r>
          </w:p>
          <w:p w:rsidR="00593559" w:rsidRPr="00593559" w:rsidRDefault="00593559" w:rsidP="00593559">
            <w:pPr>
              <w:pStyle w:val="ListParagraph"/>
              <w:numPr>
                <w:ilvl w:val="0"/>
                <w:numId w:val="24"/>
              </w:numPr>
              <w:spacing w:line="276" w:lineRule="auto"/>
              <w:ind w:left="426"/>
              <w:rPr>
                <w:rFonts w:ascii="Arial" w:eastAsiaTheme="minorHAnsi" w:hAnsi="Arial" w:cs="Arial"/>
                <w:sz w:val="20"/>
              </w:rPr>
            </w:pPr>
            <w:r w:rsidRPr="00593559">
              <w:rPr>
                <w:rFonts w:ascii="Arial" w:eastAsiaTheme="minorHAnsi" w:hAnsi="Arial" w:cs="Arial"/>
                <w:sz w:val="20"/>
              </w:rPr>
              <w:t>Home market drives growth, with demand rising 23.5% compared with the same month in 2014.</w:t>
            </w:r>
          </w:p>
          <w:p w:rsidR="00CC49B1" w:rsidRDefault="00593559" w:rsidP="00593559">
            <w:pPr>
              <w:pStyle w:val="ListParagraph"/>
              <w:numPr>
                <w:ilvl w:val="0"/>
                <w:numId w:val="24"/>
              </w:numPr>
              <w:spacing w:line="276" w:lineRule="auto"/>
              <w:ind w:left="426"/>
              <w:contextualSpacing w:val="0"/>
              <w:rPr>
                <w:rFonts w:ascii="Arial" w:hAnsi="Arial" w:cs="Arial"/>
                <w:sz w:val="20"/>
              </w:rPr>
            </w:pPr>
            <w:r w:rsidRPr="00593559">
              <w:rPr>
                <w:rFonts w:ascii="Arial" w:eastAsiaTheme="minorHAnsi" w:hAnsi="Arial" w:cs="Arial"/>
                <w:sz w:val="20"/>
              </w:rPr>
              <w:t>Exports grow 5.7% as European economic recovery continues.</w:t>
            </w:r>
          </w:p>
        </w:tc>
      </w:tr>
      <w:tr w:rsidR="00CC49B1" w:rsidRPr="009B01CF" w:rsidTr="009B01CF">
        <w:trPr>
          <w:trHeight w:val="154"/>
        </w:trPr>
        <w:tc>
          <w:tcPr>
            <w:tcW w:w="9962" w:type="dxa"/>
          </w:tcPr>
          <w:p w:rsidR="00CC49B1" w:rsidRDefault="00CC49B1" w:rsidP="00CC49B1">
            <w:pPr>
              <w:pStyle w:val="PlainText"/>
              <w:spacing w:line="276" w:lineRule="auto"/>
              <w:jc w:val="both"/>
              <w:rPr>
                <w:rFonts w:cs="Arial"/>
                <w:szCs w:val="20"/>
              </w:rPr>
            </w:pPr>
          </w:p>
        </w:tc>
      </w:tr>
      <w:tr w:rsidR="00CC49B1" w:rsidRPr="009B01CF" w:rsidTr="00010E60">
        <w:trPr>
          <w:trHeight w:val="2364"/>
        </w:trPr>
        <w:tc>
          <w:tcPr>
            <w:tcW w:w="9962" w:type="dxa"/>
          </w:tcPr>
          <w:p w:rsidR="00593559" w:rsidRPr="00593559" w:rsidRDefault="00593559" w:rsidP="00593559">
            <w:pPr>
              <w:spacing w:line="276" w:lineRule="auto"/>
              <w:jc w:val="both"/>
            </w:pPr>
            <w:r w:rsidRPr="00593559">
              <w:rPr>
                <w:rFonts w:ascii="Arial" w:hAnsi="Arial" w:cs="Arial"/>
                <w:b/>
                <w:bCs/>
                <w:sz w:val="20"/>
              </w:rPr>
              <w:t>Thursday 30 June, 2016</w:t>
            </w:r>
            <w:r w:rsidRPr="00593559">
              <w:rPr>
                <w:rFonts w:ascii="Arial" w:hAnsi="Arial" w:cs="Arial"/>
                <w:sz w:val="20"/>
              </w:rPr>
              <w:t xml:space="preserve"> UK CV manufacturing volumes rose last month, with output growing 13.8% to 7,748 units, according to figures published today by the Society of Motor Manufacturers and Traders (SMMT). The home market drove output</w:t>
            </w:r>
            <w:r w:rsidR="00053B01">
              <w:rPr>
                <w:rFonts w:ascii="Arial" w:hAnsi="Arial" w:cs="Arial"/>
                <w:sz w:val="20"/>
              </w:rPr>
              <w:t>,</w:t>
            </w:r>
            <w:r w:rsidRPr="00593559">
              <w:rPr>
                <w:rFonts w:ascii="Arial" w:hAnsi="Arial" w:cs="Arial"/>
                <w:sz w:val="20"/>
              </w:rPr>
              <w:t xml:space="preserve"> with demand up almost a quarter, while production for export also enjoyed substantial gains, putting the overall sector up by 2.7% in the year to date. </w:t>
            </w:r>
          </w:p>
          <w:p w:rsidR="00593559" w:rsidRPr="00593559" w:rsidRDefault="00593559" w:rsidP="00593559">
            <w:pPr>
              <w:spacing w:line="276" w:lineRule="auto"/>
              <w:jc w:val="both"/>
            </w:pPr>
            <w:r w:rsidRPr="00593559">
              <w:rPr>
                <w:rFonts w:ascii="Arial" w:hAnsi="Arial" w:cs="Arial"/>
                <w:sz w:val="20"/>
              </w:rPr>
              <w:t> </w:t>
            </w:r>
          </w:p>
          <w:p w:rsidR="00593559" w:rsidRPr="00593559" w:rsidRDefault="00593559" w:rsidP="00593559">
            <w:pPr>
              <w:spacing w:line="276" w:lineRule="auto"/>
              <w:jc w:val="both"/>
            </w:pPr>
            <w:r w:rsidRPr="00593559">
              <w:rPr>
                <w:rFonts w:ascii="Arial" w:hAnsi="Arial" w:cs="Arial"/>
                <w:sz w:val="20"/>
              </w:rPr>
              <w:t>The news comes as European commercial vehicle markets reported a 17</w:t>
            </w:r>
            <w:r w:rsidRPr="00053B01">
              <w:rPr>
                <w:rFonts w:ascii="Arial" w:hAnsi="Arial" w:cs="Arial"/>
                <w:sz w:val="20"/>
                <w:vertAlign w:val="superscript"/>
              </w:rPr>
              <w:t>th</w:t>
            </w:r>
            <w:r w:rsidRPr="00593559">
              <w:rPr>
                <w:rFonts w:ascii="Arial" w:hAnsi="Arial" w:cs="Arial"/>
                <w:sz w:val="20"/>
              </w:rPr>
              <w:t xml:space="preserve"> month of growth as the region continued its economic recovery. New </w:t>
            </w:r>
            <w:r w:rsidR="002F5E21">
              <w:rPr>
                <w:rFonts w:ascii="Arial" w:hAnsi="Arial" w:cs="Arial"/>
                <w:sz w:val="20"/>
              </w:rPr>
              <w:t xml:space="preserve">commercial </w:t>
            </w:r>
            <w:r w:rsidRPr="00593559">
              <w:rPr>
                <w:rFonts w:ascii="Arial" w:hAnsi="Arial" w:cs="Arial"/>
                <w:sz w:val="20"/>
              </w:rPr>
              <w:t>vehicle registrations in Europe grew 16.4% in May, with the market up 13.5% for the first five months of 2016</w:t>
            </w:r>
            <w:r w:rsidR="00053B01" w:rsidRPr="00053B01">
              <w:rPr>
                <w:rFonts w:ascii="Arial" w:hAnsi="Arial" w:cs="Arial"/>
                <w:sz w:val="20"/>
                <w:vertAlign w:val="superscript"/>
              </w:rPr>
              <w:t>1</w:t>
            </w:r>
            <w:r w:rsidRPr="00593559">
              <w:rPr>
                <w:rFonts w:ascii="Arial" w:hAnsi="Arial" w:cs="Arial"/>
                <w:sz w:val="20"/>
              </w:rPr>
              <w:t>.</w:t>
            </w:r>
          </w:p>
          <w:p w:rsidR="00593559" w:rsidRPr="00593559" w:rsidRDefault="00593559" w:rsidP="00593559">
            <w:pPr>
              <w:spacing w:line="276" w:lineRule="auto"/>
              <w:jc w:val="both"/>
            </w:pPr>
            <w:r w:rsidRPr="00593559">
              <w:rPr>
                <w:rFonts w:ascii="Arial" w:hAnsi="Arial" w:cs="Arial"/>
                <w:b/>
                <w:bCs/>
                <w:sz w:val="20"/>
              </w:rPr>
              <w:t> </w:t>
            </w:r>
          </w:p>
          <w:p w:rsidR="00CC49B1" w:rsidRPr="00593559" w:rsidRDefault="00053B01" w:rsidP="00053B01">
            <w:pPr>
              <w:spacing w:line="276" w:lineRule="auto"/>
              <w:jc w:val="both"/>
            </w:pPr>
            <w:r>
              <w:rPr>
                <w:rFonts w:ascii="Arial" w:hAnsi="Arial" w:cs="Arial"/>
                <w:b/>
                <w:bCs/>
                <w:sz w:val="20"/>
              </w:rPr>
              <w:t>Mike Hawes, SMMT</w:t>
            </w:r>
            <w:r w:rsidR="00593559" w:rsidRPr="00593559">
              <w:rPr>
                <w:rFonts w:ascii="Arial" w:hAnsi="Arial" w:cs="Arial"/>
                <w:b/>
                <w:bCs/>
                <w:sz w:val="20"/>
              </w:rPr>
              <w:t xml:space="preserve"> Chief Executive, said,</w:t>
            </w:r>
            <w:r w:rsidR="00593559" w:rsidRPr="00593559">
              <w:rPr>
                <w:rFonts w:ascii="Arial" w:hAnsi="Arial" w:cs="Arial"/>
                <w:sz w:val="20"/>
              </w:rPr>
              <w:t xml:space="preserve"> “It’s good to see UK commercial vehicle manufacturing performing strongly in May which puts it on track for a positive 2016. The commercial vehicle market is linked to economic confidence in the UK and Europe</w:t>
            </w:r>
            <w:r>
              <w:rPr>
                <w:rFonts w:ascii="Arial" w:hAnsi="Arial" w:cs="Arial"/>
                <w:sz w:val="20"/>
              </w:rPr>
              <w:t>, with</w:t>
            </w:r>
            <w:r w:rsidR="00593559" w:rsidRPr="00593559">
              <w:rPr>
                <w:rFonts w:ascii="Arial" w:hAnsi="Arial" w:cs="Arial"/>
                <w:sz w:val="20"/>
              </w:rPr>
              <w:t xml:space="preserve"> 88% of UK-built CV exports shipped to the continent last year. For this performance to continue, we need to ensure we maintain free access to our main markets as well as pursuing new global opportunities.”</w:t>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154"/>
        </w:trPr>
        <w:tc>
          <w:tcPr>
            <w:tcW w:w="9962" w:type="dxa"/>
          </w:tcPr>
          <w:p w:rsidR="009B01CF" w:rsidRPr="009B01CF" w:rsidRDefault="00577B1E" w:rsidP="009B01CF">
            <w:pPr>
              <w:spacing w:line="276" w:lineRule="auto"/>
              <w:jc w:val="both"/>
              <w:rPr>
                <w:rFonts w:ascii="Arial" w:hAnsi="Arial" w:cs="Arial"/>
                <w:sz w:val="20"/>
              </w:rPr>
            </w:pPr>
            <w:r>
              <w:rPr>
                <w:rFonts w:ascii="Arial" w:hAnsi="Arial" w:cs="Arial"/>
                <w:noProof/>
                <w:sz w:val="20"/>
              </w:rPr>
              <w:drawing>
                <wp:inline distT="0" distB="0" distL="0" distR="0">
                  <wp:extent cx="6098923" cy="1408055"/>
                  <wp:effectExtent l="19050" t="0" r="0" b="0"/>
                  <wp:docPr id="1" name="Picture 0" descr="CV Manufacturing table _Ap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Manufacturing table _Apr16.png"/>
                          <pic:cNvPicPr/>
                        </pic:nvPicPr>
                        <pic:blipFill>
                          <a:blip r:embed="rId8"/>
                          <a:stretch>
                            <a:fillRect/>
                          </a:stretch>
                        </pic:blipFill>
                        <pic:spPr>
                          <a:xfrm>
                            <a:off x="0" y="0"/>
                            <a:ext cx="6098923" cy="1408055"/>
                          </a:xfrm>
                          <a:prstGeom prst="rect">
                            <a:avLst/>
                          </a:prstGeom>
                        </pic:spPr>
                      </pic:pic>
                    </a:graphicData>
                  </a:graphic>
                </wp:inline>
              </w:drawing>
            </w:r>
          </w:p>
        </w:tc>
      </w:tr>
      <w:tr w:rsidR="00473848" w:rsidRPr="009B01CF" w:rsidTr="00473848">
        <w:trPr>
          <w:trHeight w:val="80"/>
        </w:trPr>
        <w:tc>
          <w:tcPr>
            <w:tcW w:w="9962" w:type="dxa"/>
          </w:tcPr>
          <w:p w:rsidR="00473848" w:rsidRPr="00473848" w:rsidRDefault="00473848" w:rsidP="00473848">
            <w:pPr>
              <w:spacing w:line="276" w:lineRule="auto"/>
              <w:jc w:val="center"/>
              <w:rPr>
                <w:rFonts w:ascii="Arial" w:hAnsi="Arial" w:cs="Arial"/>
                <w:sz w:val="12"/>
              </w:rPr>
            </w:pPr>
          </w:p>
        </w:tc>
      </w:tr>
      <w:tr w:rsidR="00010E60" w:rsidRPr="009B01CF" w:rsidTr="009B01CF">
        <w:trPr>
          <w:trHeight w:val="154"/>
        </w:trPr>
        <w:tc>
          <w:tcPr>
            <w:tcW w:w="9962" w:type="dxa"/>
          </w:tcPr>
          <w:p w:rsidR="00010E60" w:rsidRPr="009B01CF" w:rsidRDefault="00473848" w:rsidP="00473848">
            <w:pPr>
              <w:spacing w:line="276" w:lineRule="auto"/>
              <w:jc w:val="center"/>
              <w:rPr>
                <w:rFonts w:ascii="Arial" w:hAnsi="Arial" w:cs="Arial"/>
                <w:sz w:val="20"/>
              </w:rPr>
            </w:pPr>
            <w:r w:rsidRPr="00473848">
              <w:rPr>
                <w:rFonts w:ascii="Arial" w:hAnsi="Arial" w:cs="Arial"/>
                <w:sz w:val="20"/>
              </w:rPr>
              <w:drawing>
                <wp:inline distT="0" distB="0" distL="0" distR="0">
                  <wp:extent cx="4076700" cy="2851239"/>
                  <wp:effectExtent l="19050" t="0" r="0" b="0"/>
                  <wp:docPr id="4" name="Picture 1" descr="F:\Comms\News Releases\Manufacturing\2016\05 May\Charts\CV output rolling year totals 2009-2016 M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s\News Releases\Manufacturing\2016\05 May\Charts\CV output rolling year totals 2009-2016 May.png"/>
                          <pic:cNvPicPr>
                            <a:picLocks noChangeAspect="1" noChangeArrowheads="1"/>
                          </pic:cNvPicPr>
                        </pic:nvPicPr>
                        <pic:blipFill>
                          <a:blip r:embed="rId9"/>
                          <a:srcRect/>
                          <a:stretch>
                            <a:fillRect/>
                          </a:stretch>
                        </pic:blipFill>
                        <pic:spPr bwMode="auto">
                          <a:xfrm>
                            <a:off x="0" y="0"/>
                            <a:ext cx="4076700" cy="2851239"/>
                          </a:xfrm>
                          <a:prstGeom prst="rect">
                            <a:avLst/>
                          </a:prstGeom>
                          <a:noFill/>
                          <a:ln w="9525">
                            <a:noFill/>
                            <a:miter lim="800000"/>
                            <a:headEnd/>
                            <a:tailEnd/>
                          </a:ln>
                        </pic:spPr>
                      </pic:pic>
                    </a:graphicData>
                  </a:graphic>
                </wp:inline>
              </w:drawing>
            </w:r>
          </w:p>
        </w:tc>
      </w:tr>
      <w:tr w:rsidR="009B01CF" w:rsidRPr="009B01CF" w:rsidTr="001D5784">
        <w:trPr>
          <w:trHeight w:val="3009"/>
        </w:trPr>
        <w:tc>
          <w:tcPr>
            <w:tcW w:w="9962" w:type="dxa"/>
          </w:tcPr>
          <w:p w:rsidR="00593559" w:rsidRPr="009B01CF" w:rsidRDefault="00593559" w:rsidP="00593559">
            <w:pPr>
              <w:spacing w:after="240" w:line="276" w:lineRule="auto"/>
              <w:rPr>
                <w:rFonts w:ascii="Arial" w:hAnsi="Arial" w:cs="Arial"/>
                <w:b/>
                <w:color w:val="1074CB"/>
                <w:sz w:val="16"/>
              </w:rPr>
            </w:pPr>
            <w:r w:rsidRPr="009B01CF">
              <w:rPr>
                <w:rFonts w:ascii="Arial" w:hAnsi="Arial" w:cs="Arial"/>
                <w:b/>
                <w:color w:val="1074CB"/>
                <w:sz w:val="16"/>
                <w:u w:val="single"/>
              </w:rPr>
              <w:lastRenderedPageBreak/>
              <w:t>Notes to editors</w:t>
            </w:r>
          </w:p>
          <w:p w:rsidR="00053B01" w:rsidRDefault="00053B01" w:rsidP="00364323">
            <w:pPr>
              <w:spacing w:after="240"/>
              <w:rPr>
                <w:rFonts w:ascii="Arial" w:hAnsi="Arial" w:cs="Arial"/>
                <w:b/>
                <w:bCs/>
                <w:color w:val="1074CB"/>
                <w:sz w:val="16"/>
                <w:szCs w:val="16"/>
                <w:lang w:val="fr-BE"/>
              </w:rPr>
            </w:pPr>
            <w:r>
              <w:rPr>
                <w:rFonts w:ascii="Arial" w:hAnsi="Arial" w:cs="Arial"/>
                <w:b/>
                <w:bCs/>
                <w:color w:val="1074CB"/>
                <w:sz w:val="16"/>
                <w:szCs w:val="16"/>
                <w:lang w:val="fr-BE"/>
              </w:rPr>
              <w:t xml:space="preserve">1. </w:t>
            </w:r>
            <w:r w:rsidRPr="00053B01">
              <w:rPr>
                <w:rFonts w:ascii="Arial" w:hAnsi="Arial" w:cs="Arial"/>
                <w:bCs/>
                <w:color w:val="1074CB"/>
                <w:sz w:val="16"/>
                <w:szCs w:val="16"/>
                <w:lang w:val="fr-BE"/>
              </w:rPr>
              <w:t>European Automobile Manufacturers Association (ACEA)</w:t>
            </w:r>
          </w:p>
          <w:p w:rsidR="00364323" w:rsidRPr="00364323" w:rsidRDefault="00364323" w:rsidP="00364323">
            <w:pPr>
              <w:spacing w:after="240"/>
              <w:rPr>
                <w:rFonts w:ascii="Arial" w:hAnsi="Arial" w:cs="Arial"/>
                <w:color w:val="000000"/>
                <w:sz w:val="16"/>
                <w:szCs w:val="16"/>
                <w:lang w:val="fr-BE"/>
              </w:rPr>
            </w:pPr>
            <w:r w:rsidRPr="007051E3">
              <w:rPr>
                <w:rFonts w:ascii="Arial" w:hAnsi="Arial" w:cs="Arial"/>
                <w:b/>
                <w:bCs/>
                <w:color w:val="1074CB"/>
                <w:sz w:val="16"/>
                <w:szCs w:val="16"/>
                <w:lang w:val="fr-BE"/>
              </w:rPr>
              <w:t>Hi-res images available here: </w:t>
            </w:r>
            <w:hyperlink r:id="rId10" w:history="1">
              <w:r w:rsidR="000C75BC" w:rsidRPr="000C75BC">
                <w:rPr>
                  <w:rStyle w:val="Hyperlink"/>
                  <w:rFonts w:ascii="Arial" w:hAnsi="Arial" w:cs="Arial"/>
                  <w:bCs/>
                  <w:sz w:val="16"/>
                  <w:szCs w:val="16"/>
                  <w:lang w:val="fr-BE"/>
                </w:rPr>
                <w:t>https://www.dropbox.com/sh/3ghc59wysza8w8p/AACRUiNht04GgafnMwZoQYoza?dl=0</w:t>
              </w:r>
              <w:r w:rsidRPr="000C75BC">
                <w:rPr>
                  <w:rStyle w:val="Hyperlink"/>
                  <w:rFonts w:ascii="Arial" w:hAnsi="Arial" w:cs="Arial"/>
                  <w:sz w:val="16"/>
                  <w:szCs w:val="16"/>
                  <w:lang w:val="fr-BE"/>
                </w:rPr>
                <w:t xml:space="preserve"> </w:t>
              </w:r>
            </w:hyperlink>
          </w:p>
          <w:p w:rsidR="00593559" w:rsidRDefault="00593559" w:rsidP="00593559">
            <w:pPr>
              <w:spacing w:after="120" w:line="276" w:lineRule="auto"/>
              <w:rPr>
                <w:rFonts w:ascii="Segoe UI" w:hAnsi="Segoe UI" w:cs="Segoe UI"/>
                <w:color w:val="000000"/>
                <w:sz w:val="18"/>
                <w:szCs w:val="18"/>
              </w:rPr>
            </w:pPr>
            <w:r>
              <w:rPr>
                <w:rFonts w:ascii="Arial" w:hAnsi="Arial" w:cs="Arial"/>
                <w:b/>
                <w:bCs/>
                <w:color w:val="1074CB"/>
                <w:sz w:val="16"/>
                <w:szCs w:val="16"/>
              </w:rPr>
              <w:t>About SMMT and the UK automotive industry</w:t>
            </w:r>
          </w:p>
          <w:p w:rsidR="00593559" w:rsidRDefault="00593559" w:rsidP="00593559">
            <w:pPr>
              <w:spacing w:after="120" w:line="276" w:lineRule="auto"/>
              <w:rPr>
                <w:rFonts w:ascii="Segoe UI" w:hAnsi="Segoe UI" w:cs="Segoe UI"/>
                <w:color w:val="000000"/>
                <w:sz w:val="18"/>
                <w:szCs w:val="18"/>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593559" w:rsidRDefault="00593559" w:rsidP="00593559">
            <w:pPr>
              <w:spacing w:after="120" w:line="276" w:lineRule="auto"/>
              <w:rPr>
                <w:rFonts w:ascii="Segoe UI" w:hAnsi="Segoe UI" w:cs="Segoe UI"/>
                <w:color w:val="000000"/>
                <w:sz w:val="18"/>
                <w:szCs w:val="18"/>
              </w:rPr>
            </w:pPr>
            <w:r>
              <w:rPr>
                <w:rFonts w:ascii="Arial" w:hAnsi="Arial" w:cs="Arial"/>
                <w:color w:val="1074CB"/>
                <w:sz w:val="16"/>
                <w:szCs w:val="16"/>
              </w:rPr>
              <w:t>The automotive industry is a vital part of the UK economy accounting for more than</w:t>
            </w:r>
            <w:r>
              <w:rPr>
                <w:rStyle w:val="apple-converted-space"/>
                <w:rFonts w:ascii="Arial" w:hAnsi="Arial" w:cs="Arial"/>
                <w:color w:val="1074CB"/>
                <w:sz w:val="16"/>
                <w:szCs w:val="16"/>
              </w:rPr>
              <w:t> </w:t>
            </w:r>
            <w:r>
              <w:rPr>
                <w:rFonts w:ascii="Arial" w:hAnsi="Arial" w:cs="Arial"/>
                <w:b/>
                <w:bCs/>
                <w:color w:val="1074CB"/>
                <w:sz w:val="16"/>
                <w:szCs w:val="16"/>
              </w:rPr>
              <w:t>£71.6 billion turnover</w:t>
            </w:r>
            <w:r>
              <w:rPr>
                <w:rStyle w:val="apple-converted-space"/>
                <w:rFonts w:ascii="Arial" w:hAnsi="Arial" w:cs="Arial"/>
                <w:color w:val="1074CB"/>
                <w:sz w:val="16"/>
                <w:szCs w:val="16"/>
              </w:rPr>
              <w:t> </w:t>
            </w:r>
            <w:r>
              <w:rPr>
                <w:rFonts w:ascii="Arial" w:hAnsi="Arial" w:cs="Arial"/>
                <w:color w:val="1074CB"/>
                <w:sz w:val="16"/>
                <w:szCs w:val="16"/>
              </w:rPr>
              <w:t>and</w:t>
            </w:r>
            <w:r>
              <w:rPr>
                <w:rStyle w:val="apple-converted-space"/>
                <w:rFonts w:ascii="Arial" w:hAnsi="Arial" w:cs="Arial"/>
                <w:color w:val="1074CB"/>
                <w:sz w:val="16"/>
                <w:szCs w:val="16"/>
              </w:rPr>
              <w:t> </w:t>
            </w:r>
            <w:r>
              <w:rPr>
                <w:rFonts w:ascii="Arial" w:hAnsi="Arial" w:cs="Arial"/>
                <w:b/>
                <w:bCs/>
                <w:color w:val="1074CB"/>
                <w:sz w:val="16"/>
                <w:szCs w:val="16"/>
              </w:rPr>
              <w:t>£18.9 billion value added</w:t>
            </w:r>
            <w:r>
              <w:rPr>
                <w:rFonts w:ascii="Arial" w:hAnsi="Arial" w:cs="Arial"/>
                <w:color w:val="1074CB"/>
                <w:sz w:val="16"/>
                <w:szCs w:val="16"/>
              </w:rPr>
              <w:t>. With some</w:t>
            </w:r>
            <w:r>
              <w:rPr>
                <w:rStyle w:val="apple-converted-space"/>
                <w:rFonts w:ascii="Arial" w:hAnsi="Arial" w:cs="Arial"/>
                <w:color w:val="1074CB"/>
                <w:sz w:val="16"/>
                <w:szCs w:val="16"/>
              </w:rPr>
              <w:t> </w:t>
            </w:r>
            <w:r>
              <w:rPr>
                <w:rFonts w:ascii="Arial" w:hAnsi="Arial" w:cs="Arial"/>
                <w:b/>
                <w:bCs/>
                <w:color w:val="1074CB"/>
                <w:sz w:val="16"/>
                <w:szCs w:val="16"/>
              </w:rPr>
              <w:t>169,000</w:t>
            </w:r>
            <w:r>
              <w:rPr>
                <w:rStyle w:val="apple-converted-space"/>
                <w:rFonts w:ascii="Arial" w:hAnsi="Arial" w:cs="Arial"/>
                <w:b/>
                <w:bCs/>
                <w:color w:val="1074CB"/>
                <w:sz w:val="16"/>
                <w:szCs w:val="16"/>
              </w:rPr>
              <w:t> </w:t>
            </w:r>
            <w:r>
              <w:rPr>
                <w:rFonts w:ascii="Arial" w:hAnsi="Arial" w:cs="Arial"/>
                <w:color w:val="1074CB"/>
                <w:sz w:val="16"/>
                <w:szCs w:val="16"/>
              </w:rPr>
              <w:t>people employed directly in manufacturing and</w:t>
            </w:r>
            <w:r>
              <w:rPr>
                <w:rStyle w:val="apple-converted-space"/>
                <w:rFonts w:ascii="Arial" w:hAnsi="Arial" w:cs="Arial"/>
                <w:color w:val="1074CB"/>
                <w:sz w:val="16"/>
                <w:szCs w:val="16"/>
              </w:rPr>
              <w:t> </w:t>
            </w:r>
            <w:r>
              <w:rPr>
                <w:rFonts w:ascii="Arial" w:hAnsi="Arial" w:cs="Arial"/>
                <w:b/>
                <w:bCs/>
                <w:color w:val="1074CB"/>
                <w:sz w:val="16"/>
                <w:szCs w:val="16"/>
              </w:rPr>
              <w:t>814,000</w:t>
            </w:r>
            <w:r>
              <w:rPr>
                <w:rStyle w:val="apple-converted-space"/>
                <w:rFonts w:ascii="Arial" w:hAnsi="Arial" w:cs="Arial"/>
                <w:color w:val="1074CB"/>
                <w:sz w:val="16"/>
                <w:szCs w:val="16"/>
              </w:rPr>
              <w:t> </w:t>
            </w:r>
            <w:r>
              <w:rPr>
                <w:rFonts w:ascii="Arial" w:hAnsi="Arial" w:cs="Arial"/>
                <w:color w:val="1074CB"/>
                <w:sz w:val="16"/>
                <w:szCs w:val="16"/>
              </w:rPr>
              <w:t>across the wider automotive industry, it accounts for</w:t>
            </w:r>
            <w:r>
              <w:rPr>
                <w:rFonts w:ascii="Arial" w:hAnsi="Arial" w:cs="Arial"/>
                <w:b/>
                <w:bCs/>
                <w:color w:val="1074CB"/>
                <w:sz w:val="16"/>
                <w:szCs w:val="16"/>
              </w:rPr>
              <w:t>12.0% of total UK export of goods</w:t>
            </w:r>
            <w:r>
              <w:rPr>
                <w:rStyle w:val="apple-converted-space"/>
                <w:rFonts w:ascii="Arial" w:hAnsi="Arial" w:cs="Arial"/>
                <w:color w:val="1074CB"/>
                <w:sz w:val="16"/>
                <w:szCs w:val="16"/>
              </w:rPr>
              <w:t> </w:t>
            </w:r>
            <w:r>
              <w:rPr>
                <w:rFonts w:ascii="Arial" w:hAnsi="Arial" w:cs="Arial"/>
                <w:color w:val="1074CB"/>
                <w:sz w:val="16"/>
                <w:szCs w:val="16"/>
              </w:rPr>
              <w:t>and invests</w:t>
            </w:r>
            <w:r>
              <w:rPr>
                <w:rStyle w:val="apple-converted-space"/>
                <w:rFonts w:ascii="Arial" w:hAnsi="Arial" w:cs="Arial"/>
                <w:color w:val="1074CB"/>
                <w:sz w:val="16"/>
                <w:szCs w:val="16"/>
              </w:rPr>
              <w:t> </w:t>
            </w:r>
            <w:r>
              <w:rPr>
                <w:rFonts w:ascii="Arial" w:hAnsi="Arial" w:cs="Arial"/>
                <w:b/>
                <w:bCs/>
                <w:color w:val="1074CB"/>
                <w:sz w:val="16"/>
                <w:szCs w:val="16"/>
              </w:rPr>
              <w:t>£2.5 billion</w:t>
            </w:r>
            <w:r>
              <w:rPr>
                <w:rStyle w:val="apple-converted-space"/>
                <w:rFonts w:ascii="Arial" w:hAnsi="Arial" w:cs="Arial"/>
                <w:color w:val="1074CB"/>
                <w:sz w:val="16"/>
                <w:szCs w:val="16"/>
              </w:rPr>
              <w:t> </w:t>
            </w:r>
            <w:r>
              <w:rPr>
                <w:rFonts w:ascii="Arial" w:hAnsi="Arial" w:cs="Arial"/>
                <w:color w:val="1074CB"/>
                <w:sz w:val="16"/>
                <w:szCs w:val="16"/>
              </w:rPr>
              <w:t>each year in automotive R&amp;D. More than</w:t>
            </w:r>
            <w:r>
              <w:rPr>
                <w:rStyle w:val="apple-converted-space"/>
                <w:rFonts w:ascii="Arial" w:hAnsi="Arial" w:cs="Arial"/>
                <w:color w:val="1074CB"/>
                <w:sz w:val="16"/>
                <w:szCs w:val="16"/>
              </w:rPr>
              <w:t> </w:t>
            </w:r>
            <w:r>
              <w:rPr>
                <w:rFonts w:ascii="Arial" w:hAnsi="Arial" w:cs="Arial"/>
                <w:b/>
                <w:bCs/>
                <w:color w:val="1074CB"/>
                <w:sz w:val="16"/>
                <w:szCs w:val="16"/>
              </w:rPr>
              <w:t>30 manufacturers</w:t>
            </w:r>
            <w:r>
              <w:rPr>
                <w:rStyle w:val="apple-converted-space"/>
                <w:rFonts w:ascii="Arial" w:hAnsi="Arial" w:cs="Arial"/>
                <w:color w:val="1074CB"/>
                <w:sz w:val="16"/>
                <w:szCs w:val="16"/>
              </w:rPr>
              <w:t> </w:t>
            </w:r>
            <w:r>
              <w:rPr>
                <w:rFonts w:ascii="Arial" w:hAnsi="Arial" w:cs="Arial"/>
                <w:color w:val="1074CB"/>
                <w:sz w:val="16"/>
                <w:szCs w:val="16"/>
              </w:rPr>
              <w:t>build in excess of</w:t>
            </w:r>
            <w:r>
              <w:rPr>
                <w:rStyle w:val="apple-converted-space"/>
                <w:rFonts w:ascii="Arial" w:hAnsi="Arial" w:cs="Arial"/>
                <w:color w:val="1074CB"/>
                <w:sz w:val="16"/>
                <w:szCs w:val="16"/>
              </w:rPr>
              <w:t> </w:t>
            </w:r>
            <w:r>
              <w:rPr>
                <w:rFonts w:ascii="Arial" w:hAnsi="Arial" w:cs="Arial"/>
                <w:b/>
                <w:bCs/>
                <w:color w:val="1074CB"/>
                <w:sz w:val="16"/>
                <w:szCs w:val="16"/>
              </w:rPr>
              <w:t>70 models</w:t>
            </w:r>
            <w:r>
              <w:rPr>
                <w:rStyle w:val="apple-converted-space"/>
                <w:rFonts w:ascii="Arial" w:hAnsi="Arial" w:cs="Arial"/>
                <w:color w:val="1074CB"/>
                <w:sz w:val="16"/>
                <w:szCs w:val="16"/>
              </w:rPr>
              <w:t> </w:t>
            </w:r>
            <w:r>
              <w:rPr>
                <w:rFonts w:ascii="Arial" w:hAnsi="Arial" w:cs="Arial"/>
                <w:color w:val="1074CB"/>
                <w:sz w:val="16"/>
                <w:szCs w:val="16"/>
              </w:rPr>
              <w:t>of vehicle in the UK supported by more than</w:t>
            </w:r>
            <w:r>
              <w:rPr>
                <w:rStyle w:val="apple-converted-space"/>
                <w:rFonts w:ascii="Arial" w:hAnsi="Arial" w:cs="Arial"/>
                <w:color w:val="1074CB"/>
                <w:sz w:val="16"/>
                <w:szCs w:val="16"/>
              </w:rPr>
              <w:t> </w:t>
            </w:r>
            <w:r>
              <w:rPr>
                <w:rFonts w:ascii="Arial" w:hAnsi="Arial" w:cs="Arial"/>
                <w:b/>
                <w:bCs/>
                <w:color w:val="1074CB"/>
                <w:sz w:val="16"/>
                <w:szCs w:val="16"/>
              </w:rPr>
              <w:t>2,000 component providers</w:t>
            </w:r>
            <w:r>
              <w:rPr>
                <w:rStyle w:val="apple-converted-space"/>
                <w:rFonts w:ascii="Arial" w:hAnsi="Arial" w:cs="Arial"/>
                <w:color w:val="1074CB"/>
                <w:sz w:val="16"/>
                <w:szCs w:val="16"/>
              </w:rPr>
              <w:t> </w:t>
            </w:r>
            <w:r>
              <w:rPr>
                <w:rFonts w:ascii="Arial" w:hAnsi="Arial" w:cs="Arial"/>
                <w:color w:val="1074CB"/>
                <w:sz w:val="16"/>
                <w:szCs w:val="16"/>
              </w:rPr>
              <w:t>and some of the world's most</w:t>
            </w:r>
            <w:r>
              <w:rPr>
                <w:rStyle w:val="apple-converted-space"/>
                <w:rFonts w:ascii="Arial" w:hAnsi="Arial" w:cs="Arial"/>
                <w:color w:val="1074CB"/>
                <w:sz w:val="16"/>
                <w:szCs w:val="16"/>
              </w:rPr>
              <w:t> </w:t>
            </w:r>
            <w:r>
              <w:rPr>
                <w:rFonts w:ascii="Arial" w:hAnsi="Arial" w:cs="Arial"/>
                <w:b/>
                <w:bCs/>
                <w:color w:val="1074CB"/>
                <w:sz w:val="16"/>
                <w:szCs w:val="16"/>
              </w:rPr>
              <w:t>skilled engineers</w:t>
            </w:r>
            <w:r>
              <w:rPr>
                <w:rFonts w:ascii="Arial" w:hAnsi="Arial" w:cs="Arial"/>
                <w:color w:val="1074CB"/>
                <w:sz w:val="16"/>
                <w:szCs w:val="16"/>
              </w:rPr>
              <w:t>.</w:t>
            </w:r>
          </w:p>
          <w:p w:rsidR="00593559" w:rsidRDefault="00593559" w:rsidP="00593559">
            <w:pPr>
              <w:spacing w:after="120" w:line="276" w:lineRule="auto"/>
              <w:rPr>
                <w:rFonts w:ascii="Segoe UI" w:hAnsi="Segoe UI" w:cs="Segoe UI"/>
                <w:color w:val="000000"/>
                <w:sz w:val="18"/>
                <w:szCs w:val="18"/>
              </w:rPr>
            </w:pPr>
            <w:r>
              <w:rPr>
                <w:rFonts w:ascii="Arial" w:hAnsi="Arial" w:cs="Arial"/>
                <w:color w:val="1074CB"/>
                <w:sz w:val="16"/>
                <w:szCs w:val="16"/>
              </w:rPr>
              <w:t>More detail on UK automotive available in SMMT's Motor Industry Facts 2016 publication at</w:t>
            </w:r>
            <w:r>
              <w:rPr>
                <w:rStyle w:val="apple-converted-space"/>
                <w:rFonts w:ascii="Arial" w:hAnsi="Arial" w:cs="Arial"/>
                <w:color w:val="1074CB"/>
                <w:sz w:val="16"/>
                <w:szCs w:val="16"/>
              </w:rPr>
              <w:t> </w:t>
            </w:r>
            <w:hyperlink r:id="rId11" w:tgtFrame="_blank" w:history="1">
              <w:r>
                <w:rPr>
                  <w:rStyle w:val="Hyperlink"/>
                  <w:rFonts w:ascii="Arial" w:hAnsi="Arial" w:cs="Arial"/>
                  <w:sz w:val="16"/>
                  <w:szCs w:val="16"/>
                </w:rPr>
                <w:t>www.smmt.co.uk/facts16</w:t>
              </w:r>
            </w:hyperlink>
            <w:r>
              <w:rPr>
                <w:rFonts w:ascii="Arial" w:hAnsi="Arial" w:cs="Arial"/>
                <w:color w:val="1074CB"/>
                <w:sz w:val="16"/>
                <w:szCs w:val="16"/>
              </w:rPr>
              <w:t>.</w:t>
            </w:r>
          </w:p>
          <w:p w:rsidR="009B01CF" w:rsidRPr="00010E60" w:rsidRDefault="00593559" w:rsidP="00593559">
            <w:pPr>
              <w:spacing w:afterAutospacing="1"/>
              <w:rPr>
                <w:rFonts w:ascii="Arial" w:eastAsia="Calibri" w:hAnsi="Arial" w:cs="Arial"/>
                <w:bCs/>
                <w:color w:val="1074CB"/>
                <w:sz w:val="16"/>
              </w:rPr>
            </w:pPr>
            <w:r>
              <w:rPr>
                <w:rFonts w:ascii="Arial" w:hAnsi="Arial" w:cs="Arial"/>
                <w:b/>
                <w:bCs/>
                <w:color w:val="1074CB"/>
                <w:sz w:val="16"/>
                <w:szCs w:val="16"/>
                <w:u w:val="single"/>
              </w:rPr>
              <w:t>Broadcasters</w:t>
            </w:r>
            <w:r>
              <w:rPr>
                <w:rFonts w:ascii="Arial" w:hAnsi="Arial" w:cs="Arial"/>
                <w:b/>
                <w:bCs/>
                <w:color w:val="1074CB"/>
                <w:sz w:val="16"/>
                <w:szCs w:val="16"/>
              </w:rPr>
              <w:t>: SMMT has an ISDN studio and access to expert spokespeople, case studies and regional representatives.</w:t>
            </w:r>
          </w:p>
        </w:tc>
      </w:tr>
      <w:tr w:rsidR="009B01CF" w:rsidRPr="009B01CF" w:rsidTr="009B01CF">
        <w:trPr>
          <w:trHeight w:val="209"/>
        </w:trPr>
        <w:tc>
          <w:tcPr>
            <w:tcW w:w="9962" w:type="dxa"/>
          </w:tcPr>
          <w:p w:rsidR="009B01CF" w:rsidRPr="009B01CF" w:rsidRDefault="009B01CF" w:rsidP="009B01CF">
            <w:pPr>
              <w:rPr>
                <w:rFonts w:ascii="Arial" w:hAnsi="Arial" w:cs="Arial"/>
                <w:b/>
                <w:color w:val="1074CB"/>
                <w:sz w:val="16"/>
              </w:rPr>
            </w:pPr>
          </w:p>
        </w:tc>
      </w:tr>
      <w:tr w:rsidR="009B01CF" w:rsidRPr="009B01CF" w:rsidTr="006D2A08">
        <w:trPr>
          <w:trHeight w:val="179"/>
        </w:trPr>
        <w:tc>
          <w:tcPr>
            <w:tcW w:w="9962" w:type="dxa"/>
          </w:tcPr>
          <w:p w:rsidR="009B01CF" w:rsidRPr="009B01CF" w:rsidRDefault="009B01CF" w:rsidP="009B01CF">
            <w:pPr>
              <w:rPr>
                <w:rFonts w:ascii="Arial" w:hAnsi="Arial" w:cs="Arial"/>
                <w:color w:val="1074CB"/>
                <w:sz w:val="16"/>
              </w:rPr>
            </w:pPr>
            <w:r w:rsidRPr="009B01CF">
              <w:rPr>
                <w:rFonts w:ascii="Arial" w:hAnsi="Arial" w:cs="Arial"/>
                <w:b/>
                <w:color w:val="1074CB"/>
                <w:sz w:val="16"/>
              </w:rPr>
              <w:t>Media contacts</w:t>
            </w:r>
          </w:p>
        </w:tc>
      </w:tr>
    </w:tbl>
    <w:p w:rsidR="00245EBD" w:rsidRDefault="00245EBD" w:rsidP="009B01CF">
      <w:pPr>
        <w:rPr>
          <w:rFonts w:ascii="Arial" w:hAnsi="Arial" w:cs="Arial"/>
        </w:rPr>
      </w:pPr>
    </w:p>
    <w:tbl>
      <w:tblPr>
        <w:tblStyle w:val="TableGrid"/>
        <w:tblpPr w:leftFromText="180" w:rightFromText="180" w:vertAnchor="text" w:horzAnchor="margin" w:tblpY="-2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842"/>
        <w:gridCol w:w="2127"/>
      </w:tblGrid>
      <w:tr w:rsidR="006D2A08" w:rsidRPr="009B01CF" w:rsidTr="006D2A08">
        <w:trPr>
          <w:trHeight w:val="193"/>
        </w:trPr>
        <w:tc>
          <w:tcPr>
            <w:tcW w:w="2127" w:type="dxa"/>
          </w:tcPr>
          <w:p w:rsidR="006D2A08" w:rsidRPr="009B01CF" w:rsidRDefault="006D2A08" w:rsidP="006D2A08">
            <w:pPr>
              <w:rPr>
                <w:rFonts w:ascii="Arial" w:hAnsi="Arial" w:cs="Arial"/>
                <w:color w:val="1074CB"/>
                <w:sz w:val="16"/>
              </w:rPr>
            </w:pPr>
            <w:r w:rsidRPr="009B01CF">
              <w:rPr>
                <w:rFonts w:ascii="Arial" w:hAnsi="Arial" w:cs="Arial"/>
                <w:color w:val="1074CB"/>
                <w:sz w:val="16"/>
              </w:rPr>
              <w:t>Ben Foulds</w:t>
            </w:r>
          </w:p>
        </w:tc>
        <w:tc>
          <w:tcPr>
            <w:tcW w:w="1842" w:type="dxa"/>
          </w:tcPr>
          <w:p w:rsidR="006D2A08" w:rsidRPr="009B01CF" w:rsidRDefault="006D2A08" w:rsidP="006D2A08">
            <w:pPr>
              <w:rPr>
                <w:rFonts w:ascii="Arial" w:hAnsi="Arial" w:cs="Arial"/>
                <w:color w:val="1074CB"/>
                <w:sz w:val="16"/>
              </w:rPr>
            </w:pPr>
            <w:r w:rsidRPr="009B01CF">
              <w:rPr>
                <w:rFonts w:ascii="Arial" w:hAnsi="Arial" w:cs="Arial"/>
                <w:color w:val="1074CB"/>
                <w:sz w:val="16"/>
              </w:rPr>
              <w:t>020 7344 9222</w:t>
            </w:r>
          </w:p>
        </w:tc>
        <w:tc>
          <w:tcPr>
            <w:tcW w:w="2127" w:type="dxa"/>
          </w:tcPr>
          <w:p w:rsidR="006D2A08" w:rsidRPr="009B01CF" w:rsidRDefault="008568AC" w:rsidP="006D2A08">
            <w:pPr>
              <w:rPr>
                <w:rFonts w:ascii="Arial" w:hAnsi="Arial" w:cs="Arial"/>
                <w:color w:val="1074CB"/>
                <w:sz w:val="16"/>
              </w:rPr>
            </w:pPr>
            <w:hyperlink r:id="rId12" w:history="1">
              <w:r w:rsidR="006D2A08" w:rsidRPr="009B01CF">
                <w:rPr>
                  <w:rStyle w:val="Hyperlink"/>
                  <w:rFonts w:ascii="Arial" w:hAnsi="Arial" w:cs="Arial"/>
                  <w:sz w:val="16"/>
                </w:rPr>
                <w:t>bfoulds@smmt.co.uk</w:t>
              </w:r>
            </w:hyperlink>
            <w:r w:rsidR="006D2A08" w:rsidRPr="009B01CF">
              <w:rPr>
                <w:rFonts w:ascii="Arial" w:hAnsi="Arial" w:cs="Arial"/>
                <w:color w:val="1074CB"/>
                <w:sz w:val="16"/>
              </w:rPr>
              <w:t xml:space="preserve"> </w:t>
            </w:r>
          </w:p>
        </w:tc>
      </w:tr>
      <w:tr w:rsidR="006D2A08" w:rsidRPr="009B01CF" w:rsidTr="006D2A08">
        <w:trPr>
          <w:trHeight w:val="193"/>
        </w:trPr>
        <w:tc>
          <w:tcPr>
            <w:tcW w:w="2127" w:type="dxa"/>
          </w:tcPr>
          <w:p w:rsidR="006D2A08" w:rsidRDefault="006D2A08" w:rsidP="006D2A08">
            <w:pPr>
              <w:rPr>
                <w:rFonts w:ascii="Arial" w:hAnsi="Arial" w:cs="Arial"/>
                <w:color w:val="1074CB"/>
                <w:sz w:val="16"/>
              </w:rPr>
            </w:pPr>
            <w:r>
              <w:rPr>
                <w:rFonts w:ascii="Arial" w:hAnsi="Arial" w:cs="Arial"/>
                <w:color w:val="1074CB"/>
                <w:sz w:val="16"/>
              </w:rPr>
              <w:t>Lucy Bielby</w:t>
            </w:r>
          </w:p>
        </w:tc>
        <w:tc>
          <w:tcPr>
            <w:tcW w:w="1842" w:type="dxa"/>
          </w:tcPr>
          <w:p w:rsidR="006D2A08" w:rsidRPr="009B01CF" w:rsidRDefault="006D2A08" w:rsidP="006D2A08">
            <w:pPr>
              <w:rPr>
                <w:rFonts w:ascii="Arial" w:hAnsi="Arial" w:cs="Arial"/>
                <w:color w:val="1074CB"/>
                <w:sz w:val="16"/>
              </w:rPr>
            </w:pPr>
            <w:r>
              <w:rPr>
                <w:rFonts w:ascii="Arial" w:hAnsi="Arial" w:cs="Arial"/>
                <w:color w:val="1074CB"/>
                <w:sz w:val="16"/>
              </w:rPr>
              <w:t>020 7344 1610</w:t>
            </w:r>
          </w:p>
        </w:tc>
        <w:tc>
          <w:tcPr>
            <w:tcW w:w="2127" w:type="dxa"/>
          </w:tcPr>
          <w:p w:rsidR="006D2A08" w:rsidRPr="009E1289" w:rsidRDefault="008568AC" w:rsidP="006D2A08">
            <w:pPr>
              <w:rPr>
                <w:rFonts w:ascii="Arial" w:hAnsi="Arial" w:cs="Arial"/>
                <w:sz w:val="16"/>
                <w:szCs w:val="16"/>
              </w:rPr>
            </w:pPr>
            <w:hyperlink r:id="rId13" w:history="1">
              <w:r w:rsidR="006D2A08" w:rsidRPr="009E1289">
                <w:rPr>
                  <w:rStyle w:val="Hyperlink"/>
                  <w:rFonts w:ascii="Arial" w:hAnsi="Arial" w:cs="Arial"/>
                  <w:sz w:val="16"/>
                  <w:szCs w:val="16"/>
                </w:rPr>
                <w:t>lbielby@smmt.co.uk</w:t>
              </w:r>
            </w:hyperlink>
            <w:r w:rsidR="006D2A08" w:rsidRPr="009E1289">
              <w:rPr>
                <w:rFonts w:ascii="Arial" w:hAnsi="Arial" w:cs="Arial"/>
                <w:sz w:val="16"/>
                <w:szCs w:val="16"/>
              </w:rPr>
              <w:t xml:space="preserve"> </w:t>
            </w:r>
          </w:p>
        </w:tc>
      </w:tr>
      <w:tr w:rsidR="006D2A08" w:rsidRPr="009B01CF" w:rsidTr="006D2A08">
        <w:trPr>
          <w:trHeight w:val="193"/>
        </w:trPr>
        <w:tc>
          <w:tcPr>
            <w:tcW w:w="2127" w:type="dxa"/>
          </w:tcPr>
          <w:p w:rsidR="006D2A08" w:rsidRPr="009B01CF" w:rsidRDefault="006D2A08" w:rsidP="006D2A08">
            <w:pPr>
              <w:rPr>
                <w:rFonts w:ascii="Arial" w:hAnsi="Arial" w:cs="Arial"/>
                <w:color w:val="1074CB"/>
                <w:sz w:val="16"/>
              </w:rPr>
            </w:pPr>
            <w:r>
              <w:rPr>
                <w:rFonts w:ascii="Arial" w:hAnsi="Arial" w:cs="Arial"/>
                <w:color w:val="1074CB"/>
                <w:sz w:val="16"/>
              </w:rPr>
              <w:t>Emma Butcher</w:t>
            </w:r>
          </w:p>
        </w:tc>
        <w:tc>
          <w:tcPr>
            <w:tcW w:w="1842" w:type="dxa"/>
          </w:tcPr>
          <w:p w:rsidR="006D2A08" w:rsidRPr="009B01CF" w:rsidRDefault="006D2A08" w:rsidP="006D2A08">
            <w:pPr>
              <w:rPr>
                <w:rFonts w:ascii="Arial" w:hAnsi="Arial" w:cs="Arial"/>
                <w:color w:val="1074CB"/>
                <w:sz w:val="16"/>
              </w:rPr>
            </w:pPr>
            <w:r w:rsidRPr="009B01CF">
              <w:rPr>
                <w:rFonts w:ascii="Arial" w:hAnsi="Arial" w:cs="Arial"/>
                <w:color w:val="1074CB"/>
                <w:sz w:val="16"/>
              </w:rPr>
              <w:t xml:space="preserve">020 7344 </w:t>
            </w:r>
            <w:r>
              <w:rPr>
                <w:rFonts w:ascii="Arial" w:hAnsi="Arial" w:cs="Arial"/>
                <w:color w:val="1074CB"/>
                <w:sz w:val="16"/>
              </w:rPr>
              <w:t>9263</w:t>
            </w:r>
          </w:p>
        </w:tc>
        <w:tc>
          <w:tcPr>
            <w:tcW w:w="2127" w:type="dxa"/>
          </w:tcPr>
          <w:p w:rsidR="006D2A08" w:rsidRPr="009B01CF" w:rsidRDefault="008568AC" w:rsidP="006D2A08">
            <w:pPr>
              <w:rPr>
                <w:rFonts w:ascii="Arial" w:hAnsi="Arial" w:cs="Arial"/>
                <w:color w:val="1074CB"/>
                <w:sz w:val="16"/>
              </w:rPr>
            </w:pPr>
            <w:hyperlink r:id="rId14" w:history="1">
              <w:r w:rsidR="006D2A08" w:rsidRPr="00B25741">
                <w:rPr>
                  <w:rStyle w:val="Hyperlink"/>
                  <w:rFonts w:ascii="Arial" w:hAnsi="Arial" w:cs="Arial"/>
                  <w:sz w:val="16"/>
                </w:rPr>
                <w:t>ebutcher@smmt.co.uk</w:t>
              </w:r>
            </w:hyperlink>
            <w:r w:rsidR="006D2A08">
              <w:rPr>
                <w:rFonts w:ascii="Arial" w:hAnsi="Arial" w:cs="Arial"/>
                <w:color w:val="1074CB"/>
                <w:sz w:val="16"/>
              </w:rPr>
              <w:t xml:space="preserve"> </w:t>
            </w:r>
          </w:p>
        </w:tc>
      </w:tr>
    </w:tbl>
    <w:p w:rsidR="009B01CF" w:rsidRPr="009B01CF" w:rsidRDefault="009B01CF" w:rsidP="009B01CF">
      <w:pPr>
        <w:rPr>
          <w:rFonts w:ascii="Arial" w:hAnsi="Arial" w:cs="Arial"/>
        </w:rPr>
      </w:pPr>
    </w:p>
    <w:sectPr w:rsidR="009B01CF" w:rsidRPr="009B01CF" w:rsidSect="00A50E76">
      <w:headerReference w:type="default" r:id="rId15"/>
      <w:footerReference w:type="default" r:id="rId16"/>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01" w:rsidRDefault="00053B01" w:rsidP="00C80E70">
      <w:r>
        <w:separator/>
      </w:r>
    </w:p>
  </w:endnote>
  <w:endnote w:type="continuationSeparator" w:id="0">
    <w:p w:rsidR="00053B01" w:rsidRDefault="00053B01"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01" w:rsidRPr="004306DA" w:rsidRDefault="00053B01"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01" w:rsidRDefault="00053B01" w:rsidP="00C80E70">
      <w:r>
        <w:separator/>
      </w:r>
    </w:p>
  </w:footnote>
  <w:footnote w:type="continuationSeparator" w:id="0">
    <w:p w:rsidR="00053B01" w:rsidRDefault="00053B01"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01" w:rsidRDefault="00053B01"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1C7568DC"/>
    <w:multiLevelType w:val="hybridMultilevel"/>
    <w:tmpl w:val="01D0FA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5">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6">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 w:numId="15">
    <w:abstractNumId w:val="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109D8"/>
    <w:rsid w:val="00010E60"/>
    <w:rsid w:val="00013F39"/>
    <w:rsid w:val="00014634"/>
    <w:rsid w:val="00015087"/>
    <w:rsid w:val="00016A7A"/>
    <w:rsid w:val="00020D27"/>
    <w:rsid w:val="00024E2C"/>
    <w:rsid w:val="00031DB4"/>
    <w:rsid w:val="00033005"/>
    <w:rsid w:val="00044EEF"/>
    <w:rsid w:val="00046A50"/>
    <w:rsid w:val="00050DC1"/>
    <w:rsid w:val="00051845"/>
    <w:rsid w:val="00053B01"/>
    <w:rsid w:val="00065C4C"/>
    <w:rsid w:val="0006622C"/>
    <w:rsid w:val="00066F55"/>
    <w:rsid w:val="00067560"/>
    <w:rsid w:val="000768F1"/>
    <w:rsid w:val="00080F0C"/>
    <w:rsid w:val="00084595"/>
    <w:rsid w:val="00087888"/>
    <w:rsid w:val="00094273"/>
    <w:rsid w:val="000A46A6"/>
    <w:rsid w:val="000A4DE9"/>
    <w:rsid w:val="000A5DC2"/>
    <w:rsid w:val="000A62C1"/>
    <w:rsid w:val="000B045B"/>
    <w:rsid w:val="000B0DD6"/>
    <w:rsid w:val="000B47D6"/>
    <w:rsid w:val="000B4F68"/>
    <w:rsid w:val="000C0CE4"/>
    <w:rsid w:val="000C460E"/>
    <w:rsid w:val="000C75BC"/>
    <w:rsid w:val="000C7C80"/>
    <w:rsid w:val="000D1505"/>
    <w:rsid w:val="000D18FC"/>
    <w:rsid w:val="000D245D"/>
    <w:rsid w:val="000D612E"/>
    <w:rsid w:val="000F0E7A"/>
    <w:rsid w:val="00100F35"/>
    <w:rsid w:val="00102817"/>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17D"/>
    <w:rsid w:val="00170EFD"/>
    <w:rsid w:val="001732BB"/>
    <w:rsid w:val="001737CD"/>
    <w:rsid w:val="00182A88"/>
    <w:rsid w:val="001854E1"/>
    <w:rsid w:val="00185647"/>
    <w:rsid w:val="0019172E"/>
    <w:rsid w:val="00192240"/>
    <w:rsid w:val="00192CE4"/>
    <w:rsid w:val="00192FBC"/>
    <w:rsid w:val="001A67B5"/>
    <w:rsid w:val="001A77A6"/>
    <w:rsid w:val="001B1AA6"/>
    <w:rsid w:val="001B1D91"/>
    <w:rsid w:val="001B4CAA"/>
    <w:rsid w:val="001C171F"/>
    <w:rsid w:val="001C27C9"/>
    <w:rsid w:val="001C389E"/>
    <w:rsid w:val="001C5B7A"/>
    <w:rsid w:val="001C68C7"/>
    <w:rsid w:val="001C77FC"/>
    <w:rsid w:val="001D046A"/>
    <w:rsid w:val="001D3ADF"/>
    <w:rsid w:val="001D4C1F"/>
    <w:rsid w:val="001D5784"/>
    <w:rsid w:val="001D6CB9"/>
    <w:rsid w:val="001D7212"/>
    <w:rsid w:val="001E33CE"/>
    <w:rsid w:val="001E35E1"/>
    <w:rsid w:val="001E3DBB"/>
    <w:rsid w:val="001E7E3E"/>
    <w:rsid w:val="001F1128"/>
    <w:rsid w:val="001F6885"/>
    <w:rsid w:val="001F7740"/>
    <w:rsid w:val="00200576"/>
    <w:rsid w:val="00200F65"/>
    <w:rsid w:val="0020535D"/>
    <w:rsid w:val="0020649D"/>
    <w:rsid w:val="002142A6"/>
    <w:rsid w:val="002161F4"/>
    <w:rsid w:val="002171A6"/>
    <w:rsid w:val="00217384"/>
    <w:rsid w:val="00217FAD"/>
    <w:rsid w:val="0022414D"/>
    <w:rsid w:val="0022471B"/>
    <w:rsid w:val="00224DDD"/>
    <w:rsid w:val="00226D70"/>
    <w:rsid w:val="002337D3"/>
    <w:rsid w:val="002339C2"/>
    <w:rsid w:val="00236CF8"/>
    <w:rsid w:val="00240545"/>
    <w:rsid w:val="00245EBD"/>
    <w:rsid w:val="0025075E"/>
    <w:rsid w:val="00250835"/>
    <w:rsid w:val="00252DCB"/>
    <w:rsid w:val="00264687"/>
    <w:rsid w:val="00266A9A"/>
    <w:rsid w:val="002767A8"/>
    <w:rsid w:val="002772D4"/>
    <w:rsid w:val="00280819"/>
    <w:rsid w:val="002839AC"/>
    <w:rsid w:val="00286B24"/>
    <w:rsid w:val="0028787F"/>
    <w:rsid w:val="0029324E"/>
    <w:rsid w:val="002933CF"/>
    <w:rsid w:val="002A4AB1"/>
    <w:rsid w:val="002A5934"/>
    <w:rsid w:val="002B3FAF"/>
    <w:rsid w:val="002B4F7D"/>
    <w:rsid w:val="002C6533"/>
    <w:rsid w:val="002C7321"/>
    <w:rsid w:val="002D0197"/>
    <w:rsid w:val="002D3276"/>
    <w:rsid w:val="002D470D"/>
    <w:rsid w:val="002D58E6"/>
    <w:rsid w:val="002D5E78"/>
    <w:rsid w:val="002D69F5"/>
    <w:rsid w:val="002E40F0"/>
    <w:rsid w:val="002E4A51"/>
    <w:rsid w:val="002E5457"/>
    <w:rsid w:val="002E5956"/>
    <w:rsid w:val="002E7D7D"/>
    <w:rsid w:val="002F5E21"/>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3B4A"/>
    <w:rsid w:val="00364323"/>
    <w:rsid w:val="00364A36"/>
    <w:rsid w:val="00366FA0"/>
    <w:rsid w:val="00367F04"/>
    <w:rsid w:val="00371917"/>
    <w:rsid w:val="003736BD"/>
    <w:rsid w:val="00375DF8"/>
    <w:rsid w:val="00376075"/>
    <w:rsid w:val="00377406"/>
    <w:rsid w:val="003802FE"/>
    <w:rsid w:val="003824EE"/>
    <w:rsid w:val="0038412A"/>
    <w:rsid w:val="00384136"/>
    <w:rsid w:val="003A01D6"/>
    <w:rsid w:val="003A2548"/>
    <w:rsid w:val="003A370C"/>
    <w:rsid w:val="003A5626"/>
    <w:rsid w:val="003A645F"/>
    <w:rsid w:val="003A6AF0"/>
    <w:rsid w:val="003B1C39"/>
    <w:rsid w:val="003B1CC4"/>
    <w:rsid w:val="003C08B6"/>
    <w:rsid w:val="003C2B07"/>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649F"/>
    <w:rsid w:val="004306DA"/>
    <w:rsid w:val="004319DB"/>
    <w:rsid w:val="004341F5"/>
    <w:rsid w:val="004375D9"/>
    <w:rsid w:val="00443FDD"/>
    <w:rsid w:val="00447CDA"/>
    <w:rsid w:val="00456DB6"/>
    <w:rsid w:val="00456EBB"/>
    <w:rsid w:val="00460A72"/>
    <w:rsid w:val="00465052"/>
    <w:rsid w:val="00465C9D"/>
    <w:rsid w:val="00467D20"/>
    <w:rsid w:val="00473848"/>
    <w:rsid w:val="00475B0B"/>
    <w:rsid w:val="00477E03"/>
    <w:rsid w:val="00482D22"/>
    <w:rsid w:val="00483A6D"/>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B7DC4"/>
    <w:rsid w:val="004C0CA5"/>
    <w:rsid w:val="004C25AA"/>
    <w:rsid w:val="004C6507"/>
    <w:rsid w:val="004D312F"/>
    <w:rsid w:val="004E239F"/>
    <w:rsid w:val="004E48D4"/>
    <w:rsid w:val="004F140E"/>
    <w:rsid w:val="004F195D"/>
    <w:rsid w:val="004F2A8B"/>
    <w:rsid w:val="00504D6E"/>
    <w:rsid w:val="00505C8C"/>
    <w:rsid w:val="00514070"/>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57CE"/>
    <w:rsid w:val="00566839"/>
    <w:rsid w:val="0056765B"/>
    <w:rsid w:val="005709F5"/>
    <w:rsid w:val="00572907"/>
    <w:rsid w:val="005733CD"/>
    <w:rsid w:val="00574FAB"/>
    <w:rsid w:val="00577A32"/>
    <w:rsid w:val="00577B1E"/>
    <w:rsid w:val="00580119"/>
    <w:rsid w:val="00580AEB"/>
    <w:rsid w:val="005830EF"/>
    <w:rsid w:val="00583B98"/>
    <w:rsid w:val="00583B9B"/>
    <w:rsid w:val="00583E20"/>
    <w:rsid w:val="00585DB0"/>
    <w:rsid w:val="005870B8"/>
    <w:rsid w:val="005911BC"/>
    <w:rsid w:val="00593559"/>
    <w:rsid w:val="00595EF1"/>
    <w:rsid w:val="005A0ACF"/>
    <w:rsid w:val="005A4908"/>
    <w:rsid w:val="005A69CE"/>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9A7"/>
    <w:rsid w:val="0060762E"/>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2A08"/>
    <w:rsid w:val="006D458E"/>
    <w:rsid w:val="006D538E"/>
    <w:rsid w:val="006D7493"/>
    <w:rsid w:val="006E12FA"/>
    <w:rsid w:val="006E2AC9"/>
    <w:rsid w:val="006E4BD9"/>
    <w:rsid w:val="006E534D"/>
    <w:rsid w:val="006E5BF9"/>
    <w:rsid w:val="006F3A76"/>
    <w:rsid w:val="0070469E"/>
    <w:rsid w:val="007051E3"/>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046"/>
    <w:rsid w:val="00742FA5"/>
    <w:rsid w:val="007433FE"/>
    <w:rsid w:val="0074351B"/>
    <w:rsid w:val="00744A83"/>
    <w:rsid w:val="007463CA"/>
    <w:rsid w:val="00754429"/>
    <w:rsid w:val="00761183"/>
    <w:rsid w:val="007614C9"/>
    <w:rsid w:val="007679BE"/>
    <w:rsid w:val="00770173"/>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4B8D"/>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1342"/>
    <w:rsid w:val="007E3B55"/>
    <w:rsid w:val="007E3E1D"/>
    <w:rsid w:val="007E4A49"/>
    <w:rsid w:val="007F10B4"/>
    <w:rsid w:val="007F5A2A"/>
    <w:rsid w:val="007F621E"/>
    <w:rsid w:val="007F73B4"/>
    <w:rsid w:val="008030A3"/>
    <w:rsid w:val="0080410F"/>
    <w:rsid w:val="00804C47"/>
    <w:rsid w:val="00806662"/>
    <w:rsid w:val="00806C8E"/>
    <w:rsid w:val="00813A08"/>
    <w:rsid w:val="00814AB6"/>
    <w:rsid w:val="008152E4"/>
    <w:rsid w:val="00815C6B"/>
    <w:rsid w:val="00820842"/>
    <w:rsid w:val="008234A7"/>
    <w:rsid w:val="00830ACC"/>
    <w:rsid w:val="0083430A"/>
    <w:rsid w:val="00835F96"/>
    <w:rsid w:val="008372BE"/>
    <w:rsid w:val="008373DF"/>
    <w:rsid w:val="00842721"/>
    <w:rsid w:val="008430B5"/>
    <w:rsid w:val="00846D04"/>
    <w:rsid w:val="00853B7F"/>
    <w:rsid w:val="00853E71"/>
    <w:rsid w:val="00854403"/>
    <w:rsid w:val="00855FB8"/>
    <w:rsid w:val="008568AC"/>
    <w:rsid w:val="00856BDA"/>
    <w:rsid w:val="0086007D"/>
    <w:rsid w:val="00861E9C"/>
    <w:rsid w:val="0086619E"/>
    <w:rsid w:val="00866A2F"/>
    <w:rsid w:val="008716AA"/>
    <w:rsid w:val="00871AB3"/>
    <w:rsid w:val="00871FF2"/>
    <w:rsid w:val="00875A4A"/>
    <w:rsid w:val="00875B47"/>
    <w:rsid w:val="0088393B"/>
    <w:rsid w:val="00885515"/>
    <w:rsid w:val="00894038"/>
    <w:rsid w:val="0089431A"/>
    <w:rsid w:val="00895188"/>
    <w:rsid w:val="008959C9"/>
    <w:rsid w:val="008A13E6"/>
    <w:rsid w:val="008B04AD"/>
    <w:rsid w:val="008B287D"/>
    <w:rsid w:val="008B39A0"/>
    <w:rsid w:val="008B46EA"/>
    <w:rsid w:val="008B50CB"/>
    <w:rsid w:val="008B5B80"/>
    <w:rsid w:val="008B76F1"/>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5808"/>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1289"/>
    <w:rsid w:val="009E6768"/>
    <w:rsid w:val="009E79A4"/>
    <w:rsid w:val="009F1E13"/>
    <w:rsid w:val="009F47F6"/>
    <w:rsid w:val="009F480D"/>
    <w:rsid w:val="009F4E91"/>
    <w:rsid w:val="009F5D30"/>
    <w:rsid w:val="00A00F42"/>
    <w:rsid w:val="00A05000"/>
    <w:rsid w:val="00A1136F"/>
    <w:rsid w:val="00A11D46"/>
    <w:rsid w:val="00A132BD"/>
    <w:rsid w:val="00A1415B"/>
    <w:rsid w:val="00A2060E"/>
    <w:rsid w:val="00A24874"/>
    <w:rsid w:val="00A25078"/>
    <w:rsid w:val="00A27C02"/>
    <w:rsid w:val="00A31AA3"/>
    <w:rsid w:val="00A32987"/>
    <w:rsid w:val="00A416D8"/>
    <w:rsid w:val="00A42481"/>
    <w:rsid w:val="00A4599C"/>
    <w:rsid w:val="00A45E78"/>
    <w:rsid w:val="00A46B80"/>
    <w:rsid w:val="00A46C94"/>
    <w:rsid w:val="00A50E76"/>
    <w:rsid w:val="00A57889"/>
    <w:rsid w:val="00A62CA5"/>
    <w:rsid w:val="00A6386B"/>
    <w:rsid w:val="00A65EDE"/>
    <w:rsid w:val="00A67F90"/>
    <w:rsid w:val="00A71401"/>
    <w:rsid w:val="00A73C3A"/>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D7D3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47968"/>
    <w:rsid w:val="00B52EB2"/>
    <w:rsid w:val="00B56116"/>
    <w:rsid w:val="00B57897"/>
    <w:rsid w:val="00B66FBB"/>
    <w:rsid w:val="00B67EBD"/>
    <w:rsid w:val="00B74587"/>
    <w:rsid w:val="00B74D88"/>
    <w:rsid w:val="00B808E6"/>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BF7712"/>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7AB"/>
    <w:rsid w:val="00C72FF0"/>
    <w:rsid w:val="00C73F08"/>
    <w:rsid w:val="00C75DBA"/>
    <w:rsid w:val="00C802D4"/>
    <w:rsid w:val="00C80E70"/>
    <w:rsid w:val="00C81B6C"/>
    <w:rsid w:val="00C81C55"/>
    <w:rsid w:val="00C84572"/>
    <w:rsid w:val="00C93A2F"/>
    <w:rsid w:val="00CA3369"/>
    <w:rsid w:val="00CB3F28"/>
    <w:rsid w:val="00CC0EFE"/>
    <w:rsid w:val="00CC49B1"/>
    <w:rsid w:val="00CC7631"/>
    <w:rsid w:val="00CC7A47"/>
    <w:rsid w:val="00CD1B9E"/>
    <w:rsid w:val="00CD27EF"/>
    <w:rsid w:val="00CD2B5F"/>
    <w:rsid w:val="00CD4C6A"/>
    <w:rsid w:val="00CD55D5"/>
    <w:rsid w:val="00CE21EA"/>
    <w:rsid w:val="00CE230C"/>
    <w:rsid w:val="00CE3518"/>
    <w:rsid w:val="00CE3751"/>
    <w:rsid w:val="00CE60BB"/>
    <w:rsid w:val="00CF0876"/>
    <w:rsid w:val="00CF27DB"/>
    <w:rsid w:val="00D011C6"/>
    <w:rsid w:val="00D01F28"/>
    <w:rsid w:val="00D02477"/>
    <w:rsid w:val="00D02F5A"/>
    <w:rsid w:val="00D0355C"/>
    <w:rsid w:val="00D04D53"/>
    <w:rsid w:val="00D05720"/>
    <w:rsid w:val="00D07226"/>
    <w:rsid w:val="00D10336"/>
    <w:rsid w:val="00D16FB8"/>
    <w:rsid w:val="00D20A27"/>
    <w:rsid w:val="00D215AE"/>
    <w:rsid w:val="00D27995"/>
    <w:rsid w:val="00D446D8"/>
    <w:rsid w:val="00D524E5"/>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69E5"/>
    <w:rsid w:val="00E60BCB"/>
    <w:rsid w:val="00E61191"/>
    <w:rsid w:val="00E63248"/>
    <w:rsid w:val="00E634A1"/>
    <w:rsid w:val="00E645C0"/>
    <w:rsid w:val="00E674C9"/>
    <w:rsid w:val="00E67C34"/>
    <w:rsid w:val="00E77BB3"/>
    <w:rsid w:val="00E80928"/>
    <w:rsid w:val="00E8176F"/>
    <w:rsid w:val="00E862B6"/>
    <w:rsid w:val="00E91280"/>
    <w:rsid w:val="00E9285A"/>
    <w:rsid w:val="00E93BC7"/>
    <w:rsid w:val="00E94381"/>
    <w:rsid w:val="00EA2295"/>
    <w:rsid w:val="00EA22EC"/>
    <w:rsid w:val="00EA2C6C"/>
    <w:rsid w:val="00EA5064"/>
    <w:rsid w:val="00EB2457"/>
    <w:rsid w:val="00EB2FB8"/>
    <w:rsid w:val="00EB5882"/>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37FB7"/>
    <w:rsid w:val="00F43472"/>
    <w:rsid w:val="00F45EFD"/>
    <w:rsid w:val="00F47600"/>
    <w:rsid w:val="00F50743"/>
    <w:rsid w:val="00F50A17"/>
    <w:rsid w:val="00F564EF"/>
    <w:rsid w:val="00F6530E"/>
    <w:rsid w:val="00F661D3"/>
    <w:rsid w:val="00F66217"/>
    <w:rsid w:val="00F72297"/>
    <w:rsid w:val="00F73D70"/>
    <w:rsid w:val="00F77290"/>
    <w:rsid w:val="00F831B6"/>
    <w:rsid w:val="00F83C9A"/>
    <w:rsid w:val="00F84115"/>
    <w:rsid w:val="00F84AAC"/>
    <w:rsid w:val="00F850C5"/>
    <w:rsid w:val="00F85A76"/>
    <w:rsid w:val="00F85B91"/>
    <w:rsid w:val="00F94FE7"/>
    <w:rsid w:val="00F9710A"/>
    <w:rsid w:val="00FA147F"/>
    <w:rsid w:val="00FA31FA"/>
    <w:rsid w:val="00FC14BC"/>
    <w:rsid w:val="00FC372C"/>
    <w:rsid w:val="00FE190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uiPriority w:val="99"/>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23517665">
      <w:bodyDiv w:val="1"/>
      <w:marLeft w:val="0"/>
      <w:marRight w:val="0"/>
      <w:marTop w:val="0"/>
      <w:marBottom w:val="0"/>
      <w:divBdr>
        <w:top w:val="none" w:sz="0" w:space="0" w:color="auto"/>
        <w:left w:val="none" w:sz="0" w:space="0" w:color="auto"/>
        <w:bottom w:val="none" w:sz="0" w:space="0" w:color="auto"/>
        <w:right w:val="none" w:sz="0" w:space="0" w:color="auto"/>
      </w:divBdr>
    </w:div>
    <w:div w:id="556672165">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176504424">
      <w:bodyDiv w:val="1"/>
      <w:marLeft w:val="0"/>
      <w:marRight w:val="0"/>
      <w:marTop w:val="0"/>
      <w:marBottom w:val="0"/>
      <w:divBdr>
        <w:top w:val="none" w:sz="0" w:space="0" w:color="auto"/>
        <w:left w:val="none" w:sz="0" w:space="0" w:color="auto"/>
        <w:bottom w:val="none" w:sz="0" w:space="0" w:color="auto"/>
        <w:right w:val="none" w:sz="0" w:space="0" w:color="auto"/>
      </w:divBdr>
    </w:div>
    <w:div w:id="1292129143">
      <w:bodyDiv w:val="1"/>
      <w:marLeft w:val="0"/>
      <w:marRight w:val="0"/>
      <w:marTop w:val="0"/>
      <w:marBottom w:val="0"/>
      <w:divBdr>
        <w:top w:val="none" w:sz="0" w:space="0" w:color="auto"/>
        <w:left w:val="none" w:sz="0" w:space="0" w:color="auto"/>
        <w:bottom w:val="none" w:sz="0" w:space="0" w:color="auto"/>
        <w:right w:val="none" w:sz="0" w:space="0" w:color="auto"/>
      </w:divBdr>
    </w:div>
    <w:div w:id="135102788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395154041">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49910986">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ielby@smm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ulds@smmt.co.uk"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smmt.co.uk/owa/redir.aspx?C=wwip-v4UGuB1XHlqKeSKtB1mxZllHzROzr_LVI4YK4c65q8RGaDTCA..&amp;URL=http%3a%2f%2femail.prnewswire.com%2fwf%2fclick%3fupn%3d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ropbox.com/sh/3ghc59wysza8w8p/AACRUiNht04GgafnMwZoQYoza?dl=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98D0E-A682-4132-89ED-1FBE8FFB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5</cp:revision>
  <cp:lastPrinted>2016-06-30T08:20:00Z</cp:lastPrinted>
  <dcterms:created xsi:type="dcterms:W3CDTF">2016-06-29T15:56:00Z</dcterms:created>
  <dcterms:modified xsi:type="dcterms:W3CDTF">2016-06-30T08:44:00Z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