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2657B9"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24</w:t>
      </w:r>
      <w:r w:rsidR="00DC3ABC">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September</w:t>
      </w:r>
      <w:r w:rsidR="00BF5B71" w:rsidRPr="00BF5B71">
        <w:rPr>
          <w:rFonts w:ascii="Arial" w:eastAsiaTheme="minorEastAsia" w:hAnsi="Arial" w:cs="Arial"/>
          <w:b w:val="0"/>
          <w:bCs/>
          <w:color w:val="1074CB"/>
          <w:sz w:val="44"/>
          <w:szCs w:val="44"/>
        </w:rPr>
        <w:t xml:space="preserve"> 2015</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August</w:t>
      </w:r>
      <w:r w:rsidR="007C1A25">
        <w:rPr>
          <w:rFonts w:ascii="Arial" w:eastAsiaTheme="minorEastAsia" w:hAnsi="Arial" w:cs="Arial"/>
          <w:b w:val="0"/>
          <w:bCs/>
          <w:color w:val="1074CB"/>
          <w:sz w:val="28"/>
          <w:szCs w:val="28"/>
        </w:rPr>
        <w:t xml:space="preserve">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23320" w:rsidRPr="002933CF" w:rsidRDefault="000A7922" w:rsidP="005E0768">
      <w:pPr>
        <w:tabs>
          <w:tab w:val="left" w:pos="889"/>
        </w:tabs>
        <w:rPr>
          <w:rFonts w:ascii="Arial" w:eastAsiaTheme="minorEastAsia" w:hAnsi="Arial" w:cs="Arial"/>
          <w:bCs/>
          <w:color w:val="1074CB"/>
          <w:sz w:val="20"/>
        </w:rPr>
      </w:pPr>
      <w:r w:rsidRPr="000A7922">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781E4E" w:rsidRDefault="00781E4E" w:rsidP="00781E4E">
      <w:r>
        <w:rPr>
          <w:rFonts w:ascii="Arial" w:hAnsi="Arial" w:cs="Arial"/>
          <w:b/>
          <w:bCs/>
          <w:color w:val="1074CB"/>
          <w:sz w:val="32"/>
          <w:szCs w:val="32"/>
        </w:rPr>
        <w:t>Business as usual for UK engine makers in August as summer shutdown ends</w:t>
      </w:r>
    </w:p>
    <w:p w:rsidR="00781E4E" w:rsidRDefault="00781E4E" w:rsidP="00781E4E">
      <w:pPr>
        <w:numPr>
          <w:ilvl w:val="0"/>
          <w:numId w:val="13"/>
        </w:numPr>
        <w:spacing w:before="100" w:beforeAutospacing="1" w:after="100" w:afterAutospacing="1" w:line="360" w:lineRule="auto"/>
        <w:rPr>
          <w:rFonts w:ascii="Arial" w:eastAsia="Times New Roman" w:hAnsi="Arial" w:cs="Arial"/>
          <w:color w:val="000000"/>
          <w:sz w:val="20"/>
        </w:rPr>
      </w:pPr>
      <w:r>
        <w:rPr>
          <w:rFonts w:ascii="Arial" w:eastAsia="Times New Roman" w:hAnsi="Arial" w:cs="Arial"/>
          <w:sz w:val="20"/>
        </w:rPr>
        <w:t>UK engine output rises 15.8% in August, with 112,777 units produced</w:t>
      </w:r>
      <w:r>
        <w:rPr>
          <w:rFonts w:ascii="Arial" w:eastAsia="Times New Roman" w:hAnsi="Arial" w:cs="Arial"/>
          <w:color w:val="000000"/>
          <w:sz w:val="20"/>
        </w:rPr>
        <w:t>.</w:t>
      </w:r>
    </w:p>
    <w:p w:rsidR="00781E4E" w:rsidRDefault="00781E4E" w:rsidP="00781E4E">
      <w:pPr>
        <w:numPr>
          <w:ilvl w:val="0"/>
          <w:numId w:val="13"/>
        </w:numPr>
        <w:spacing w:before="100" w:beforeAutospacing="1" w:after="100" w:afterAutospacing="1" w:line="360" w:lineRule="auto"/>
        <w:rPr>
          <w:rFonts w:ascii="Arial" w:eastAsia="Times New Roman" w:hAnsi="Arial" w:cs="Arial"/>
          <w:color w:val="000000"/>
          <w:sz w:val="20"/>
        </w:rPr>
      </w:pPr>
      <w:r>
        <w:rPr>
          <w:rFonts w:ascii="Arial" w:eastAsia="Times New Roman" w:hAnsi="Arial" w:cs="Arial"/>
          <w:color w:val="000000"/>
          <w:sz w:val="20"/>
        </w:rPr>
        <w:t>Boost for home and export markets, with demand up 15.1% and 16.3% respectively.</w:t>
      </w:r>
    </w:p>
    <w:p w:rsidR="00781E4E" w:rsidRDefault="00781E4E" w:rsidP="00781E4E">
      <w:pPr>
        <w:numPr>
          <w:ilvl w:val="0"/>
          <w:numId w:val="13"/>
        </w:numPr>
        <w:spacing w:before="100" w:beforeAutospacing="1" w:after="100" w:afterAutospacing="1" w:line="360" w:lineRule="auto"/>
        <w:rPr>
          <w:rFonts w:ascii="Arial" w:eastAsia="Times New Roman" w:hAnsi="Arial" w:cs="Arial"/>
          <w:color w:val="000000"/>
          <w:sz w:val="20"/>
        </w:rPr>
      </w:pPr>
      <w:r>
        <w:rPr>
          <w:rFonts w:ascii="Arial" w:eastAsia="Times New Roman" w:hAnsi="Arial" w:cs="Arial"/>
          <w:color w:val="000000"/>
          <w:sz w:val="20"/>
        </w:rPr>
        <w:t xml:space="preserve">Year-to-date volumes remain </w:t>
      </w:r>
      <w:r>
        <w:rPr>
          <w:rFonts w:ascii="Arial" w:eastAsia="Times New Roman" w:hAnsi="Arial" w:cs="Arial"/>
          <w:sz w:val="20"/>
        </w:rPr>
        <w:t>steady at 1,562,503, down 3.4% on 2014</w:t>
      </w:r>
      <w:r>
        <w:rPr>
          <w:rFonts w:ascii="Arial" w:eastAsia="Times New Roman" w:hAnsi="Arial" w:cs="Arial"/>
          <w:color w:val="000000"/>
          <w:sz w:val="20"/>
        </w:rPr>
        <w:t xml:space="preserve">. </w:t>
      </w:r>
    </w:p>
    <w:p w:rsidR="00781E4E" w:rsidRDefault="00781E4E" w:rsidP="00781E4E">
      <w:pPr>
        <w:spacing w:before="100" w:beforeAutospacing="1" w:after="100" w:afterAutospacing="1" w:line="276" w:lineRule="auto"/>
        <w:rPr>
          <w:rFonts w:ascii="Arial" w:eastAsiaTheme="minorHAnsi" w:hAnsi="Arial" w:cs="Arial"/>
          <w:sz w:val="20"/>
        </w:rPr>
      </w:pPr>
      <w:r>
        <w:rPr>
          <w:rFonts w:ascii="Arial" w:hAnsi="Arial" w:cs="Arial"/>
          <w:b/>
          <w:bCs/>
          <w:color w:val="000000"/>
          <w:sz w:val="20"/>
        </w:rPr>
        <w:t xml:space="preserve">Mike Hawes, SMMT Chief Executive, said, </w:t>
      </w:r>
      <w:r>
        <w:rPr>
          <w:rFonts w:ascii="Arial" w:hAnsi="Arial" w:cs="Arial"/>
          <w:color w:val="000000"/>
          <w:sz w:val="20"/>
        </w:rPr>
        <w:t xml:space="preserve">“Engine manufacturing enjoyed a boost in August, as factories came back online following the traditional summer shutdown in July. A shift in holiday schedules </w:t>
      </w:r>
      <w:r>
        <w:rPr>
          <w:rFonts w:ascii="Arial" w:hAnsi="Arial" w:cs="Arial"/>
          <w:sz w:val="20"/>
        </w:rPr>
        <w:t>meant the industry’s seasonal pause in production arrived a month earlier than usual, resulting in bigger fluctuations in output. However, with more than 1.5 million engines produced in the year-to-date, and significant investment in new plants set to be realised this autumn, the prospects for future month-on-month growth look promising.</w:t>
      </w:r>
      <w:r>
        <w:rPr>
          <w:rFonts w:ascii="Arial" w:hAnsi="Arial" w:cs="Arial"/>
          <w:color w:val="000000"/>
          <w:sz w:val="20"/>
        </w:rPr>
        <w:t>”</w:t>
      </w:r>
    </w:p>
    <w:p w:rsidR="00781E4E" w:rsidRDefault="00781E4E" w:rsidP="00781E4E">
      <w:pPr>
        <w:rPr>
          <w:rFonts w:ascii="Arial" w:hAnsi="Arial" w:cs="Arial"/>
          <w:color w:val="000000"/>
          <w:sz w:val="20"/>
        </w:rPr>
      </w:pPr>
      <w:r>
        <w:rPr>
          <w:rFonts w:ascii="Arial" w:hAnsi="Arial" w:cs="Arial"/>
          <w:color w:val="000000"/>
          <w:sz w:val="20"/>
        </w:rPr>
        <w:t> </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781E4E" w:rsidTr="00781E4E">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Aug-14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Aug-15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 Change</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center"/>
              <w:rPr>
                <w:rFonts w:eastAsiaTheme="minorHAnsi" w:cs="Times"/>
                <w:color w:val="0D2255"/>
                <w:sz w:val="20"/>
              </w:rPr>
            </w:pPr>
            <w:r w:rsidRPr="00232B9A">
              <w:rPr>
                <w:rFonts w:ascii="Arial" w:hAnsi="Arial" w:cs="Arial"/>
                <w:b/>
                <w:bCs/>
                <w:color w:val="0D2255"/>
                <w:sz w:val="20"/>
              </w:rPr>
              <w:t>% Change</w:t>
            </w:r>
          </w:p>
        </w:tc>
      </w:tr>
      <w:tr w:rsidR="00781E4E" w:rsidTr="00781E4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right"/>
              <w:rPr>
                <w:rFonts w:eastAsiaTheme="minorHAnsi" w:cs="Times"/>
                <w:color w:val="0D2255"/>
                <w:sz w:val="20"/>
              </w:rPr>
            </w:pPr>
            <w:r w:rsidRPr="00232B9A">
              <w:rPr>
                <w:rFonts w:ascii="Arial" w:hAnsi="Arial" w:cs="Arial"/>
                <w:b/>
                <w:bCs/>
                <w:color w:val="0D2255"/>
                <w:sz w:val="20"/>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97,406</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112,777</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15.8%</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1,617,265</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1,562,503</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-3.4%</w:t>
            </w:r>
          </w:p>
        </w:tc>
      </w:tr>
      <w:tr w:rsidR="00781E4E" w:rsidTr="00781E4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right"/>
              <w:rPr>
                <w:rFonts w:eastAsiaTheme="minorHAnsi" w:cs="Times"/>
                <w:color w:val="0D2255"/>
                <w:sz w:val="20"/>
              </w:rPr>
            </w:pPr>
            <w:r w:rsidRPr="00232B9A">
              <w:rPr>
                <w:rFonts w:ascii="Arial" w:hAnsi="Arial" w:cs="Arial"/>
                <w:b/>
                <w:bCs/>
                <w:color w:val="0D2255"/>
                <w:sz w:val="20"/>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40,719</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46,878</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15.1%</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583,566</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551,049</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-5.6%</w:t>
            </w:r>
          </w:p>
        </w:tc>
      </w:tr>
      <w:tr w:rsidR="00781E4E" w:rsidTr="00781E4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right"/>
              <w:rPr>
                <w:rFonts w:eastAsiaTheme="minorHAnsi" w:cs="Times"/>
                <w:color w:val="0D2255"/>
                <w:sz w:val="20"/>
              </w:rPr>
            </w:pPr>
            <w:r w:rsidRPr="00232B9A">
              <w:rPr>
                <w:rFonts w:ascii="Arial" w:hAnsi="Arial" w:cs="Arial"/>
                <w:b/>
                <w:bCs/>
                <w:color w:val="0D2255"/>
                <w:sz w:val="20"/>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56,687</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65,899</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16.3%</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1,033,699</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1,011,454</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18"/>
                <w:szCs w:val="18"/>
              </w:rPr>
            </w:pPr>
            <w:r w:rsidRPr="00232B9A">
              <w:rPr>
                <w:rFonts w:ascii="Arial" w:hAnsi="Arial" w:cs="Arial"/>
                <w:color w:val="0D2255"/>
                <w:sz w:val="18"/>
                <w:szCs w:val="18"/>
              </w:rPr>
              <w:t>-2.2%</w:t>
            </w:r>
          </w:p>
        </w:tc>
      </w:tr>
      <w:tr w:rsidR="00781E4E" w:rsidTr="00781E4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781E4E" w:rsidRPr="00232B9A" w:rsidRDefault="00781E4E">
            <w:pPr>
              <w:spacing w:line="276" w:lineRule="auto"/>
              <w:jc w:val="right"/>
              <w:rPr>
                <w:rFonts w:eastAsiaTheme="minorHAnsi" w:cs="Times"/>
                <w:color w:val="0D2255"/>
                <w:sz w:val="20"/>
              </w:rPr>
            </w:pPr>
            <w:r w:rsidRPr="00232B9A">
              <w:rPr>
                <w:rFonts w:ascii="Arial" w:hAnsi="Arial" w:cs="Arial"/>
                <w:b/>
                <w:bCs/>
                <w:color w:val="0D2255"/>
                <w:sz w:val="20"/>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58.2%</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58.4%</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 </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63.9%</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64.7%</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781E4E" w:rsidRPr="00232B9A" w:rsidRDefault="00781E4E">
            <w:pPr>
              <w:spacing w:line="276" w:lineRule="auto"/>
              <w:jc w:val="right"/>
              <w:rPr>
                <w:rFonts w:ascii="Arial" w:eastAsiaTheme="minorHAnsi" w:hAnsi="Arial" w:cs="Arial"/>
                <w:color w:val="0D2255"/>
                <w:sz w:val="20"/>
              </w:rPr>
            </w:pPr>
            <w:r w:rsidRPr="00232B9A">
              <w:rPr>
                <w:rFonts w:ascii="Arial" w:hAnsi="Arial" w:cs="Arial"/>
                <w:color w:val="0D2255"/>
                <w:sz w:val="20"/>
              </w:rPr>
              <w:t> </w:t>
            </w:r>
          </w:p>
        </w:tc>
      </w:tr>
    </w:tbl>
    <w:p w:rsidR="00781E4E" w:rsidRDefault="00781E4E" w:rsidP="00781E4E">
      <w:pPr>
        <w:rPr>
          <w:rFonts w:ascii="Arial" w:eastAsiaTheme="minorHAnsi" w:hAnsi="Arial" w:cs="Arial"/>
          <w:sz w:val="20"/>
        </w:rPr>
      </w:pPr>
    </w:p>
    <w:p w:rsidR="004306DA" w:rsidRPr="00AD5A3B" w:rsidRDefault="00AE2465" w:rsidP="004306DA">
      <w:pPr>
        <w:rPr>
          <w:rFonts w:ascii="Segoe UI" w:eastAsia="Times New Roman" w:hAnsi="Segoe UI" w:cs="Segoe UI"/>
          <w:color w:val="000000"/>
          <w:sz w:val="27"/>
          <w:szCs w:val="27"/>
          <w:lang w:eastAsia="en-US"/>
        </w:rPr>
      </w:pPr>
      <w:r w:rsidRPr="00AE2465">
        <w:rPr>
          <w:rFonts w:ascii="Arial" w:eastAsia="Times New Roman" w:hAnsi="Arial" w:cs="Arial"/>
          <w:b/>
          <w:bCs/>
          <w:color w:val="0D2255"/>
          <w:sz w:val="20"/>
          <w:lang w:eastAsia="en-US"/>
        </w:rPr>
        <w:t> </w:t>
      </w:r>
    </w:p>
    <w:p w:rsidR="002933B8" w:rsidRDefault="002933B8" w:rsidP="004306DA">
      <w:pPr>
        <w:rPr>
          <w:rFonts w:ascii="Arial" w:eastAsia="Times New Roman" w:hAnsi="Arial" w:cs="Arial"/>
          <w:b/>
          <w:color w:val="1074CB"/>
          <w:sz w:val="16"/>
          <w:szCs w:val="16"/>
        </w:rPr>
      </w:pPr>
      <w:r>
        <w:rPr>
          <w:rFonts w:ascii="Arial" w:eastAsia="Times New Roman" w:hAnsi="Arial" w:cs="Arial"/>
          <w:b/>
          <w:color w:val="1074CB"/>
          <w:sz w:val="16"/>
          <w:szCs w:val="16"/>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7C1A25"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414156">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pPr>
        <w:rPr>
          <w:rFonts w:ascii="Arial" w:eastAsia="Times New Roman" w:hAnsi="Arial" w:cs="Arial"/>
          <w:sz w:val="16"/>
          <w:szCs w:val="16"/>
        </w:rPr>
      </w:pPr>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DC3ABC" w:rsidRDefault="00DC3ABC" w:rsidP="004306DA">
      <w:pPr>
        <w:rPr>
          <w:rFonts w:ascii="Arial" w:eastAsia="Times New Roman" w:hAnsi="Arial" w:cs="Arial"/>
          <w:sz w:val="16"/>
          <w:szCs w:val="16"/>
        </w:rPr>
      </w:pPr>
      <w:r w:rsidRPr="0033053A">
        <w:rPr>
          <w:rFonts w:ascii="Arial" w:eastAsia="Times New Roman" w:hAnsi="Arial" w:cs="Arial"/>
          <w:color w:val="1074CB"/>
          <w:sz w:val="16"/>
          <w:szCs w:val="16"/>
        </w:rPr>
        <w:t xml:space="preserve">Emma Butcher </w:t>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t>020 7344 9263</w:t>
      </w:r>
      <w:r>
        <w:rPr>
          <w:rFonts w:ascii="Arial" w:eastAsia="Times New Roman" w:hAnsi="Arial" w:cs="Arial"/>
          <w:sz w:val="16"/>
          <w:szCs w:val="16"/>
        </w:rPr>
        <w:tab/>
      </w:r>
      <w:r>
        <w:rPr>
          <w:rFonts w:ascii="Arial" w:eastAsia="Times New Roman" w:hAnsi="Arial" w:cs="Arial"/>
          <w:sz w:val="16"/>
          <w:szCs w:val="16"/>
        </w:rPr>
        <w:tab/>
      </w:r>
      <w:hyperlink r:id="rId11" w:history="1">
        <w:r w:rsidR="0033053A" w:rsidRPr="00BB6E5E">
          <w:rPr>
            <w:rStyle w:val="Hyperlink"/>
            <w:rFonts w:ascii="Arial" w:eastAsia="Times New Roman" w:hAnsi="Arial" w:cs="Arial"/>
            <w:sz w:val="16"/>
            <w:szCs w:val="16"/>
          </w:rPr>
          <w:t>ebutcher@smmt.co.uk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15" w:rsidRDefault="00484815" w:rsidP="00C80E70">
      <w:r>
        <w:separator/>
      </w:r>
    </w:p>
  </w:endnote>
  <w:endnote w:type="continuationSeparator" w:id="0">
    <w:p w:rsidR="00484815" w:rsidRDefault="00484815"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Pr="004306DA" w:rsidRDefault="00AA1D6E"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15" w:rsidRDefault="00484815" w:rsidP="00C80E70">
      <w:r>
        <w:separator/>
      </w:r>
    </w:p>
  </w:footnote>
  <w:footnote w:type="continuationSeparator" w:id="0">
    <w:p w:rsidR="00484815" w:rsidRDefault="00484815"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Default="00AA1D6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Default="00AA1D6E">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94273"/>
    <w:rsid w:val="000A4DE9"/>
    <w:rsid w:val="000A5DC2"/>
    <w:rsid w:val="000A792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71B"/>
    <w:rsid w:val="00224DDD"/>
    <w:rsid w:val="00226D70"/>
    <w:rsid w:val="00232B9A"/>
    <w:rsid w:val="002339C2"/>
    <w:rsid w:val="0025075E"/>
    <w:rsid w:val="00252DCB"/>
    <w:rsid w:val="00264687"/>
    <w:rsid w:val="002657B9"/>
    <w:rsid w:val="00266A9A"/>
    <w:rsid w:val="002839AC"/>
    <w:rsid w:val="00286B24"/>
    <w:rsid w:val="0028787F"/>
    <w:rsid w:val="002933B8"/>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05B0A"/>
    <w:rsid w:val="00320C83"/>
    <w:rsid w:val="00326321"/>
    <w:rsid w:val="0033053A"/>
    <w:rsid w:val="00336064"/>
    <w:rsid w:val="00342547"/>
    <w:rsid w:val="00345B59"/>
    <w:rsid w:val="003474FA"/>
    <w:rsid w:val="003552CF"/>
    <w:rsid w:val="00356443"/>
    <w:rsid w:val="00360F2F"/>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01D3"/>
    <w:rsid w:val="00505C8C"/>
    <w:rsid w:val="00513349"/>
    <w:rsid w:val="00513658"/>
    <w:rsid w:val="005218AC"/>
    <w:rsid w:val="00525D1A"/>
    <w:rsid w:val="00534F79"/>
    <w:rsid w:val="005407A6"/>
    <w:rsid w:val="00541AF7"/>
    <w:rsid w:val="00542422"/>
    <w:rsid w:val="0055683E"/>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44DC"/>
    <w:rsid w:val="005F7C94"/>
    <w:rsid w:val="0060762E"/>
    <w:rsid w:val="0061363F"/>
    <w:rsid w:val="00616CD2"/>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1CFB"/>
    <w:rsid w:val="006A24E7"/>
    <w:rsid w:val="006A7E48"/>
    <w:rsid w:val="006B47DA"/>
    <w:rsid w:val="006B4C72"/>
    <w:rsid w:val="006B5968"/>
    <w:rsid w:val="006B5D2C"/>
    <w:rsid w:val="006B65B6"/>
    <w:rsid w:val="006B7F8A"/>
    <w:rsid w:val="006C13A6"/>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A0020"/>
    <w:rsid w:val="007A3F55"/>
    <w:rsid w:val="007A7B05"/>
    <w:rsid w:val="007B20DF"/>
    <w:rsid w:val="007B3856"/>
    <w:rsid w:val="007B6A51"/>
    <w:rsid w:val="007B7669"/>
    <w:rsid w:val="007C1A25"/>
    <w:rsid w:val="007C2DD5"/>
    <w:rsid w:val="007D2D63"/>
    <w:rsid w:val="007D31B3"/>
    <w:rsid w:val="007D4EAB"/>
    <w:rsid w:val="007E01BE"/>
    <w:rsid w:val="007E3B55"/>
    <w:rsid w:val="007E4A49"/>
    <w:rsid w:val="007F10B4"/>
    <w:rsid w:val="007F3C06"/>
    <w:rsid w:val="007F73B4"/>
    <w:rsid w:val="008030A3"/>
    <w:rsid w:val="0080410F"/>
    <w:rsid w:val="00804C47"/>
    <w:rsid w:val="00806662"/>
    <w:rsid w:val="00806C8E"/>
    <w:rsid w:val="008152E4"/>
    <w:rsid w:val="00815C6B"/>
    <w:rsid w:val="00823140"/>
    <w:rsid w:val="008234A7"/>
    <w:rsid w:val="00835F96"/>
    <w:rsid w:val="008372BE"/>
    <w:rsid w:val="00846D04"/>
    <w:rsid w:val="00853B7F"/>
    <w:rsid w:val="00853E71"/>
    <w:rsid w:val="00854403"/>
    <w:rsid w:val="00856BDA"/>
    <w:rsid w:val="00861E9C"/>
    <w:rsid w:val="0086619E"/>
    <w:rsid w:val="00866A2F"/>
    <w:rsid w:val="008716AA"/>
    <w:rsid w:val="00871FF2"/>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3575"/>
    <w:rsid w:val="009A00FC"/>
    <w:rsid w:val="009B01D2"/>
    <w:rsid w:val="009C07C2"/>
    <w:rsid w:val="009C2F5C"/>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C363D"/>
    <w:rsid w:val="00AC641E"/>
    <w:rsid w:val="00AD19DC"/>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5B71"/>
    <w:rsid w:val="00BF703F"/>
    <w:rsid w:val="00C07099"/>
    <w:rsid w:val="00C13462"/>
    <w:rsid w:val="00C135CE"/>
    <w:rsid w:val="00C13883"/>
    <w:rsid w:val="00C16157"/>
    <w:rsid w:val="00C1715F"/>
    <w:rsid w:val="00C20EC7"/>
    <w:rsid w:val="00C21B7F"/>
    <w:rsid w:val="00C23320"/>
    <w:rsid w:val="00C2402A"/>
    <w:rsid w:val="00C43E07"/>
    <w:rsid w:val="00C43E38"/>
    <w:rsid w:val="00C468CD"/>
    <w:rsid w:val="00C51D6F"/>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E21EA"/>
    <w:rsid w:val="00CE230C"/>
    <w:rsid w:val="00CE3518"/>
    <w:rsid w:val="00CF0876"/>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3ABC"/>
    <w:rsid w:val="00DC45C1"/>
    <w:rsid w:val="00DC5007"/>
    <w:rsid w:val="00DC6FF5"/>
    <w:rsid w:val="00DD0C07"/>
    <w:rsid w:val="00DD26FB"/>
    <w:rsid w:val="00DD3689"/>
    <w:rsid w:val="00DD5AF0"/>
    <w:rsid w:val="00DE5D6C"/>
    <w:rsid w:val="00DF19D9"/>
    <w:rsid w:val="00DF5C28"/>
    <w:rsid w:val="00E03CCD"/>
    <w:rsid w:val="00E07249"/>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E702D"/>
    <w:rsid w:val="00EF0D80"/>
    <w:rsid w:val="00EF35D8"/>
    <w:rsid w:val="00EF5953"/>
    <w:rsid w:val="00F015F2"/>
    <w:rsid w:val="00F205F0"/>
    <w:rsid w:val="00F2126E"/>
    <w:rsid w:val="00F24827"/>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1F502-4733-4ACF-954B-01C5FF42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2015-06-24T08:24:00Z</cp:lastPrinted>
  <dcterms:created xsi:type="dcterms:W3CDTF">2015-09-24T09:11:00Z</dcterms:created>
  <dcterms:modified xsi:type="dcterms:W3CDTF">2015-09-24T09:11:00Z</dcterms:modified>
</cp:coreProperties>
</file>