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D62A9D" w:rsidRDefault="00C80E70" w:rsidP="00C80E70">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r w:rsidR="0091592E">
        <w:rPr>
          <w:rFonts w:ascii="Arial" w:eastAsiaTheme="minorEastAsia" w:hAnsi="Arial" w:cs="Arial"/>
          <w:bCs/>
          <w:color w:val="1074CB"/>
          <w:sz w:val="44"/>
          <w:szCs w:val="44"/>
        </w:rPr>
        <w:t xml:space="preserve"> </w:t>
      </w:r>
    </w:p>
    <w:p w:rsidR="00C80E70" w:rsidRPr="00E422EE" w:rsidRDefault="00252DCB" w:rsidP="00C80E70">
      <w:pPr>
        <w:pStyle w:val="Heading1"/>
        <w:ind w:right="142"/>
        <w:rPr>
          <w:rFonts w:ascii="Arial" w:eastAsiaTheme="minorEastAsia" w:hAnsi="Arial" w:cs="Arial"/>
          <w:b w:val="0"/>
          <w:bCs/>
          <w:color w:val="1074CB"/>
          <w:sz w:val="44"/>
          <w:szCs w:val="44"/>
        </w:rPr>
      </w:pPr>
      <w:r w:rsidRPr="00E422EE">
        <w:rPr>
          <w:rFonts w:ascii="Arial" w:eastAsiaTheme="minorEastAsia" w:hAnsi="Arial" w:cs="Arial"/>
          <w:b w:val="0"/>
          <w:bCs/>
          <w:color w:val="1074CB"/>
          <w:sz w:val="44"/>
          <w:szCs w:val="44"/>
        </w:rPr>
        <w:t>24</w:t>
      </w:r>
      <w:r w:rsidR="0055683E" w:rsidRPr="00E422EE">
        <w:rPr>
          <w:rFonts w:ascii="Arial" w:eastAsiaTheme="minorEastAsia" w:hAnsi="Arial" w:cs="Arial"/>
          <w:b w:val="0"/>
          <w:bCs/>
          <w:color w:val="1074CB"/>
          <w:sz w:val="44"/>
          <w:szCs w:val="44"/>
        </w:rPr>
        <w:t xml:space="preserve"> </w:t>
      </w:r>
      <w:r w:rsidRPr="00E422EE">
        <w:rPr>
          <w:rFonts w:ascii="Arial" w:eastAsiaTheme="minorEastAsia" w:hAnsi="Arial" w:cs="Arial"/>
          <w:b w:val="0"/>
          <w:bCs/>
          <w:color w:val="1074CB"/>
          <w:sz w:val="44"/>
          <w:szCs w:val="44"/>
        </w:rPr>
        <w:t>Oc</w:t>
      </w:r>
      <w:r w:rsidR="0055683E" w:rsidRPr="00E422EE">
        <w:rPr>
          <w:rFonts w:ascii="Arial" w:eastAsiaTheme="minorEastAsia" w:hAnsi="Arial" w:cs="Arial"/>
          <w:b w:val="0"/>
          <w:bCs/>
          <w:color w:val="1074CB"/>
          <w:sz w:val="44"/>
          <w:szCs w:val="44"/>
        </w:rPr>
        <w:t>t</w:t>
      </w:r>
      <w:r w:rsidRPr="00E422EE">
        <w:rPr>
          <w:rFonts w:ascii="Arial" w:eastAsiaTheme="minorEastAsia" w:hAnsi="Arial" w:cs="Arial"/>
          <w:b w:val="0"/>
          <w:bCs/>
          <w:color w:val="1074CB"/>
          <w:sz w:val="44"/>
          <w:szCs w:val="44"/>
        </w:rPr>
        <w:t>o</w:t>
      </w:r>
      <w:r w:rsidR="0055683E" w:rsidRPr="00E422EE">
        <w:rPr>
          <w:rFonts w:ascii="Arial" w:eastAsiaTheme="minorEastAsia" w:hAnsi="Arial" w:cs="Arial"/>
          <w:b w:val="0"/>
          <w:bCs/>
          <w:color w:val="1074CB"/>
          <w:sz w:val="44"/>
          <w:szCs w:val="44"/>
        </w:rPr>
        <w:t>ber</w:t>
      </w:r>
      <w:r w:rsidR="008F55A4" w:rsidRPr="00E422EE">
        <w:rPr>
          <w:rFonts w:ascii="Arial" w:eastAsiaTheme="minorEastAsia" w:hAnsi="Arial" w:cs="Arial"/>
          <w:b w:val="0"/>
          <w:bCs/>
          <w:color w:val="1074CB"/>
          <w:sz w:val="44"/>
          <w:szCs w:val="44"/>
        </w:rPr>
        <w:t xml:space="preserve"> </w:t>
      </w:r>
      <w:r w:rsidR="00C80E70" w:rsidRPr="00E422EE">
        <w:rPr>
          <w:rFonts w:ascii="Arial" w:eastAsiaTheme="minorEastAsia" w:hAnsi="Arial" w:cs="Arial"/>
          <w:b w:val="0"/>
          <w:bCs/>
          <w:color w:val="1074CB"/>
          <w:sz w:val="44"/>
          <w:szCs w:val="44"/>
        </w:rPr>
        <w:t xml:space="preserve">2013 </w:t>
      </w:r>
      <w:r w:rsidR="00E422EE" w:rsidRPr="0091592E">
        <w:rPr>
          <w:rFonts w:ascii="Arial" w:eastAsiaTheme="minorEastAsia" w:hAnsi="Arial" w:cs="Arial"/>
          <w:b w:val="0"/>
          <w:bCs/>
          <w:color w:val="1074CB"/>
          <w:sz w:val="28"/>
          <w:szCs w:val="28"/>
        </w:rPr>
        <w:t>(data for September 2013)</w:t>
      </w:r>
    </w:p>
    <w:p w:rsidR="00C80E70" w:rsidRPr="00C80E70" w:rsidRDefault="001A2D74" w:rsidP="00C80E70">
      <w:pPr>
        <w:tabs>
          <w:tab w:val="left" w:pos="889"/>
        </w:tabs>
        <w:rPr>
          <w:rFonts w:ascii="Arial" w:eastAsiaTheme="minorEastAsia" w:hAnsi="Arial" w:cs="Arial"/>
          <w:bCs/>
          <w:color w:val="1074CB"/>
          <w:sz w:val="10"/>
          <w:szCs w:val="10"/>
        </w:rPr>
      </w:pPr>
      <w:r w:rsidRPr="001A2D74">
        <w:rPr>
          <w:rFonts w:ascii="Arial" w:eastAsiaTheme="minorEastAsia" w:hAnsi="Arial" w:cs="Arial"/>
          <w:b/>
          <w:bCs/>
          <w:noProof/>
          <w:color w:val="1074CB"/>
          <w:sz w:val="20"/>
        </w:rPr>
        <w:pict>
          <v:line id="Line 4" o:spid="_x0000_s1026" style="position:absolute;z-index:251664384;visibility:visibl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r w:rsidR="00C80E70">
        <w:rPr>
          <w:rFonts w:ascii="Arial" w:eastAsiaTheme="minorEastAsia" w:hAnsi="Arial" w:cs="Arial"/>
          <w:bCs/>
          <w:color w:val="1074CB"/>
          <w:sz w:val="36"/>
          <w:szCs w:val="36"/>
        </w:rPr>
        <w:t xml:space="preserve"> </w:t>
      </w:r>
    </w:p>
    <w:p w:rsidR="00F00B32" w:rsidRPr="00F00B32" w:rsidRDefault="00F00B32" w:rsidP="00427158">
      <w:pPr>
        <w:pStyle w:val="Heading1"/>
        <w:ind w:left="0" w:right="425" w:firstLine="0"/>
        <w:rPr>
          <w:rFonts w:ascii="Arial" w:eastAsiaTheme="minorEastAsia" w:hAnsi="Arial" w:cs="Arial"/>
          <w:bCs/>
          <w:color w:val="1074CB"/>
          <w:sz w:val="20"/>
        </w:rPr>
      </w:pPr>
    </w:p>
    <w:p w:rsidR="00427158" w:rsidRPr="00D62A9D" w:rsidRDefault="00427158" w:rsidP="00427158">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Car </w:t>
      </w:r>
      <w:r w:rsidR="00755293">
        <w:rPr>
          <w:rFonts w:ascii="Arial" w:eastAsiaTheme="minorEastAsia" w:hAnsi="Arial" w:cs="Arial"/>
          <w:bCs/>
          <w:color w:val="1074CB"/>
          <w:sz w:val="36"/>
          <w:szCs w:val="36"/>
        </w:rPr>
        <w:t xml:space="preserve">manufacturing tops </w:t>
      </w:r>
      <w:r w:rsidR="00784781">
        <w:rPr>
          <w:rFonts w:ascii="Arial" w:eastAsiaTheme="minorEastAsia" w:hAnsi="Arial" w:cs="Arial"/>
          <w:bCs/>
          <w:color w:val="1074CB"/>
          <w:sz w:val="36"/>
          <w:szCs w:val="36"/>
        </w:rPr>
        <w:t xml:space="preserve">one </w:t>
      </w:r>
      <w:r w:rsidR="00755293">
        <w:rPr>
          <w:rFonts w:ascii="Arial" w:eastAsiaTheme="minorEastAsia" w:hAnsi="Arial" w:cs="Arial"/>
          <w:bCs/>
          <w:color w:val="1074CB"/>
          <w:sz w:val="36"/>
          <w:szCs w:val="36"/>
        </w:rPr>
        <w:t>million units for 2013</w:t>
      </w:r>
    </w:p>
    <w:p w:rsidR="00C80E70" w:rsidRPr="00F00B32" w:rsidRDefault="00C80E70" w:rsidP="00C80E70">
      <w:pPr>
        <w:rPr>
          <w:rFonts w:ascii="Arial" w:hAnsi="Arial" w:cs="Arial"/>
          <w:sz w:val="20"/>
        </w:rPr>
      </w:pPr>
    </w:p>
    <w:p w:rsidR="00427158" w:rsidRDefault="00755293" w:rsidP="00427158">
      <w:pPr>
        <w:pStyle w:val="ListParagraph"/>
        <w:numPr>
          <w:ilvl w:val="0"/>
          <w:numId w:val="2"/>
        </w:numPr>
        <w:spacing w:line="276" w:lineRule="auto"/>
        <w:rPr>
          <w:rFonts w:ascii="Arial" w:hAnsi="Arial" w:cs="Arial"/>
          <w:sz w:val="20"/>
        </w:rPr>
      </w:pPr>
      <w:r>
        <w:rPr>
          <w:rFonts w:ascii="Arial" w:hAnsi="Arial" w:cs="Arial"/>
          <w:sz w:val="20"/>
        </w:rPr>
        <w:t>Strong September</w:t>
      </w:r>
      <w:r w:rsidR="00416AB7">
        <w:rPr>
          <w:rFonts w:ascii="Arial" w:hAnsi="Arial" w:cs="Arial"/>
          <w:sz w:val="20"/>
        </w:rPr>
        <w:t xml:space="preserve"> </w:t>
      </w:r>
      <w:r>
        <w:rPr>
          <w:rFonts w:ascii="Arial" w:hAnsi="Arial" w:cs="Arial"/>
          <w:sz w:val="20"/>
        </w:rPr>
        <w:t>drives</w:t>
      </w:r>
      <w:r w:rsidR="00416AB7">
        <w:rPr>
          <w:rFonts w:ascii="Arial" w:hAnsi="Arial" w:cs="Arial"/>
          <w:sz w:val="20"/>
        </w:rPr>
        <w:t xml:space="preserve"> </w:t>
      </w:r>
      <w:r w:rsidR="00F00B32">
        <w:rPr>
          <w:rFonts w:ascii="Arial" w:hAnsi="Arial" w:cs="Arial"/>
          <w:sz w:val="20"/>
        </w:rPr>
        <w:t xml:space="preserve">2013 </w:t>
      </w:r>
      <w:r w:rsidR="00416AB7">
        <w:rPr>
          <w:rFonts w:ascii="Arial" w:hAnsi="Arial" w:cs="Arial"/>
          <w:sz w:val="20"/>
        </w:rPr>
        <w:t>UK car production</w:t>
      </w:r>
      <w:r>
        <w:rPr>
          <w:rFonts w:ascii="Arial" w:hAnsi="Arial" w:cs="Arial"/>
          <w:sz w:val="20"/>
        </w:rPr>
        <w:t xml:space="preserve"> </w:t>
      </w:r>
      <w:r w:rsidR="00416AB7">
        <w:rPr>
          <w:rFonts w:ascii="Arial" w:hAnsi="Arial" w:cs="Arial"/>
          <w:sz w:val="20"/>
        </w:rPr>
        <w:t xml:space="preserve">to </w:t>
      </w:r>
      <w:r w:rsidR="00427158">
        <w:rPr>
          <w:rFonts w:ascii="Arial" w:hAnsi="Arial" w:cs="Arial"/>
          <w:sz w:val="20"/>
        </w:rPr>
        <w:t>1,125,433</w:t>
      </w:r>
      <w:r w:rsidR="00416AB7">
        <w:rPr>
          <w:rFonts w:ascii="Arial" w:hAnsi="Arial" w:cs="Arial"/>
          <w:sz w:val="20"/>
        </w:rPr>
        <w:t xml:space="preserve"> units</w:t>
      </w:r>
      <w:r w:rsidR="00427158">
        <w:rPr>
          <w:rFonts w:ascii="Arial" w:hAnsi="Arial" w:cs="Arial"/>
          <w:sz w:val="20"/>
        </w:rPr>
        <w:t>, up 3.9% on 2012.</w:t>
      </w:r>
    </w:p>
    <w:p w:rsidR="00427158" w:rsidRDefault="00416AB7" w:rsidP="00427158">
      <w:pPr>
        <w:pStyle w:val="ListParagraph"/>
        <w:numPr>
          <w:ilvl w:val="0"/>
          <w:numId w:val="2"/>
        </w:numPr>
        <w:spacing w:line="276" w:lineRule="auto"/>
        <w:rPr>
          <w:rFonts w:ascii="Arial" w:hAnsi="Arial" w:cs="Arial"/>
          <w:sz w:val="20"/>
        </w:rPr>
      </w:pPr>
      <w:r>
        <w:rPr>
          <w:rFonts w:ascii="Arial" w:hAnsi="Arial" w:cs="Arial"/>
          <w:sz w:val="20"/>
        </w:rPr>
        <w:t xml:space="preserve">140,888 cars built in September, 9.9% </w:t>
      </w:r>
      <w:r w:rsidR="00F00B32">
        <w:rPr>
          <w:rFonts w:ascii="Arial" w:hAnsi="Arial" w:cs="Arial"/>
          <w:sz w:val="20"/>
        </w:rPr>
        <w:t>ahead of</w:t>
      </w:r>
      <w:r>
        <w:rPr>
          <w:rFonts w:ascii="Arial" w:hAnsi="Arial" w:cs="Arial"/>
          <w:sz w:val="20"/>
        </w:rPr>
        <w:t xml:space="preserve"> 2012</w:t>
      </w:r>
      <w:r w:rsidR="00427158">
        <w:rPr>
          <w:rFonts w:ascii="Arial" w:hAnsi="Arial" w:cs="Arial"/>
          <w:sz w:val="20"/>
        </w:rPr>
        <w:t>.</w:t>
      </w:r>
    </w:p>
    <w:p w:rsidR="00427158" w:rsidRDefault="00427158" w:rsidP="00427158">
      <w:pPr>
        <w:pStyle w:val="ListParagraph"/>
        <w:numPr>
          <w:ilvl w:val="0"/>
          <w:numId w:val="2"/>
        </w:numPr>
        <w:spacing w:line="276" w:lineRule="auto"/>
        <w:rPr>
          <w:rFonts w:ascii="Arial" w:hAnsi="Arial" w:cs="Arial"/>
          <w:sz w:val="20"/>
        </w:rPr>
      </w:pPr>
      <w:r>
        <w:rPr>
          <w:rFonts w:ascii="Arial" w:hAnsi="Arial" w:cs="Arial"/>
          <w:sz w:val="20"/>
        </w:rPr>
        <w:t xml:space="preserve">Rolling </w:t>
      </w:r>
      <w:r w:rsidR="00F00B32">
        <w:rPr>
          <w:rFonts w:ascii="Arial" w:hAnsi="Arial" w:cs="Arial"/>
          <w:sz w:val="20"/>
        </w:rPr>
        <w:t xml:space="preserve">12-month </w:t>
      </w:r>
      <w:r>
        <w:rPr>
          <w:rFonts w:ascii="Arial" w:hAnsi="Arial" w:cs="Arial"/>
          <w:sz w:val="20"/>
        </w:rPr>
        <w:t xml:space="preserve">output hits 1.5 million for first time since </w:t>
      </w:r>
      <w:r w:rsidR="00416AB7">
        <w:rPr>
          <w:rFonts w:ascii="Arial" w:hAnsi="Arial" w:cs="Arial"/>
          <w:sz w:val="20"/>
        </w:rPr>
        <w:t>October</w:t>
      </w:r>
      <w:r>
        <w:rPr>
          <w:rFonts w:ascii="Arial" w:hAnsi="Arial" w:cs="Arial"/>
          <w:sz w:val="20"/>
        </w:rPr>
        <w:t xml:space="preserve"> 2008.</w:t>
      </w:r>
    </w:p>
    <w:p w:rsidR="00427158" w:rsidRPr="0038470F" w:rsidRDefault="00131BDB" w:rsidP="00427158">
      <w:pPr>
        <w:pStyle w:val="ListParagraph"/>
        <w:numPr>
          <w:ilvl w:val="0"/>
          <w:numId w:val="2"/>
        </w:numPr>
        <w:spacing w:line="276" w:lineRule="auto"/>
        <w:rPr>
          <w:rFonts w:ascii="Arial" w:hAnsi="Arial" w:cs="Arial"/>
          <w:sz w:val="20"/>
        </w:rPr>
      </w:pPr>
      <w:r>
        <w:rPr>
          <w:rFonts w:ascii="Arial" w:hAnsi="Arial" w:cs="Arial"/>
          <w:sz w:val="20"/>
        </w:rPr>
        <w:t xml:space="preserve">Buoyant </w:t>
      </w:r>
      <w:r w:rsidR="007D7979">
        <w:rPr>
          <w:rFonts w:ascii="Arial" w:hAnsi="Arial" w:cs="Arial"/>
          <w:sz w:val="20"/>
        </w:rPr>
        <w:t>UK demand</w:t>
      </w:r>
      <w:r>
        <w:rPr>
          <w:rFonts w:ascii="Arial" w:hAnsi="Arial" w:cs="Arial"/>
          <w:sz w:val="20"/>
        </w:rPr>
        <w:t xml:space="preserve"> helps boost growth as </w:t>
      </w:r>
      <w:r w:rsidR="007D7979">
        <w:rPr>
          <w:rFonts w:ascii="Arial" w:hAnsi="Arial" w:cs="Arial"/>
          <w:sz w:val="20"/>
        </w:rPr>
        <w:t xml:space="preserve">exports </w:t>
      </w:r>
      <w:r w:rsidR="00427158">
        <w:rPr>
          <w:rFonts w:ascii="Arial" w:hAnsi="Arial" w:cs="Arial"/>
          <w:sz w:val="20"/>
        </w:rPr>
        <w:t>r</w:t>
      </w:r>
      <w:r>
        <w:rPr>
          <w:rFonts w:ascii="Arial" w:hAnsi="Arial" w:cs="Arial"/>
          <w:sz w:val="20"/>
        </w:rPr>
        <w:t>i</w:t>
      </w:r>
      <w:r w:rsidR="00427158">
        <w:rPr>
          <w:rFonts w:ascii="Arial" w:hAnsi="Arial" w:cs="Arial"/>
          <w:sz w:val="20"/>
        </w:rPr>
        <w:t>se 9.3% in the month.</w:t>
      </w:r>
    </w:p>
    <w:p w:rsidR="00D6336B" w:rsidRPr="006E5BF9" w:rsidRDefault="007851A1" w:rsidP="007851A1">
      <w:pPr>
        <w:pStyle w:val="ListParagraph"/>
        <w:tabs>
          <w:tab w:val="left" w:pos="1828"/>
        </w:tabs>
        <w:spacing w:line="276" w:lineRule="auto"/>
        <w:rPr>
          <w:rFonts w:ascii="Arial" w:hAnsi="Arial" w:cs="Arial"/>
          <w:sz w:val="16"/>
          <w:szCs w:val="16"/>
        </w:rPr>
      </w:pPr>
      <w:r>
        <w:rPr>
          <w:rFonts w:ascii="Arial" w:hAnsi="Arial" w:cs="Arial"/>
          <w:sz w:val="16"/>
          <w:szCs w:val="16"/>
        </w:rPr>
        <w:tab/>
      </w:r>
    </w:p>
    <w:p w:rsidR="00E90110" w:rsidRDefault="00E90110" w:rsidP="00E90110">
      <w:pPr>
        <w:spacing w:line="360" w:lineRule="auto"/>
        <w:rPr>
          <w:rFonts w:ascii="Arial" w:hAnsi="Arial" w:cs="Arial"/>
          <w:sz w:val="20"/>
        </w:rPr>
      </w:pPr>
      <w:r>
        <w:rPr>
          <w:rFonts w:ascii="Arial" w:hAnsi="Arial" w:cs="Arial"/>
          <w:sz w:val="20"/>
        </w:rPr>
        <w:t>"Boosted by strong domestic demand, September's 9.9% rise in car manufacturing reinforces how the sector is one of the UK’s biggest success stories of recent years</w:t>
      </w:r>
      <w:r w:rsidRPr="00E90110">
        <w:rPr>
          <w:rFonts w:ascii="Arial" w:hAnsi="Arial" w:cs="Arial"/>
          <w:sz w:val="20"/>
        </w:rPr>
        <w:t>,</w:t>
      </w:r>
      <w:r>
        <w:rPr>
          <w:rFonts w:ascii="Arial" w:hAnsi="Arial" w:cs="Arial"/>
          <w:sz w:val="20"/>
        </w:rPr>
        <w:t>" said Mike Hawes, SMMT Chief Executive. “This year alone, more than £2.6 billion has been committed across</w:t>
      </w:r>
      <w:r w:rsidRPr="00E90110">
        <w:rPr>
          <w:rFonts w:ascii="Arial" w:hAnsi="Arial" w:cs="Arial"/>
          <w:sz w:val="20"/>
        </w:rPr>
        <w:t xml:space="preserve"> the </w:t>
      </w:r>
      <w:r>
        <w:rPr>
          <w:rFonts w:ascii="Arial" w:hAnsi="Arial" w:cs="Arial"/>
          <w:sz w:val="20"/>
        </w:rPr>
        <w:t xml:space="preserve">UK </w:t>
      </w:r>
      <w:r w:rsidRPr="00E90110">
        <w:rPr>
          <w:rFonts w:ascii="Arial" w:hAnsi="Arial" w:cs="Arial"/>
          <w:sz w:val="20"/>
        </w:rPr>
        <w:t>automotive sector</w:t>
      </w:r>
      <w:r>
        <w:rPr>
          <w:rFonts w:ascii="Arial" w:hAnsi="Arial" w:cs="Arial"/>
          <w:sz w:val="20"/>
        </w:rPr>
        <w:t>, from the supply chain to global car manufacturing brands. This long-term financial commitment and robust demand for UK-built products demonstrate the global appetite for high-quality, desirable products borne of the UK’s world-class design, R&amp;D and engineering.”</w:t>
      </w:r>
    </w:p>
    <w:p w:rsidR="00D6336B" w:rsidRDefault="00D6336B" w:rsidP="00C80E70">
      <w:pPr>
        <w:spacing w:line="276" w:lineRule="auto"/>
        <w:rPr>
          <w:rFonts w:ascii="Arial" w:hAnsi="Arial" w:cs="Arial"/>
          <w:sz w:val="20"/>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1998"/>
        <w:gridCol w:w="1201"/>
        <w:gridCol w:w="939"/>
        <w:gridCol w:w="1262"/>
        <w:gridCol w:w="1276"/>
        <w:gridCol w:w="1275"/>
        <w:gridCol w:w="1276"/>
      </w:tblGrid>
      <w:tr w:rsidR="00252DCB" w:rsidRPr="008F55A4" w:rsidTr="00252DCB">
        <w:trPr>
          <w:trHeight w:val="270"/>
        </w:trPr>
        <w:tc>
          <w:tcPr>
            <w:tcW w:w="1998" w:type="dxa"/>
            <w:shd w:val="clear" w:color="auto" w:fill="auto"/>
            <w:noWrap/>
            <w:vAlign w:val="center"/>
            <w:hideMark/>
          </w:tcPr>
          <w:p w:rsidR="00252DCB" w:rsidRPr="00252DCB" w:rsidRDefault="00252DCB" w:rsidP="00505C8C">
            <w:pPr>
              <w:rPr>
                <w:rFonts w:ascii="Arial" w:eastAsia="Times New Roman" w:hAnsi="Arial" w:cs="Arial"/>
                <w:b/>
                <w:color w:val="002060"/>
                <w:sz w:val="20"/>
              </w:rPr>
            </w:pPr>
            <w:r w:rsidRPr="00252DCB">
              <w:rPr>
                <w:rFonts w:ascii="Arial" w:eastAsia="Times New Roman" w:hAnsi="Arial" w:cs="Arial"/>
                <w:b/>
                <w:color w:val="002060"/>
                <w:sz w:val="20"/>
              </w:rPr>
              <w:t>Car manufacturing</w:t>
            </w:r>
          </w:p>
        </w:tc>
        <w:tc>
          <w:tcPr>
            <w:tcW w:w="1201"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Sep-12</w:t>
            </w:r>
          </w:p>
        </w:tc>
        <w:tc>
          <w:tcPr>
            <w:tcW w:w="939"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Sep-13</w:t>
            </w:r>
          </w:p>
        </w:tc>
        <w:tc>
          <w:tcPr>
            <w:tcW w:w="126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YTD-12</w:t>
            </w:r>
          </w:p>
        </w:tc>
        <w:tc>
          <w:tcPr>
            <w:tcW w:w="1275"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YTD-13</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Change</w:t>
            </w:r>
          </w:p>
        </w:tc>
      </w:tr>
      <w:tr w:rsidR="00252DCB" w:rsidRPr="008F55A4" w:rsidTr="00252DCB">
        <w:trPr>
          <w:trHeight w:val="270"/>
        </w:trPr>
        <w:tc>
          <w:tcPr>
            <w:tcW w:w="1998" w:type="dxa"/>
            <w:shd w:val="clear" w:color="auto" w:fill="auto"/>
            <w:noWrap/>
            <w:vAlign w:val="center"/>
            <w:hideMark/>
          </w:tcPr>
          <w:p w:rsidR="00252DCB" w:rsidRPr="00252DCB" w:rsidRDefault="00252DCB" w:rsidP="00542422">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1201"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128,229</w:t>
            </w:r>
          </w:p>
        </w:tc>
        <w:tc>
          <w:tcPr>
            <w:tcW w:w="939"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140,888</w:t>
            </w:r>
          </w:p>
        </w:tc>
        <w:tc>
          <w:tcPr>
            <w:tcW w:w="126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9.9%</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1,083,313</w:t>
            </w:r>
          </w:p>
        </w:tc>
        <w:tc>
          <w:tcPr>
            <w:tcW w:w="1275"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1,125,433</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3.9%</w:t>
            </w:r>
          </w:p>
        </w:tc>
      </w:tr>
      <w:tr w:rsidR="00252DCB" w:rsidRPr="008F55A4" w:rsidTr="00252DCB">
        <w:trPr>
          <w:trHeight w:val="270"/>
        </w:trPr>
        <w:tc>
          <w:tcPr>
            <w:tcW w:w="1998" w:type="dxa"/>
            <w:shd w:val="clear" w:color="auto" w:fill="auto"/>
            <w:noWrap/>
            <w:vAlign w:val="center"/>
            <w:hideMark/>
          </w:tcPr>
          <w:p w:rsidR="00252DCB" w:rsidRPr="00252DCB" w:rsidRDefault="00252DCB" w:rsidP="00542422">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1201"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25,864</w:t>
            </w:r>
          </w:p>
        </w:tc>
        <w:tc>
          <w:tcPr>
            <w:tcW w:w="939"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28,992</w:t>
            </w:r>
          </w:p>
        </w:tc>
        <w:tc>
          <w:tcPr>
            <w:tcW w:w="1262"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12.1%</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194,448</w:t>
            </w:r>
          </w:p>
        </w:tc>
        <w:tc>
          <w:tcPr>
            <w:tcW w:w="1275"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240,939</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23.9%</w:t>
            </w:r>
          </w:p>
        </w:tc>
      </w:tr>
      <w:tr w:rsidR="00252DCB" w:rsidRPr="008F55A4" w:rsidTr="00252DCB">
        <w:trPr>
          <w:trHeight w:val="270"/>
        </w:trPr>
        <w:tc>
          <w:tcPr>
            <w:tcW w:w="1998" w:type="dxa"/>
            <w:shd w:val="clear" w:color="auto" w:fill="auto"/>
            <w:noWrap/>
            <w:vAlign w:val="center"/>
            <w:hideMark/>
          </w:tcPr>
          <w:p w:rsidR="00252DCB" w:rsidRPr="00252DCB" w:rsidRDefault="00252DCB" w:rsidP="00542422">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1201"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102,365</w:t>
            </w:r>
          </w:p>
        </w:tc>
        <w:tc>
          <w:tcPr>
            <w:tcW w:w="939"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111,896</w:t>
            </w:r>
          </w:p>
        </w:tc>
        <w:tc>
          <w:tcPr>
            <w:tcW w:w="1262"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9.3%</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888,865</w:t>
            </w:r>
          </w:p>
        </w:tc>
        <w:tc>
          <w:tcPr>
            <w:tcW w:w="1275"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884,494</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-0.5%</w:t>
            </w:r>
          </w:p>
        </w:tc>
      </w:tr>
      <w:tr w:rsidR="00252DCB" w:rsidRPr="008F55A4" w:rsidTr="00252DCB">
        <w:trPr>
          <w:trHeight w:val="270"/>
        </w:trPr>
        <w:tc>
          <w:tcPr>
            <w:tcW w:w="1998" w:type="dxa"/>
            <w:shd w:val="clear" w:color="auto" w:fill="auto"/>
            <w:noWrap/>
            <w:vAlign w:val="center"/>
            <w:hideMark/>
          </w:tcPr>
          <w:p w:rsidR="00252DCB" w:rsidRPr="00252DCB" w:rsidRDefault="00252DCB" w:rsidP="00542422">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1201"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79.8%</w:t>
            </w:r>
          </w:p>
        </w:tc>
        <w:tc>
          <w:tcPr>
            <w:tcW w:w="939"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79.4%</w:t>
            </w:r>
          </w:p>
        </w:tc>
        <w:tc>
          <w:tcPr>
            <w:tcW w:w="1262"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 </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82.1%</w:t>
            </w:r>
          </w:p>
        </w:tc>
        <w:tc>
          <w:tcPr>
            <w:tcW w:w="1275"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78.6%</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 </w:t>
            </w:r>
          </w:p>
        </w:tc>
      </w:tr>
    </w:tbl>
    <w:p w:rsidR="00C80E70" w:rsidRDefault="001A2D74" w:rsidP="00C80E70">
      <w:pPr>
        <w:keepNext/>
        <w:spacing w:line="276" w:lineRule="auto"/>
        <w:jc w:val="both"/>
        <w:rPr>
          <w:rFonts w:ascii="Arial" w:hAnsi="Arial" w:cs="Arial"/>
          <w:b/>
          <w:color w:val="0D2255"/>
          <w:sz w:val="20"/>
        </w:rPr>
      </w:pPr>
      <w:r w:rsidRPr="001A2D74">
        <w:rPr>
          <w:rFonts w:ascii="Arial" w:hAnsi="Arial" w:cs="Arial"/>
          <w:b/>
          <w:noProof/>
          <w:color w:val="0D2255"/>
          <w:sz w:val="20"/>
          <w:lang w:val="en-US" w:eastAsia="zh-TW"/>
        </w:rPr>
        <w:pict>
          <v:shapetype id="_x0000_t202" coordsize="21600,21600" o:spt="202" path="m,l,21600r21600,l21600,xe">
            <v:stroke joinstyle="miter"/>
            <v:path gradientshapeok="t" o:connecttype="rect"/>
          </v:shapetype>
          <v:shape id="_x0000_s1034" type="#_x0000_t202" style="position:absolute;left:0;text-align:left;margin-left:-3pt;margin-top:29.45pt;width:213.6pt;height:214.75pt;z-index:251676672;mso-position-horizontal-relative:text;mso-position-vertical-relative:text;mso-width-relative:margin;mso-height-relative:margin" stroked="f">
            <v:textbox>
              <w:txbxContent>
                <w:p w:rsidR="004B5CAF" w:rsidRPr="00D561FB" w:rsidRDefault="004B5CAF" w:rsidP="00D561FB">
                  <w:r w:rsidRPr="00D561FB">
                    <w:rPr>
                      <w:noProof/>
                    </w:rPr>
                    <w:drawing>
                      <wp:inline distT="0" distB="0" distL="0" distR="0">
                        <wp:extent cx="2647784" cy="2600077"/>
                        <wp:effectExtent l="0" t="0" r="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sidR="00D92B21">
        <w:rPr>
          <w:rFonts w:ascii="Arial" w:hAnsi="Arial" w:cs="Arial"/>
          <w:b/>
          <w:color w:val="0D2255"/>
          <w:sz w:val="20"/>
        </w:rPr>
        <w:br/>
      </w:r>
      <w:r w:rsidR="00C80E70" w:rsidRPr="00D62A9D">
        <w:rPr>
          <w:rFonts w:ascii="Arial" w:hAnsi="Arial" w:cs="Arial"/>
          <w:b/>
          <w:color w:val="0D2255"/>
          <w:sz w:val="20"/>
        </w:rPr>
        <w:t>Car output rolling year total</w:t>
      </w:r>
      <w:r w:rsidR="001A1CFD">
        <w:rPr>
          <w:rFonts w:ascii="Arial" w:hAnsi="Arial" w:cs="Arial"/>
          <w:b/>
          <w:color w:val="0D2255"/>
          <w:sz w:val="20"/>
        </w:rPr>
        <w:tab/>
      </w:r>
      <w:r w:rsidR="001A1CFD">
        <w:rPr>
          <w:rFonts w:ascii="Arial" w:hAnsi="Arial" w:cs="Arial"/>
          <w:b/>
          <w:color w:val="0D2255"/>
          <w:sz w:val="20"/>
        </w:rPr>
        <w:tab/>
        <w:t xml:space="preserve">  </w:t>
      </w:r>
      <w:r w:rsidR="00C80E70">
        <w:rPr>
          <w:rFonts w:ascii="Arial" w:hAnsi="Arial" w:cs="Arial"/>
          <w:b/>
          <w:color w:val="0D2255"/>
          <w:sz w:val="20"/>
        </w:rPr>
        <w:t xml:space="preserve"> </w:t>
      </w:r>
      <w:r w:rsidR="00EC65AF">
        <w:rPr>
          <w:rFonts w:ascii="Arial" w:hAnsi="Arial" w:cs="Arial"/>
          <w:b/>
          <w:color w:val="0D2255"/>
          <w:sz w:val="20"/>
        </w:rPr>
        <w:tab/>
      </w:r>
      <w:r w:rsidR="001A1CFD">
        <w:rPr>
          <w:rFonts w:ascii="Arial" w:hAnsi="Arial" w:cs="Arial"/>
          <w:b/>
          <w:color w:val="0D2255"/>
          <w:sz w:val="20"/>
        </w:rPr>
        <w:tab/>
      </w:r>
      <w:r w:rsidR="00C80E70">
        <w:rPr>
          <w:rFonts w:ascii="Arial" w:hAnsi="Arial" w:cs="Arial"/>
          <w:b/>
          <w:color w:val="0D2255"/>
          <w:sz w:val="20"/>
        </w:rPr>
        <w:t xml:space="preserve">Car </w:t>
      </w:r>
      <w:r w:rsidR="00EC65AF">
        <w:rPr>
          <w:rFonts w:ascii="Arial" w:hAnsi="Arial" w:cs="Arial"/>
          <w:b/>
          <w:color w:val="0D2255"/>
          <w:sz w:val="20"/>
        </w:rPr>
        <w:t>output year-to-date, 2011-2013</w:t>
      </w:r>
    </w:p>
    <w:p w:rsidR="00D561FB" w:rsidRDefault="001A2D74" w:rsidP="00D92B21">
      <w:pPr>
        <w:tabs>
          <w:tab w:val="right" w:pos="9332"/>
        </w:tabs>
        <w:spacing w:line="360" w:lineRule="auto"/>
        <w:rPr>
          <w:rFonts w:ascii="Arial" w:hAnsi="Arial" w:cs="Arial"/>
          <w:sz w:val="16"/>
          <w:szCs w:val="16"/>
        </w:rPr>
      </w:pPr>
      <w:r>
        <w:rPr>
          <w:rFonts w:ascii="Arial" w:hAnsi="Arial" w:cs="Arial"/>
          <w:noProof/>
          <w:sz w:val="16"/>
          <w:szCs w:val="16"/>
        </w:rPr>
        <w:pict>
          <v:shape id="_x0000_s1035" type="#_x0000_t202" style="position:absolute;margin-left:218pt;margin-top:3pt;width:213.6pt;height:214.75pt;z-index:251677696;mso-width-relative:margin;mso-height-relative:margin" stroked="f">
            <v:textbox>
              <w:txbxContent>
                <w:p w:rsidR="004B5CAF" w:rsidRPr="00D561FB" w:rsidRDefault="004B5CAF" w:rsidP="00D561FB">
                  <w:r w:rsidRPr="00D561FB">
                    <w:rPr>
                      <w:noProof/>
                    </w:rPr>
                    <w:drawing>
                      <wp:inline distT="0" distB="0" distL="0" distR="0">
                        <wp:extent cx="2549222" cy="2600076"/>
                        <wp:effectExtent l="0" t="0" r="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C80E70" w:rsidRDefault="00D92B21" w:rsidP="00D92B21">
      <w:pPr>
        <w:tabs>
          <w:tab w:val="right" w:pos="9332"/>
        </w:tabs>
        <w:spacing w:line="360" w:lineRule="auto"/>
        <w:rPr>
          <w:rFonts w:ascii="Arial" w:hAnsi="Arial" w:cs="Arial"/>
          <w:sz w:val="16"/>
          <w:szCs w:val="16"/>
        </w:rPr>
      </w:pPr>
      <w:r>
        <w:rPr>
          <w:rFonts w:ascii="Arial" w:hAnsi="Arial" w:cs="Arial"/>
          <w:sz w:val="16"/>
          <w:szCs w:val="16"/>
        </w:rPr>
        <w:tab/>
      </w: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p w:rsidR="00C80E70" w:rsidRDefault="00C80E70" w:rsidP="00C80E70">
      <w:pPr>
        <w:pStyle w:val="Heading1"/>
        <w:ind w:right="142"/>
        <w:rPr>
          <w:rFonts w:ascii="Arial" w:eastAsiaTheme="minorEastAsia" w:hAnsi="Arial" w:cs="Arial"/>
          <w:bCs/>
          <w:color w:val="1074CB"/>
          <w:sz w:val="38"/>
          <w:szCs w:val="38"/>
        </w:rPr>
      </w:pPr>
      <w:r w:rsidRPr="00C80E70">
        <w:rPr>
          <w:rFonts w:ascii="Arial" w:eastAsiaTheme="minorEastAsia" w:hAnsi="Arial" w:cs="Arial"/>
          <w:bCs/>
          <w:color w:val="1074CB"/>
          <w:sz w:val="38"/>
          <w:szCs w:val="38"/>
        </w:rPr>
        <w:lastRenderedPageBreak/>
        <w:t xml:space="preserve">UK </w:t>
      </w:r>
      <w:r w:rsidR="0091592E">
        <w:rPr>
          <w:rFonts w:ascii="Arial" w:eastAsiaTheme="minorEastAsia" w:hAnsi="Arial" w:cs="Arial"/>
          <w:bCs/>
          <w:color w:val="1074CB"/>
          <w:sz w:val="38"/>
          <w:szCs w:val="38"/>
        </w:rPr>
        <w:t>CV</w:t>
      </w:r>
      <w:r w:rsidRPr="00C80E70">
        <w:rPr>
          <w:rFonts w:ascii="Arial" w:eastAsiaTheme="minorEastAsia" w:hAnsi="Arial" w:cs="Arial"/>
          <w:bCs/>
          <w:color w:val="1074CB"/>
          <w:sz w:val="38"/>
          <w:szCs w:val="38"/>
        </w:rPr>
        <w:t xml:space="preserve"> MANUFACTURING</w:t>
      </w:r>
    </w:p>
    <w:p w:rsidR="00E422EE" w:rsidRPr="00E422EE" w:rsidRDefault="00E422EE" w:rsidP="00E422EE">
      <w:pPr>
        <w:pStyle w:val="Heading1"/>
        <w:ind w:right="142"/>
        <w:rPr>
          <w:rFonts w:ascii="Arial" w:eastAsiaTheme="minorEastAsia" w:hAnsi="Arial" w:cs="Arial"/>
          <w:b w:val="0"/>
          <w:bCs/>
          <w:color w:val="1074CB"/>
          <w:sz w:val="44"/>
          <w:szCs w:val="44"/>
        </w:rPr>
      </w:pPr>
      <w:r w:rsidRPr="00E422EE">
        <w:rPr>
          <w:rFonts w:ascii="Arial" w:eastAsiaTheme="minorEastAsia" w:hAnsi="Arial" w:cs="Arial"/>
          <w:b w:val="0"/>
          <w:bCs/>
          <w:color w:val="1074CB"/>
          <w:sz w:val="44"/>
          <w:szCs w:val="44"/>
        </w:rPr>
        <w:t xml:space="preserve">24 October 2013 </w:t>
      </w:r>
      <w:r w:rsidRPr="0091592E">
        <w:rPr>
          <w:rFonts w:ascii="Arial" w:eastAsiaTheme="minorEastAsia" w:hAnsi="Arial" w:cs="Arial"/>
          <w:b w:val="0"/>
          <w:bCs/>
          <w:color w:val="1074CB"/>
          <w:sz w:val="28"/>
          <w:szCs w:val="28"/>
        </w:rPr>
        <w:t>(data for September 2013)</w:t>
      </w:r>
    </w:p>
    <w:p w:rsidR="00C80E70" w:rsidRPr="007B7D91" w:rsidRDefault="001A2D74" w:rsidP="00C80E70">
      <w:r w:rsidRPr="001A2D74">
        <w:rPr>
          <w:rFonts w:ascii="Arial" w:eastAsiaTheme="minorEastAsia" w:hAnsi="Arial" w:cs="Arial"/>
          <w:b/>
          <w:bCs/>
          <w:noProof/>
          <w:color w:val="1074CB"/>
          <w:sz w:val="20"/>
        </w:rPr>
        <w:pict>
          <v:line id="Line 2" o:spid="_x0000_s1028" style="position:absolute;z-index:251666432;visibility:visible" from=".55pt,3.7pt" to="464.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" strokecolor="#1074cb"/>
        </w:pict>
      </w:r>
    </w:p>
    <w:p w:rsidR="00C80E70" w:rsidRDefault="00AA36FF"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September </w:t>
      </w:r>
      <w:r w:rsidR="008E2346">
        <w:rPr>
          <w:rFonts w:ascii="Arial" w:eastAsiaTheme="minorEastAsia" w:hAnsi="Arial" w:cs="Arial"/>
          <w:bCs/>
          <w:color w:val="1074CB"/>
          <w:sz w:val="36"/>
          <w:szCs w:val="36"/>
        </w:rPr>
        <w:t xml:space="preserve">continues </w:t>
      </w:r>
      <w:r>
        <w:rPr>
          <w:rFonts w:ascii="Arial" w:eastAsiaTheme="minorEastAsia" w:hAnsi="Arial" w:cs="Arial"/>
          <w:bCs/>
          <w:color w:val="1074CB"/>
          <w:sz w:val="36"/>
          <w:szCs w:val="36"/>
        </w:rPr>
        <w:t>CV manufacturing decline</w:t>
      </w:r>
    </w:p>
    <w:p w:rsidR="00C80E70" w:rsidRPr="00C80E70" w:rsidRDefault="00C80E70" w:rsidP="00C80E70">
      <w:pPr>
        <w:rPr>
          <w:sz w:val="10"/>
          <w:szCs w:val="10"/>
        </w:rPr>
      </w:pPr>
    </w:p>
    <w:p w:rsidR="00A67F90" w:rsidRDefault="00AA4CF4" w:rsidP="00A67F90">
      <w:pPr>
        <w:numPr>
          <w:ilvl w:val="0"/>
          <w:numId w:val="3"/>
        </w:numPr>
        <w:spacing w:line="276" w:lineRule="auto"/>
        <w:rPr>
          <w:rFonts w:ascii="Arial" w:hAnsi="Arial" w:cs="Arial"/>
          <w:sz w:val="20"/>
        </w:rPr>
      </w:pPr>
      <w:r>
        <w:rPr>
          <w:rFonts w:ascii="Arial" w:hAnsi="Arial" w:cs="Arial"/>
          <w:sz w:val="20"/>
        </w:rPr>
        <w:t xml:space="preserve">CV output </w:t>
      </w:r>
      <w:r w:rsidR="008E2346">
        <w:rPr>
          <w:rFonts w:ascii="Arial" w:hAnsi="Arial" w:cs="Arial"/>
          <w:sz w:val="20"/>
        </w:rPr>
        <w:t xml:space="preserve">continues </w:t>
      </w:r>
      <w:r>
        <w:rPr>
          <w:rFonts w:ascii="Arial" w:hAnsi="Arial" w:cs="Arial"/>
          <w:sz w:val="20"/>
        </w:rPr>
        <w:t>down</w:t>
      </w:r>
      <w:r w:rsidR="008E2346">
        <w:rPr>
          <w:rFonts w:ascii="Arial" w:hAnsi="Arial" w:cs="Arial"/>
          <w:sz w:val="20"/>
        </w:rPr>
        <w:t>ward trend, dropping</w:t>
      </w:r>
      <w:r>
        <w:rPr>
          <w:rFonts w:ascii="Arial" w:hAnsi="Arial" w:cs="Arial"/>
          <w:sz w:val="20"/>
        </w:rPr>
        <w:t xml:space="preserve"> 27.5% in September to 6,963 units.</w:t>
      </w:r>
    </w:p>
    <w:p w:rsidR="004B5CAF" w:rsidRDefault="00D6138F" w:rsidP="00A67F90">
      <w:pPr>
        <w:numPr>
          <w:ilvl w:val="0"/>
          <w:numId w:val="3"/>
        </w:numPr>
        <w:spacing w:line="276" w:lineRule="auto"/>
        <w:rPr>
          <w:rFonts w:ascii="Arial" w:hAnsi="Arial" w:cs="Arial"/>
          <w:sz w:val="20"/>
        </w:rPr>
      </w:pPr>
      <w:r>
        <w:rPr>
          <w:rFonts w:ascii="Arial" w:hAnsi="Arial" w:cs="Arial"/>
          <w:sz w:val="20"/>
        </w:rPr>
        <w:t>67,609 CVs produced in year-to-date, down 17.9% from 2012.</w:t>
      </w:r>
    </w:p>
    <w:p w:rsidR="00AA4CF4" w:rsidRDefault="00AA4CF4" w:rsidP="00A67F90">
      <w:pPr>
        <w:numPr>
          <w:ilvl w:val="0"/>
          <w:numId w:val="3"/>
        </w:numPr>
        <w:spacing w:line="276" w:lineRule="auto"/>
        <w:rPr>
          <w:rFonts w:ascii="Arial" w:hAnsi="Arial" w:cs="Arial"/>
          <w:sz w:val="20"/>
        </w:rPr>
      </w:pPr>
      <w:r>
        <w:rPr>
          <w:rFonts w:ascii="Arial" w:hAnsi="Arial" w:cs="Arial"/>
          <w:sz w:val="20"/>
        </w:rPr>
        <w:t xml:space="preserve">Weak Eurozone demand and </w:t>
      </w:r>
      <w:r w:rsidR="004F25D9">
        <w:rPr>
          <w:rFonts w:ascii="Arial" w:hAnsi="Arial" w:cs="Arial"/>
          <w:sz w:val="20"/>
        </w:rPr>
        <w:t xml:space="preserve">earlier </w:t>
      </w:r>
      <w:r>
        <w:rPr>
          <w:rFonts w:ascii="Arial" w:hAnsi="Arial" w:cs="Arial"/>
          <w:sz w:val="20"/>
        </w:rPr>
        <w:t xml:space="preserve">domestic </w:t>
      </w:r>
      <w:r w:rsidR="004F25D9">
        <w:rPr>
          <w:rFonts w:ascii="Arial" w:hAnsi="Arial" w:cs="Arial"/>
          <w:sz w:val="20"/>
        </w:rPr>
        <w:t xml:space="preserve">restructuring </w:t>
      </w:r>
      <w:r w:rsidR="00AA36FF">
        <w:rPr>
          <w:rFonts w:ascii="Arial" w:hAnsi="Arial" w:cs="Arial"/>
          <w:sz w:val="20"/>
        </w:rPr>
        <w:t xml:space="preserve">contributes to </w:t>
      </w:r>
      <w:r w:rsidR="00D6138F">
        <w:rPr>
          <w:rFonts w:ascii="Arial" w:hAnsi="Arial" w:cs="Arial"/>
          <w:sz w:val="20"/>
        </w:rPr>
        <w:t>decline</w:t>
      </w:r>
      <w:r w:rsidR="00AA36FF">
        <w:rPr>
          <w:rFonts w:ascii="Arial" w:hAnsi="Arial" w:cs="Arial"/>
          <w:sz w:val="20"/>
        </w:rPr>
        <w:t>.</w:t>
      </w:r>
      <w:bookmarkStart w:id="0" w:name="_GoBack"/>
      <w:bookmarkEnd w:id="0"/>
    </w:p>
    <w:p w:rsidR="00AA4CF4" w:rsidRDefault="00AA4CF4" w:rsidP="00C80E70">
      <w:pPr>
        <w:spacing w:line="276" w:lineRule="auto"/>
        <w:rPr>
          <w:rFonts w:ascii="Arial" w:hAnsi="Arial" w:cs="Arial"/>
          <w:sz w:val="20"/>
        </w:rPr>
      </w:pPr>
    </w:p>
    <w:p w:rsidR="00D6336B" w:rsidRDefault="00AA4CF4" w:rsidP="00C80E70">
      <w:pPr>
        <w:spacing w:line="276" w:lineRule="auto"/>
        <w:rPr>
          <w:rFonts w:ascii="Arial" w:hAnsi="Arial" w:cs="Arial"/>
          <w:sz w:val="20"/>
        </w:rPr>
      </w:pPr>
      <w:r>
        <w:rPr>
          <w:rFonts w:ascii="Arial" w:hAnsi="Arial" w:cs="Arial"/>
          <w:sz w:val="20"/>
        </w:rPr>
        <w:t xml:space="preserve">“CV production remained subdued in September, </w:t>
      </w:r>
      <w:r w:rsidR="00755293">
        <w:rPr>
          <w:rFonts w:ascii="Arial" w:hAnsi="Arial" w:cs="Arial"/>
          <w:sz w:val="20"/>
        </w:rPr>
        <w:t>w</w:t>
      </w:r>
      <w:r w:rsidR="00AA36FF">
        <w:rPr>
          <w:rFonts w:ascii="Arial" w:hAnsi="Arial" w:cs="Arial"/>
          <w:sz w:val="20"/>
        </w:rPr>
        <w:t xml:space="preserve">ith continuing uncertainty in the EU and </w:t>
      </w:r>
      <w:r w:rsidR="004F25D9">
        <w:rPr>
          <w:rFonts w:ascii="Arial" w:hAnsi="Arial" w:cs="Arial"/>
          <w:sz w:val="20"/>
        </w:rPr>
        <w:t xml:space="preserve">restructuring </w:t>
      </w:r>
      <w:r w:rsidR="00AA36FF">
        <w:rPr>
          <w:rFonts w:ascii="Arial" w:hAnsi="Arial" w:cs="Arial"/>
          <w:sz w:val="20"/>
        </w:rPr>
        <w:t>of UK operations</w:t>
      </w:r>
      <w:r w:rsidR="00146551">
        <w:rPr>
          <w:rFonts w:ascii="Arial" w:hAnsi="Arial" w:cs="Arial"/>
          <w:sz w:val="20"/>
        </w:rPr>
        <w:t>,” said Mike Hawe</w:t>
      </w:r>
      <w:r w:rsidR="00D6138F">
        <w:rPr>
          <w:rFonts w:ascii="Arial" w:hAnsi="Arial" w:cs="Arial"/>
          <w:sz w:val="20"/>
        </w:rPr>
        <w:t>s, SMMT Chief Executive. “</w:t>
      </w:r>
      <w:r w:rsidR="009C11B6">
        <w:rPr>
          <w:rFonts w:ascii="Arial" w:hAnsi="Arial" w:cs="Arial"/>
          <w:sz w:val="20"/>
        </w:rPr>
        <w:t>W</w:t>
      </w:r>
      <w:r w:rsidR="00D6138F">
        <w:rPr>
          <w:rFonts w:ascii="Arial" w:hAnsi="Arial" w:cs="Arial"/>
          <w:sz w:val="20"/>
        </w:rPr>
        <w:t>hile the overall market is striving against tough conditions</w:t>
      </w:r>
      <w:r w:rsidR="00146551">
        <w:rPr>
          <w:rFonts w:ascii="Arial" w:hAnsi="Arial" w:cs="Arial"/>
          <w:sz w:val="20"/>
        </w:rPr>
        <w:t xml:space="preserve">, </w:t>
      </w:r>
      <w:r w:rsidR="004B5CAF">
        <w:rPr>
          <w:rFonts w:ascii="Arial" w:hAnsi="Arial" w:cs="Arial"/>
          <w:sz w:val="20"/>
        </w:rPr>
        <w:t>there remains c</w:t>
      </w:r>
      <w:r w:rsidR="00D6138F">
        <w:rPr>
          <w:rFonts w:ascii="Arial" w:hAnsi="Arial" w:cs="Arial"/>
          <w:sz w:val="20"/>
        </w:rPr>
        <w:t xml:space="preserve">ause for optimism in some areas, with the </w:t>
      </w:r>
      <w:r w:rsidR="004B5CAF">
        <w:rPr>
          <w:rFonts w:ascii="Arial" w:hAnsi="Arial" w:cs="Arial"/>
          <w:sz w:val="20"/>
        </w:rPr>
        <w:t xml:space="preserve">truck sector </w:t>
      </w:r>
      <w:r w:rsidR="004F25D9">
        <w:rPr>
          <w:rFonts w:ascii="Arial" w:hAnsi="Arial" w:cs="Arial"/>
          <w:sz w:val="20"/>
        </w:rPr>
        <w:t>out-</w:t>
      </w:r>
      <w:r w:rsidR="004B5CAF">
        <w:rPr>
          <w:rFonts w:ascii="Arial" w:hAnsi="Arial" w:cs="Arial"/>
          <w:sz w:val="20"/>
        </w:rPr>
        <w:t xml:space="preserve">performing </w:t>
      </w:r>
      <w:r w:rsidR="004F25D9">
        <w:rPr>
          <w:rFonts w:ascii="Arial" w:hAnsi="Arial" w:cs="Arial"/>
          <w:sz w:val="20"/>
        </w:rPr>
        <w:t>the market</w:t>
      </w:r>
      <w:r w:rsidR="004B5CAF">
        <w:rPr>
          <w:rFonts w:ascii="Arial" w:hAnsi="Arial" w:cs="Arial"/>
          <w:sz w:val="20"/>
        </w:rPr>
        <w:t xml:space="preserve"> in September.</w:t>
      </w:r>
      <w:r w:rsidR="009C11B6">
        <w:rPr>
          <w:rFonts w:ascii="Arial" w:hAnsi="Arial" w:cs="Arial"/>
          <w:sz w:val="20"/>
        </w:rPr>
        <w:t>"</w:t>
      </w:r>
    </w:p>
    <w:p w:rsidR="00755293" w:rsidRDefault="00755293" w:rsidP="00C80E70">
      <w:pPr>
        <w:spacing w:line="276" w:lineRule="auto"/>
        <w:rPr>
          <w:rFonts w:ascii="Arial" w:hAnsi="Arial" w:cs="Arial"/>
          <w:sz w:val="20"/>
        </w:rPr>
      </w:pPr>
    </w:p>
    <w:tbl>
      <w:tblPr>
        <w:tblStyle w:val="TableGrid"/>
        <w:tblW w:w="946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tblPr>
      <w:tblGrid>
        <w:gridCol w:w="2093"/>
        <w:gridCol w:w="1276"/>
        <w:gridCol w:w="1134"/>
        <w:gridCol w:w="1275"/>
        <w:gridCol w:w="1276"/>
        <w:gridCol w:w="1134"/>
        <w:gridCol w:w="1276"/>
      </w:tblGrid>
      <w:tr w:rsidR="00252DCB" w:rsidRPr="00761183" w:rsidTr="00252DCB">
        <w:trPr>
          <w:trHeight w:val="270"/>
        </w:trPr>
        <w:tc>
          <w:tcPr>
            <w:tcW w:w="2093" w:type="dxa"/>
            <w:noWrap/>
            <w:vAlign w:val="center"/>
            <w:hideMark/>
          </w:tcPr>
          <w:p w:rsidR="00252DCB" w:rsidRPr="00252DCB" w:rsidRDefault="00252DCB" w:rsidP="00505C8C">
            <w:pPr>
              <w:spacing w:line="276" w:lineRule="auto"/>
              <w:rPr>
                <w:rFonts w:ascii="Arial" w:hAnsi="Arial" w:cs="Arial"/>
                <w:b/>
                <w:color w:val="002060"/>
                <w:sz w:val="20"/>
              </w:rPr>
            </w:pPr>
            <w:r w:rsidRPr="00252DCB">
              <w:rPr>
                <w:rFonts w:ascii="Arial" w:hAnsi="Arial" w:cs="Arial"/>
                <w:b/>
                <w:color w:val="002060"/>
                <w:sz w:val="20"/>
              </w:rPr>
              <w:t>CV manufacturing</w:t>
            </w:r>
          </w:p>
        </w:tc>
        <w:tc>
          <w:tcPr>
            <w:tcW w:w="1276"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Sep-12</w:t>
            </w:r>
          </w:p>
        </w:tc>
        <w:tc>
          <w:tcPr>
            <w:tcW w:w="1134"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Sep-13</w:t>
            </w:r>
          </w:p>
        </w:tc>
        <w:tc>
          <w:tcPr>
            <w:tcW w:w="1275"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xml:space="preserve">% Change </w:t>
            </w:r>
          </w:p>
        </w:tc>
        <w:tc>
          <w:tcPr>
            <w:tcW w:w="1276"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YTD-12</w:t>
            </w:r>
          </w:p>
        </w:tc>
        <w:tc>
          <w:tcPr>
            <w:tcW w:w="1134"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YTD-13</w:t>
            </w:r>
          </w:p>
        </w:tc>
        <w:tc>
          <w:tcPr>
            <w:tcW w:w="1276"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Change</w:t>
            </w:r>
          </w:p>
        </w:tc>
      </w:tr>
      <w:tr w:rsidR="00252DCB" w:rsidRPr="00761183" w:rsidTr="00252DCB">
        <w:trPr>
          <w:trHeight w:val="270"/>
        </w:trPr>
        <w:tc>
          <w:tcPr>
            <w:tcW w:w="2093" w:type="dxa"/>
            <w:noWrap/>
            <w:vAlign w:val="center"/>
            <w:hideMark/>
          </w:tcPr>
          <w:p w:rsidR="00252DCB" w:rsidRPr="00252DCB" w:rsidRDefault="00252DCB" w:rsidP="00505C8C">
            <w:pPr>
              <w:spacing w:line="276" w:lineRule="auto"/>
              <w:jc w:val="right"/>
              <w:rPr>
                <w:rFonts w:ascii="Arial" w:hAnsi="Arial" w:cs="Arial"/>
                <w:b/>
                <w:color w:val="002060"/>
                <w:sz w:val="20"/>
              </w:rPr>
            </w:pPr>
            <w:r w:rsidRPr="00252DCB">
              <w:rPr>
                <w:rFonts w:ascii="Arial" w:hAnsi="Arial" w:cs="Arial"/>
                <w:b/>
                <w:color w:val="002060"/>
                <w:sz w:val="20"/>
              </w:rPr>
              <w:t>Total</w:t>
            </w:r>
          </w:p>
        </w:tc>
        <w:tc>
          <w:tcPr>
            <w:tcW w:w="1276"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9,607</w:t>
            </w:r>
          </w:p>
        </w:tc>
        <w:tc>
          <w:tcPr>
            <w:tcW w:w="1134"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6,963</w:t>
            </w:r>
          </w:p>
        </w:tc>
        <w:tc>
          <w:tcPr>
            <w:tcW w:w="1275" w:type="dxa"/>
            <w:noWrap/>
            <w:vAlign w:val="bottom"/>
            <w:hideMark/>
          </w:tcPr>
          <w:p w:rsidR="00252DCB" w:rsidRPr="00252DCB" w:rsidRDefault="00252DCB" w:rsidP="00252DCB">
            <w:pPr>
              <w:jc w:val="right"/>
              <w:rPr>
                <w:rFonts w:ascii="Arial" w:hAnsi="Arial" w:cs="Arial"/>
                <w:b/>
                <w:color w:val="002060"/>
                <w:sz w:val="20"/>
                <w:szCs w:val="18"/>
              </w:rPr>
            </w:pPr>
            <w:r w:rsidRPr="00252DCB">
              <w:rPr>
                <w:rFonts w:ascii="Arial" w:hAnsi="Arial" w:cs="Arial"/>
                <w:b/>
                <w:color w:val="002060"/>
                <w:sz w:val="20"/>
                <w:szCs w:val="18"/>
              </w:rPr>
              <w:t>-27.5%</w:t>
            </w:r>
          </w:p>
        </w:tc>
        <w:tc>
          <w:tcPr>
            <w:tcW w:w="1276"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82,315</w:t>
            </w:r>
          </w:p>
        </w:tc>
        <w:tc>
          <w:tcPr>
            <w:tcW w:w="1134" w:type="dxa"/>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67,609</w:t>
            </w:r>
          </w:p>
        </w:tc>
        <w:tc>
          <w:tcPr>
            <w:tcW w:w="1276" w:type="dxa"/>
            <w:noWrap/>
            <w:vAlign w:val="bottom"/>
            <w:hideMark/>
          </w:tcPr>
          <w:p w:rsidR="00252DCB" w:rsidRPr="00252DCB" w:rsidRDefault="00252DCB" w:rsidP="00252DCB">
            <w:pPr>
              <w:jc w:val="right"/>
              <w:rPr>
                <w:rFonts w:ascii="Arial" w:hAnsi="Arial" w:cs="Arial"/>
                <w:b/>
                <w:color w:val="002060"/>
                <w:sz w:val="20"/>
                <w:szCs w:val="18"/>
              </w:rPr>
            </w:pPr>
            <w:r w:rsidRPr="00252DCB">
              <w:rPr>
                <w:rFonts w:ascii="Arial" w:hAnsi="Arial" w:cs="Arial"/>
                <w:b/>
                <w:color w:val="002060"/>
                <w:sz w:val="20"/>
                <w:szCs w:val="18"/>
              </w:rPr>
              <w:t>-17.9%</w:t>
            </w:r>
          </w:p>
        </w:tc>
      </w:tr>
      <w:tr w:rsidR="00252DCB" w:rsidRPr="00761183" w:rsidTr="00252DCB">
        <w:trPr>
          <w:trHeight w:val="270"/>
        </w:trPr>
        <w:tc>
          <w:tcPr>
            <w:tcW w:w="2093" w:type="dxa"/>
            <w:noWrap/>
            <w:vAlign w:val="center"/>
            <w:hideMark/>
          </w:tcPr>
          <w:p w:rsidR="00252DCB" w:rsidRPr="00252DCB" w:rsidRDefault="00252DCB" w:rsidP="00505C8C">
            <w:pPr>
              <w:spacing w:line="276" w:lineRule="auto"/>
              <w:jc w:val="right"/>
              <w:rPr>
                <w:rFonts w:ascii="Arial" w:hAnsi="Arial" w:cs="Arial"/>
                <w:color w:val="002060"/>
                <w:sz w:val="20"/>
              </w:rPr>
            </w:pPr>
            <w:r w:rsidRPr="00252DCB">
              <w:rPr>
                <w:rFonts w:ascii="Arial" w:hAnsi="Arial" w:cs="Arial"/>
                <w:color w:val="002060"/>
                <w:sz w:val="20"/>
              </w:rPr>
              <w:t>Home</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4,501</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3,783</w:t>
            </w:r>
          </w:p>
        </w:tc>
        <w:tc>
          <w:tcPr>
            <w:tcW w:w="1275" w:type="dxa"/>
            <w:noWrap/>
            <w:vAlign w:val="bottom"/>
            <w:hideMark/>
          </w:tcPr>
          <w:p w:rsidR="00252DCB" w:rsidRPr="00252DCB" w:rsidRDefault="00252DCB" w:rsidP="00252DCB">
            <w:pPr>
              <w:jc w:val="right"/>
              <w:rPr>
                <w:rFonts w:ascii="Arial" w:hAnsi="Arial" w:cs="Arial"/>
                <w:color w:val="002060"/>
                <w:sz w:val="20"/>
                <w:szCs w:val="18"/>
              </w:rPr>
            </w:pPr>
            <w:r w:rsidRPr="00252DCB">
              <w:rPr>
                <w:rFonts w:ascii="Arial" w:hAnsi="Arial" w:cs="Arial"/>
                <w:color w:val="002060"/>
                <w:sz w:val="20"/>
                <w:szCs w:val="18"/>
              </w:rPr>
              <w:t>-16.0%</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34,419</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31,322</w:t>
            </w:r>
          </w:p>
        </w:tc>
        <w:tc>
          <w:tcPr>
            <w:tcW w:w="1276" w:type="dxa"/>
            <w:noWrap/>
            <w:vAlign w:val="bottom"/>
            <w:hideMark/>
          </w:tcPr>
          <w:p w:rsidR="00252DCB" w:rsidRPr="00252DCB" w:rsidRDefault="00252DCB" w:rsidP="00252DCB">
            <w:pPr>
              <w:jc w:val="right"/>
              <w:rPr>
                <w:rFonts w:ascii="Arial" w:hAnsi="Arial" w:cs="Arial"/>
                <w:color w:val="002060"/>
                <w:sz w:val="20"/>
                <w:szCs w:val="18"/>
              </w:rPr>
            </w:pPr>
            <w:r w:rsidRPr="00252DCB">
              <w:rPr>
                <w:rFonts w:ascii="Arial" w:hAnsi="Arial" w:cs="Arial"/>
                <w:color w:val="002060"/>
                <w:sz w:val="20"/>
                <w:szCs w:val="18"/>
              </w:rPr>
              <w:t>-9.0%</w:t>
            </w:r>
          </w:p>
        </w:tc>
      </w:tr>
      <w:tr w:rsidR="00252DCB" w:rsidRPr="00761183" w:rsidTr="00252DCB">
        <w:trPr>
          <w:trHeight w:val="270"/>
        </w:trPr>
        <w:tc>
          <w:tcPr>
            <w:tcW w:w="2093" w:type="dxa"/>
            <w:noWrap/>
            <w:vAlign w:val="center"/>
            <w:hideMark/>
          </w:tcPr>
          <w:p w:rsidR="00252DCB" w:rsidRPr="00252DCB" w:rsidRDefault="00252DCB" w:rsidP="00505C8C">
            <w:pPr>
              <w:spacing w:line="276" w:lineRule="auto"/>
              <w:jc w:val="right"/>
              <w:rPr>
                <w:rFonts w:ascii="Arial" w:hAnsi="Arial" w:cs="Arial"/>
                <w:color w:val="002060"/>
                <w:sz w:val="20"/>
              </w:rPr>
            </w:pPr>
            <w:r w:rsidRPr="00252DCB">
              <w:rPr>
                <w:rFonts w:ascii="Arial" w:hAnsi="Arial" w:cs="Arial"/>
                <w:color w:val="002060"/>
                <w:sz w:val="20"/>
              </w:rPr>
              <w:t>Export</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5,106</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3,180</w:t>
            </w:r>
          </w:p>
        </w:tc>
        <w:tc>
          <w:tcPr>
            <w:tcW w:w="1275" w:type="dxa"/>
            <w:noWrap/>
            <w:vAlign w:val="bottom"/>
            <w:hideMark/>
          </w:tcPr>
          <w:p w:rsidR="00252DCB" w:rsidRPr="00252DCB" w:rsidRDefault="00252DCB" w:rsidP="00252DCB">
            <w:pPr>
              <w:jc w:val="right"/>
              <w:rPr>
                <w:rFonts w:ascii="Arial" w:hAnsi="Arial" w:cs="Arial"/>
                <w:color w:val="002060"/>
                <w:sz w:val="20"/>
                <w:szCs w:val="18"/>
              </w:rPr>
            </w:pPr>
            <w:r w:rsidRPr="00252DCB">
              <w:rPr>
                <w:rFonts w:ascii="Arial" w:hAnsi="Arial" w:cs="Arial"/>
                <w:color w:val="002060"/>
                <w:sz w:val="20"/>
                <w:szCs w:val="18"/>
              </w:rPr>
              <w:t>-37.7%</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47,896</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36,287</w:t>
            </w:r>
          </w:p>
        </w:tc>
        <w:tc>
          <w:tcPr>
            <w:tcW w:w="1276" w:type="dxa"/>
            <w:noWrap/>
            <w:vAlign w:val="bottom"/>
            <w:hideMark/>
          </w:tcPr>
          <w:p w:rsidR="00252DCB" w:rsidRPr="00252DCB" w:rsidRDefault="00252DCB" w:rsidP="00252DCB">
            <w:pPr>
              <w:jc w:val="right"/>
              <w:rPr>
                <w:rFonts w:ascii="Arial" w:hAnsi="Arial" w:cs="Arial"/>
                <w:color w:val="002060"/>
                <w:sz w:val="20"/>
                <w:szCs w:val="18"/>
              </w:rPr>
            </w:pPr>
            <w:r w:rsidRPr="00252DCB">
              <w:rPr>
                <w:rFonts w:ascii="Arial" w:hAnsi="Arial" w:cs="Arial"/>
                <w:color w:val="002060"/>
                <w:sz w:val="20"/>
                <w:szCs w:val="18"/>
              </w:rPr>
              <w:t>-24.2%</w:t>
            </w:r>
          </w:p>
        </w:tc>
      </w:tr>
      <w:tr w:rsidR="00252DCB" w:rsidRPr="00761183" w:rsidTr="00252DCB">
        <w:trPr>
          <w:trHeight w:val="270"/>
        </w:trPr>
        <w:tc>
          <w:tcPr>
            <w:tcW w:w="2093" w:type="dxa"/>
            <w:noWrap/>
            <w:vAlign w:val="center"/>
            <w:hideMark/>
          </w:tcPr>
          <w:p w:rsidR="00252DCB" w:rsidRPr="00252DCB" w:rsidRDefault="00252DCB" w:rsidP="00505C8C">
            <w:pPr>
              <w:spacing w:line="276" w:lineRule="auto"/>
              <w:jc w:val="right"/>
              <w:rPr>
                <w:rFonts w:ascii="Arial" w:hAnsi="Arial" w:cs="Arial"/>
                <w:color w:val="002060"/>
                <w:sz w:val="20"/>
              </w:rPr>
            </w:pPr>
            <w:r w:rsidRPr="00252DCB">
              <w:rPr>
                <w:rFonts w:ascii="Arial" w:hAnsi="Arial" w:cs="Arial"/>
                <w:color w:val="002060"/>
                <w:sz w:val="20"/>
              </w:rPr>
              <w:t>% export</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53.1%</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45.7%</w:t>
            </w:r>
          </w:p>
        </w:tc>
        <w:tc>
          <w:tcPr>
            <w:tcW w:w="1275"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 </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58.2%</w:t>
            </w:r>
          </w:p>
        </w:tc>
        <w:tc>
          <w:tcPr>
            <w:tcW w:w="1134"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53.7%</w:t>
            </w:r>
          </w:p>
        </w:tc>
        <w:tc>
          <w:tcPr>
            <w:tcW w:w="1276" w:type="dxa"/>
            <w:noWrap/>
            <w:vAlign w:val="bottom"/>
            <w:hideMark/>
          </w:tcPr>
          <w:p w:rsidR="00252DCB" w:rsidRPr="00252DCB" w:rsidRDefault="00252DCB" w:rsidP="00252DCB">
            <w:pPr>
              <w:jc w:val="right"/>
              <w:rPr>
                <w:rFonts w:ascii="Arial" w:hAnsi="Arial" w:cs="Arial"/>
                <w:color w:val="002060"/>
                <w:sz w:val="20"/>
              </w:rPr>
            </w:pPr>
            <w:r w:rsidRPr="00252DCB">
              <w:rPr>
                <w:rFonts w:ascii="Arial" w:hAnsi="Arial" w:cs="Arial"/>
                <w:color w:val="002060"/>
                <w:sz w:val="20"/>
              </w:rPr>
              <w:t> </w:t>
            </w:r>
          </w:p>
        </w:tc>
      </w:tr>
    </w:tbl>
    <w:p w:rsidR="0055683E" w:rsidRDefault="0055683E" w:rsidP="00C80E70">
      <w:pPr>
        <w:rPr>
          <w:rFonts w:ascii="Arial" w:hAnsi="Arial" w:cs="Arial"/>
          <w:b/>
          <w:color w:val="0D2255"/>
          <w:sz w:val="20"/>
        </w:rPr>
      </w:pPr>
    </w:p>
    <w:p w:rsidR="00C80E70" w:rsidRDefault="00C80E70" w:rsidP="00C80E70">
      <w:r>
        <w:rPr>
          <w:rFonts w:ascii="Arial" w:hAnsi="Arial" w:cs="Arial"/>
          <w:b/>
          <w:color w:val="0D2255"/>
          <w:sz w:val="20"/>
        </w:rPr>
        <w:t xml:space="preserve">CV </w:t>
      </w:r>
      <w:r w:rsidRPr="00D62A9D">
        <w:rPr>
          <w:rFonts w:ascii="Arial" w:hAnsi="Arial" w:cs="Arial"/>
          <w:b/>
          <w:color w:val="0D2255"/>
          <w:sz w:val="20"/>
        </w:rPr>
        <w:t>output rolling year total</w:t>
      </w:r>
      <w:r>
        <w:rPr>
          <w:rFonts w:ascii="Arial" w:hAnsi="Arial" w:cs="Arial"/>
          <w:b/>
          <w:color w:val="0D2255"/>
          <w:sz w:val="20"/>
        </w:rPr>
        <w:tab/>
      </w:r>
      <w:r>
        <w:rPr>
          <w:rFonts w:ascii="Arial" w:hAnsi="Arial" w:cs="Arial"/>
          <w:b/>
          <w:color w:val="0D2255"/>
          <w:sz w:val="20"/>
        </w:rPr>
        <w:tab/>
        <w:t xml:space="preserve">       </w:t>
      </w:r>
      <w:r w:rsidR="00EC65AF">
        <w:rPr>
          <w:rFonts w:ascii="Arial" w:hAnsi="Arial" w:cs="Arial"/>
          <w:b/>
          <w:color w:val="0D2255"/>
          <w:sz w:val="20"/>
        </w:rPr>
        <w:tab/>
      </w:r>
      <w:r w:rsidR="00505C8C">
        <w:rPr>
          <w:rFonts w:ascii="Arial" w:hAnsi="Arial" w:cs="Arial"/>
          <w:b/>
          <w:color w:val="0D2255"/>
          <w:sz w:val="20"/>
        </w:rPr>
        <w:t xml:space="preserve">         </w:t>
      </w:r>
      <w:r>
        <w:rPr>
          <w:rFonts w:ascii="Arial" w:hAnsi="Arial" w:cs="Arial"/>
          <w:b/>
          <w:color w:val="0D2255"/>
          <w:sz w:val="20"/>
        </w:rPr>
        <w:t xml:space="preserve">CV </w:t>
      </w:r>
      <w:r w:rsidR="00EC65AF">
        <w:rPr>
          <w:rFonts w:ascii="Arial" w:hAnsi="Arial" w:cs="Arial"/>
          <w:b/>
          <w:color w:val="0D2255"/>
          <w:sz w:val="20"/>
        </w:rPr>
        <w:t>output year-to-date, 2011-2013</w:t>
      </w:r>
    </w:p>
    <w:p w:rsidR="00C80E70" w:rsidRDefault="001A2D74" w:rsidP="00C80E70">
      <w:r w:rsidRPr="001A2D74">
        <w:rPr>
          <w:rFonts w:ascii="Arial" w:hAnsi="Arial" w:cs="Arial"/>
          <w:noProof/>
          <w:sz w:val="20"/>
        </w:rPr>
        <w:pict>
          <v:shape id="_x0000_s1038" type="#_x0000_t202" style="position:absolute;margin-left:220.1pt;margin-top:2pt;width:213.6pt;height:214.75pt;z-index:251679744;mso-width-relative:margin;mso-height-relative:margin" stroked="f">
            <v:textbox>
              <w:txbxContent>
                <w:p w:rsidR="004B5CAF" w:rsidRPr="00D561FB" w:rsidRDefault="004B5CAF" w:rsidP="00D561FB">
                  <w:r w:rsidRPr="00D561FB">
                    <w:rPr>
                      <w:noProof/>
                    </w:rPr>
                    <w:drawing>
                      <wp:inline distT="0" distB="0" distL="0" distR="0">
                        <wp:extent cx="2520563" cy="2615980"/>
                        <wp:effectExtent l="0" t="0" r="0" b="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noProof/>
        </w:rPr>
        <w:pict>
          <v:shape id="_x0000_s1037" type="#_x0000_t202" style="position:absolute;margin-left:-6.5pt;margin-top:2pt;width:213.6pt;height:214.75pt;z-index:251678720;mso-width-relative:margin;mso-height-relative:margin" stroked="f">
            <v:textbox>
              <w:txbxContent>
                <w:p w:rsidR="004B5CAF" w:rsidRPr="00D561FB" w:rsidRDefault="004B5CAF" w:rsidP="00D561FB">
                  <w:r w:rsidRPr="00D561FB">
                    <w:rPr>
                      <w:noProof/>
                    </w:rPr>
                    <w:drawing>
                      <wp:inline distT="0" distB="0" distL="0" distR="0">
                        <wp:extent cx="2520563" cy="2615980"/>
                        <wp:effectExtent l="0" t="0" r="0" b="0"/>
                        <wp:docPr id="4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505C8C" w:rsidRDefault="00505C8C" w:rsidP="00C80E70">
      <w:pPr>
        <w:pStyle w:val="Heading1"/>
        <w:ind w:left="0" w:right="142" w:firstLine="0"/>
        <w:rPr>
          <w:rFonts w:ascii="Arial" w:eastAsiaTheme="minorEastAsia" w:hAnsi="Arial" w:cs="Arial"/>
          <w:bCs/>
          <w:color w:val="1074CB"/>
          <w:sz w:val="20"/>
        </w:rPr>
      </w:pPr>
    </w:p>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Default="00D561FB" w:rsidP="00D561FB"/>
    <w:p w:rsidR="00D561FB" w:rsidRPr="00D561FB" w:rsidRDefault="00D561FB" w:rsidP="00D561FB"/>
    <w:p w:rsidR="00146551" w:rsidRDefault="00146551" w:rsidP="00C80E70">
      <w:pPr>
        <w:pStyle w:val="Heading1"/>
        <w:ind w:left="0" w:right="142" w:firstLine="0"/>
        <w:rPr>
          <w:rFonts w:ascii="Arial" w:eastAsiaTheme="minorEastAsia" w:hAnsi="Arial" w:cs="Arial"/>
          <w:bCs/>
          <w:color w:val="1074CB"/>
          <w:sz w:val="44"/>
          <w:szCs w:val="44"/>
        </w:rPr>
      </w:pPr>
    </w:p>
    <w:p w:rsidR="0091592E" w:rsidRDefault="0091592E">
      <w:pPr>
        <w:spacing w:line="276" w:lineRule="auto"/>
        <w:rPr>
          <w:rFonts w:ascii="Arial" w:eastAsiaTheme="minorEastAsia" w:hAnsi="Arial" w:cs="Arial"/>
          <w:b/>
          <w:bCs/>
          <w:color w:val="1074CB"/>
          <w:sz w:val="44"/>
          <w:szCs w:val="44"/>
        </w:rPr>
      </w:pPr>
      <w:r>
        <w:rPr>
          <w:rFonts w:ascii="Arial" w:eastAsiaTheme="minorEastAsia" w:hAnsi="Arial" w:cs="Arial"/>
          <w:bCs/>
          <w:color w:val="1074CB"/>
          <w:sz w:val="44"/>
          <w:szCs w:val="44"/>
        </w:rPr>
        <w:br w:type="page"/>
      </w:r>
    </w:p>
    <w:p w:rsidR="00C80E70" w:rsidRDefault="00C80E70" w:rsidP="00C80E70">
      <w:pPr>
        <w:pStyle w:val="Heading1"/>
        <w:ind w:left="0" w:right="142" w:firstLine="0"/>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r w:rsidR="0091592E">
        <w:rPr>
          <w:rFonts w:ascii="Arial" w:eastAsiaTheme="minorEastAsia" w:hAnsi="Arial" w:cs="Arial"/>
          <w:bCs/>
          <w:color w:val="1074CB"/>
          <w:sz w:val="44"/>
          <w:szCs w:val="44"/>
        </w:rPr>
        <w:t xml:space="preserve"> </w:t>
      </w:r>
    </w:p>
    <w:p w:rsidR="0091592E" w:rsidRPr="0091592E" w:rsidRDefault="0091592E" w:rsidP="0091592E">
      <w:r>
        <w:rPr>
          <w:rFonts w:ascii="Arial" w:eastAsiaTheme="minorEastAsia" w:hAnsi="Arial" w:cs="Arial"/>
          <w:bCs/>
          <w:color w:val="1074CB"/>
          <w:sz w:val="32"/>
          <w:szCs w:val="32"/>
        </w:rPr>
        <w:t>D</w:t>
      </w:r>
      <w:r w:rsidRPr="00D62A9D">
        <w:rPr>
          <w:rFonts w:ascii="Arial" w:eastAsiaTheme="minorEastAsia" w:hAnsi="Arial" w:cs="Arial"/>
          <w:bCs/>
          <w:color w:val="1074CB"/>
          <w:sz w:val="32"/>
          <w:szCs w:val="32"/>
        </w:rPr>
        <w:t xml:space="preserve">ata for </w:t>
      </w:r>
      <w:r>
        <w:rPr>
          <w:rFonts w:ascii="Arial" w:eastAsiaTheme="minorEastAsia" w:hAnsi="Arial" w:cs="Arial"/>
          <w:bCs/>
          <w:color w:val="1074CB"/>
          <w:sz w:val="32"/>
          <w:szCs w:val="32"/>
        </w:rPr>
        <w:t xml:space="preserve">September </w:t>
      </w:r>
      <w:r w:rsidRPr="00D62A9D">
        <w:rPr>
          <w:rFonts w:ascii="Arial" w:eastAsiaTheme="minorEastAsia" w:hAnsi="Arial" w:cs="Arial"/>
          <w:bCs/>
          <w:color w:val="1074CB"/>
          <w:sz w:val="32"/>
          <w:szCs w:val="32"/>
        </w:rPr>
        <w:t>2013</w:t>
      </w:r>
    </w:p>
    <w:p w:rsidR="00E422EE" w:rsidRPr="00E422EE" w:rsidRDefault="00E422EE" w:rsidP="00E422EE">
      <w:pPr>
        <w:pStyle w:val="Heading1"/>
        <w:ind w:right="142"/>
        <w:rPr>
          <w:rFonts w:ascii="Arial" w:eastAsiaTheme="minorEastAsia" w:hAnsi="Arial" w:cs="Arial"/>
          <w:b w:val="0"/>
          <w:bCs/>
          <w:color w:val="1074CB"/>
          <w:sz w:val="44"/>
          <w:szCs w:val="44"/>
        </w:rPr>
      </w:pPr>
      <w:r w:rsidRPr="00E422EE">
        <w:rPr>
          <w:rFonts w:ascii="Arial" w:eastAsiaTheme="minorEastAsia" w:hAnsi="Arial" w:cs="Arial"/>
          <w:b w:val="0"/>
          <w:bCs/>
          <w:color w:val="1074CB"/>
          <w:sz w:val="44"/>
          <w:szCs w:val="44"/>
        </w:rPr>
        <w:t xml:space="preserve">24 October 2013 </w:t>
      </w:r>
      <w:r w:rsidRPr="0091592E">
        <w:rPr>
          <w:rFonts w:ascii="Arial" w:eastAsiaTheme="minorEastAsia" w:hAnsi="Arial" w:cs="Arial"/>
          <w:b w:val="0"/>
          <w:bCs/>
          <w:color w:val="1074CB"/>
          <w:sz w:val="28"/>
          <w:szCs w:val="28"/>
        </w:rPr>
        <w:t>(data for September 2013)</w:t>
      </w:r>
    </w:p>
    <w:p w:rsidR="00C80E70" w:rsidRPr="007B7D91" w:rsidRDefault="001A2D74" w:rsidP="00C80E70">
      <w:r w:rsidRPr="001A2D74">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B92152"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September e</w:t>
      </w:r>
      <w:r w:rsidR="00146551">
        <w:rPr>
          <w:rFonts w:ascii="Arial" w:eastAsiaTheme="minorEastAsia" w:hAnsi="Arial" w:cs="Arial"/>
          <w:bCs/>
          <w:color w:val="1074CB"/>
          <w:sz w:val="36"/>
          <w:szCs w:val="36"/>
        </w:rPr>
        <w:t>ngine output growth fuelled by exports</w:t>
      </w:r>
    </w:p>
    <w:p w:rsidR="00C80E70" w:rsidRDefault="00C80E70" w:rsidP="00C80E70">
      <w:pPr>
        <w:spacing w:line="276" w:lineRule="auto"/>
        <w:rPr>
          <w:rFonts w:ascii="Verdana" w:hAnsi="Verdana"/>
          <w:sz w:val="20"/>
        </w:rPr>
      </w:pPr>
    </w:p>
    <w:p w:rsidR="004F25D9" w:rsidRPr="00300A48" w:rsidRDefault="004F25D9" w:rsidP="004F25D9">
      <w:pPr>
        <w:pStyle w:val="ListParagraph"/>
        <w:numPr>
          <w:ilvl w:val="0"/>
          <w:numId w:val="1"/>
        </w:numPr>
        <w:spacing w:line="360" w:lineRule="auto"/>
        <w:rPr>
          <w:rFonts w:ascii="Arial" w:hAnsi="Arial" w:cs="Arial"/>
          <w:sz w:val="20"/>
        </w:rPr>
      </w:pPr>
      <w:r>
        <w:rPr>
          <w:rFonts w:ascii="Arial" w:hAnsi="Arial" w:cs="Arial"/>
          <w:sz w:val="20"/>
        </w:rPr>
        <w:t>230,743 engines manufactured in September, up 8.3% on last year.</w:t>
      </w:r>
    </w:p>
    <w:p w:rsidR="00494E5E" w:rsidRDefault="00D6138F" w:rsidP="00924274">
      <w:pPr>
        <w:pStyle w:val="ListParagraph"/>
        <w:numPr>
          <w:ilvl w:val="0"/>
          <w:numId w:val="1"/>
        </w:numPr>
        <w:spacing w:line="360" w:lineRule="auto"/>
        <w:rPr>
          <w:rFonts w:ascii="Arial" w:hAnsi="Arial" w:cs="Arial"/>
          <w:sz w:val="20"/>
        </w:rPr>
      </w:pPr>
      <w:r>
        <w:rPr>
          <w:rFonts w:ascii="Arial" w:hAnsi="Arial" w:cs="Arial"/>
          <w:sz w:val="20"/>
        </w:rPr>
        <w:t>Y</w:t>
      </w:r>
      <w:r w:rsidR="00B92152">
        <w:rPr>
          <w:rFonts w:ascii="Arial" w:hAnsi="Arial" w:cs="Arial"/>
          <w:sz w:val="20"/>
        </w:rPr>
        <w:t xml:space="preserve">ear-to-date growth </w:t>
      </w:r>
      <w:r>
        <w:rPr>
          <w:rFonts w:ascii="Arial" w:hAnsi="Arial" w:cs="Arial"/>
          <w:sz w:val="20"/>
        </w:rPr>
        <w:t xml:space="preserve">of 1.2% </w:t>
      </w:r>
      <w:r w:rsidR="004F25D9">
        <w:rPr>
          <w:rFonts w:ascii="Arial" w:hAnsi="Arial" w:cs="Arial"/>
          <w:sz w:val="20"/>
        </w:rPr>
        <w:t xml:space="preserve">sees </w:t>
      </w:r>
      <w:r w:rsidR="00B92152">
        <w:rPr>
          <w:rFonts w:ascii="Arial" w:hAnsi="Arial" w:cs="Arial"/>
          <w:sz w:val="20"/>
        </w:rPr>
        <w:t xml:space="preserve">UK engine output </w:t>
      </w:r>
      <w:r w:rsidR="004F25D9">
        <w:rPr>
          <w:rFonts w:ascii="Arial" w:hAnsi="Arial" w:cs="Arial"/>
          <w:sz w:val="20"/>
        </w:rPr>
        <w:t>approach two</w:t>
      </w:r>
      <w:r w:rsidR="00B92152">
        <w:rPr>
          <w:rFonts w:ascii="Arial" w:hAnsi="Arial" w:cs="Arial"/>
          <w:sz w:val="20"/>
        </w:rPr>
        <w:t xml:space="preserve"> million units for 2013.</w:t>
      </w:r>
    </w:p>
    <w:p w:rsidR="00C80E70" w:rsidRPr="00924274" w:rsidRDefault="00B92152" w:rsidP="00924274">
      <w:pPr>
        <w:numPr>
          <w:ilvl w:val="0"/>
          <w:numId w:val="1"/>
        </w:numPr>
        <w:spacing w:line="360" w:lineRule="auto"/>
        <w:rPr>
          <w:rFonts w:ascii="Arial" w:hAnsi="Arial" w:cs="Arial"/>
          <w:sz w:val="20"/>
        </w:rPr>
      </w:pPr>
      <w:r>
        <w:rPr>
          <w:rFonts w:ascii="Arial" w:hAnsi="Arial" w:cs="Arial"/>
          <w:sz w:val="20"/>
        </w:rPr>
        <w:t xml:space="preserve">Production for home market up 8.2% in year-to-date, while </w:t>
      </w:r>
      <w:r w:rsidR="009C11B6">
        <w:rPr>
          <w:rFonts w:ascii="Arial" w:hAnsi="Arial" w:cs="Arial"/>
          <w:sz w:val="20"/>
        </w:rPr>
        <w:t xml:space="preserve">weaker </w:t>
      </w:r>
      <w:r>
        <w:rPr>
          <w:rFonts w:ascii="Arial" w:hAnsi="Arial" w:cs="Arial"/>
          <w:sz w:val="20"/>
        </w:rPr>
        <w:t>September offset by export boost.</w:t>
      </w:r>
    </w:p>
    <w:p w:rsidR="00C80E70" w:rsidRDefault="00C80E70" w:rsidP="00C80E70">
      <w:pPr>
        <w:ind w:left="360"/>
        <w:rPr>
          <w:rFonts w:ascii="Arial" w:hAnsi="Arial" w:cs="Arial"/>
          <w:sz w:val="20"/>
        </w:rPr>
      </w:pPr>
    </w:p>
    <w:tbl>
      <w:tblPr>
        <w:tblW w:w="9453"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565"/>
        <w:gridCol w:w="992"/>
        <w:gridCol w:w="992"/>
        <w:gridCol w:w="1276"/>
        <w:gridCol w:w="1134"/>
        <w:gridCol w:w="1140"/>
        <w:gridCol w:w="1354"/>
      </w:tblGrid>
      <w:tr w:rsidR="00252DCB" w:rsidRPr="00761183" w:rsidTr="00924274">
        <w:trPr>
          <w:trHeight w:val="270"/>
        </w:trPr>
        <w:tc>
          <w:tcPr>
            <w:tcW w:w="2565" w:type="dxa"/>
            <w:shd w:val="clear" w:color="auto" w:fill="auto"/>
            <w:noWrap/>
            <w:vAlign w:val="center"/>
            <w:hideMark/>
          </w:tcPr>
          <w:p w:rsidR="00252DCB" w:rsidRPr="00252DCB" w:rsidRDefault="00252DCB" w:rsidP="00924274">
            <w:pPr>
              <w:rPr>
                <w:rFonts w:ascii="Arial" w:eastAsia="Times New Roman" w:hAnsi="Arial" w:cs="Arial"/>
                <w:b/>
                <w:color w:val="002060"/>
                <w:sz w:val="20"/>
              </w:rPr>
            </w:pPr>
            <w:r w:rsidRPr="00252DCB">
              <w:rPr>
                <w:rFonts w:ascii="Arial" w:eastAsia="Times New Roman" w:hAnsi="Arial" w:cs="Arial"/>
                <w:b/>
                <w:color w:val="002060"/>
                <w:sz w:val="20"/>
              </w:rPr>
              <w:t>Engine manufacturing</w:t>
            </w:r>
          </w:p>
        </w:tc>
        <w:tc>
          <w:tcPr>
            <w:tcW w:w="99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Sep-12</w:t>
            </w:r>
          </w:p>
        </w:tc>
        <w:tc>
          <w:tcPr>
            <w:tcW w:w="99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Sep-13</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xml:space="preserve">% Change </w:t>
            </w:r>
          </w:p>
        </w:tc>
        <w:tc>
          <w:tcPr>
            <w:tcW w:w="1134"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YTD-12</w:t>
            </w:r>
          </w:p>
        </w:tc>
        <w:tc>
          <w:tcPr>
            <w:tcW w:w="1140"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YTD-13</w:t>
            </w:r>
          </w:p>
        </w:tc>
        <w:tc>
          <w:tcPr>
            <w:tcW w:w="1354"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 Change</w:t>
            </w:r>
          </w:p>
        </w:tc>
      </w:tr>
      <w:tr w:rsidR="00252DCB" w:rsidRPr="00761183" w:rsidTr="00714EF7">
        <w:trPr>
          <w:trHeight w:val="270"/>
        </w:trPr>
        <w:tc>
          <w:tcPr>
            <w:tcW w:w="2565" w:type="dxa"/>
            <w:shd w:val="clear" w:color="auto" w:fill="auto"/>
            <w:noWrap/>
            <w:vAlign w:val="bottom"/>
            <w:hideMark/>
          </w:tcPr>
          <w:p w:rsidR="00252DCB" w:rsidRPr="00252DCB" w:rsidRDefault="00252DCB" w:rsidP="00761183">
            <w:pPr>
              <w:jc w:val="right"/>
              <w:rPr>
                <w:rFonts w:ascii="Arial" w:eastAsia="Times New Roman" w:hAnsi="Arial" w:cs="Arial"/>
                <w:b/>
                <w:color w:val="002060"/>
                <w:sz w:val="20"/>
              </w:rPr>
            </w:pPr>
            <w:r w:rsidRPr="00252DCB">
              <w:rPr>
                <w:rFonts w:ascii="Arial" w:eastAsia="Times New Roman" w:hAnsi="Arial" w:cs="Arial"/>
                <w:b/>
                <w:color w:val="002060"/>
                <w:sz w:val="20"/>
              </w:rPr>
              <w:t>Total</w:t>
            </w:r>
          </w:p>
        </w:tc>
        <w:tc>
          <w:tcPr>
            <w:tcW w:w="99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213,052</w:t>
            </w:r>
          </w:p>
        </w:tc>
        <w:tc>
          <w:tcPr>
            <w:tcW w:w="992"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230,743</w:t>
            </w:r>
          </w:p>
        </w:tc>
        <w:tc>
          <w:tcPr>
            <w:tcW w:w="1276" w:type="dxa"/>
            <w:shd w:val="clear" w:color="auto" w:fill="auto"/>
            <w:noWrap/>
            <w:vAlign w:val="bottom"/>
            <w:hideMark/>
          </w:tcPr>
          <w:p w:rsidR="00252DCB" w:rsidRPr="00252DCB" w:rsidRDefault="00252DCB" w:rsidP="00252DCB">
            <w:pPr>
              <w:jc w:val="right"/>
              <w:rPr>
                <w:rFonts w:ascii="Arial" w:hAnsi="Arial" w:cs="Arial"/>
                <w:b/>
                <w:color w:val="002060"/>
                <w:sz w:val="20"/>
                <w:szCs w:val="18"/>
              </w:rPr>
            </w:pPr>
            <w:r w:rsidRPr="00252DCB">
              <w:rPr>
                <w:rFonts w:ascii="Arial" w:hAnsi="Arial" w:cs="Arial"/>
                <w:b/>
                <w:color w:val="002060"/>
                <w:sz w:val="20"/>
                <w:szCs w:val="18"/>
              </w:rPr>
              <w:t>8.3%</w:t>
            </w:r>
          </w:p>
        </w:tc>
        <w:tc>
          <w:tcPr>
            <w:tcW w:w="1134"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1,882,303</w:t>
            </w:r>
          </w:p>
        </w:tc>
        <w:tc>
          <w:tcPr>
            <w:tcW w:w="1140" w:type="dxa"/>
            <w:shd w:val="clear" w:color="auto" w:fill="auto"/>
            <w:noWrap/>
            <w:vAlign w:val="bottom"/>
            <w:hideMark/>
          </w:tcPr>
          <w:p w:rsidR="00252DCB" w:rsidRPr="00252DCB" w:rsidRDefault="00252DCB" w:rsidP="00252DCB">
            <w:pPr>
              <w:jc w:val="right"/>
              <w:rPr>
                <w:rFonts w:ascii="Arial" w:hAnsi="Arial" w:cs="Arial"/>
                <w:b/>
                <w:color w:val="002060"/>
                <w:sz w:val="20"/>
              </w:rPr>
            </w:pPr>
            <w:r w:rsidRPr="00252DCB">
              <w:rPr>
                <w:rFonts w:ascii="Arial" w:hAnsi="Arial" w:cs="Arial"/>
                <w:b/>
                <w:color w:val="002060"/>
                <w:sz w:val="20"/>
              </w:rPr>
              <w:t>1,904,629</w:t>
            </w:r>
          </w:p>
        </w:tc>
        <w:tc>
          <w:tcPr>
            <w:tcW w:w="1354" w:type="dxa"/>
            <w:shd w:val="clear" w:color="auto" w:fill="auto"/>
            <w:noWrap/>
            <w:vAlign w:val="bottom"/>
            <w:hideMark/>
          </w:tcPr>
          <w:p w:rsidR="00252DCB" w:rsidRPr="00252DCB" w:rsidRDefault="00252DCB" w:rsidP="00252DCB">
            <w:pPr>
              <w:jc w:val="right"/>
              <w:rPr>
                <w:rFonts w:ascii="Arial" w:hAnsi="Arial" w:cs="Arial"/>
                <w:b/>
                <w:color w:val="002060"/>
                <w:sz w:val="20"/>
                <w:szCs w:val="18"/>
              </w:rPr>
            </w:pPr>
            <w:r w:rsidRPr="00252DCB">
              <w:rPr>
                <w:rFonts w:ascii="Arial" w:hAnsi="Arial" w:cs="Arial"/>
                <w:b/>
                <w:color w:val="002060"/>
                <w:sz w:val="20"/>
                <w:szCs w:val="18"/>
              </w:rPr>
              <w:t>1.2%</w:t>
            </w:r>
          </w:p>
        </w:tc>
      </w:tr>
      <w:tr w:rsidR="00252DCB" w:rsidRPr="00761183" w:rsidTr="00714EF7">
        <w:trPr>
          <w:trHeight w:val="270"/>
        </w:trPr>
        <w:tc>
          <w:tcPr>
            <w:tcW w:w="2565" w:type="dxa"/>
            <w:shd w:val="clear" w:color="auto" w:fill="auto"/>
            <w:noWrap/>
            <w:vAlign w:val="bottom"/>
            <w:hideMark/>
          </w:tcPr>
          <w:p w:rsidR="00252DCB" w:rsidRPr="00252DCB" w:rsidRDefault="00252DCB" w:rsidP="00761183">
            <w:pPr>
              <w:jc w:val="right"/>
              <w:rPr>
                <w:rFonts w:ascii="Arial" w:eastAsia="Times New Roman" w:hAnsi="Arial" w:cs="Arial"/>
                <w:color w:val="002060"/>
                <w:sz w:val="20"/>
              </w:rPr>
            </w:pPr>
            <w:r w:rsidRPr="00252DCB">
              <w:rPr>
                <w:rFonts w:ascii="Arial" w:eastAsia="Times New Roman" w:hAnsi="Arial" w:cs="Arial"/>
                <w:color w:val="002060"/>
                <w:sz w:val="20"/>
              </w:rPr>
              <w:t>Home</w:t>
            </w:r>
          </w:p>
        </w:tc>
        <w:tc>
          <w:tcPr>
            <w:tcW w:w="992" w:type="dxa"/>
            <w:shd w:val="clear" w:color="auto" w:fill="auto"/>
            <w:noWrap/>
            <w:vAlign w:val="bottom"/>
            <w:hideMark/>
          </w:tcPr>
          <w:p w:rsidR="00252DCB" w:rsidRPr="00252DCB" w:rsidRDefault="007F5D6D">
            <w:pPr>
              <w:jc w:val="right"/>
              <w:rPr>
                <w:rFonts w:ascii="Arial" w:hAnsi="Arial" w:cs="Arial"/>
                <w:color w:val="002060"/>
                <w:sz w:val="20"/>
              </w:rPr>
            </w:pPr>
            <w:r>
              <w:rPr>
                <w:rFonts w:ascii="Arial" w:hAnsi="Arial" w:cs="Arial"/>
                <w:color w:val="002060"/>
                <w:sz w:val="20"/>
              </w:rPr>
              <w:t>85,425</w:t>
            </w:r>
          </w:p>
        </w:tc>
        <w:tc>
          <w:tcPr>
            <w:tcW w:w="992"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80,934</w:t>
            </w:r>
          </w:p>
        </w:tc>
        <w:tc>
          <w:tcPr>
            <w:tcW w:w="1276" w:type="dxa"/>
            <w:shd w:val="clear" w:color="auto" w:fill="auto"/>
            <w:noWrap/>
            <w:vAlign w:val="bottom"/>
            <w:hideMark/>
          </w:tcPr>
          <w:p w:rsidR="00252DCB" w:rsidRPr="00252DCB" w:rsidRDefault="00252DCB" w:rsidP="007F5D6D">
            <w:pPr>
              <w:jc w:val="right"/>
              <w:rPr>
                <w:rFonts w:ascii="Arial" w:hAnsi="Arial" w:cs="Arial"/>
                <w:color w:val="002060"/>
                <w:sz w:val="20"/>
                <w:szCs w:val="18"/>
              </w:rPr>
            </w:pPr>
            <w:r w:rsidRPr="00252DCB">
              <w:rPr>
                <w:rFonts w:ascii="Arial" w:hAnsi="Arial" w:cs="Arial"/>
                <w:color w:val="002060"/>
                <w:sz w:val="20"/>
                <w:szCs w:val="18"/>
              </w:rPr>
              <w:t>-</w:t>
            </w:r>
            <w:r w:rsidR="007F5D6D">
              <w:rPr>
                <w:rFonts w:ascii="Arial" w:hAnsi="Arial" w:cs="Arial"/>
                <w:color w:val="002060"/>
                <w:sz w:val="20"/>
                <w:szCs w:val="18"/>
              </w:rPr>
              <w:t>5.3</w:t>
            </w:r>
            <w:r w:rsidRPr="00252DCB">
              <w:rPr>
                <w:rFonts w:ascii="Arial" w:hAnsi="Arial" w:cs="Arial"/>
                <w:color w:val="002060"/>
                <w:sz w:val="20"/>
                <w:szCs w:val="18"/>
              </w:rPr>
              <w:t>%</w:t>
            </w:r>
          </w:p>
        </w:tc>
        <w:tc>
          <w:tcPr>
            <w:tcW w:w="1134"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701,707</w:t>
            </w:r>
          </w:p>
        </w:tc>
        <w:tc>
          <w:tcPr>
            <w:tcW w:w="1140"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758,925</w:t>
            </w:r>
          </w:p>
        </w:tc>
        <w:tc>
          <w:tcPr>
            <w:tcW w:w="1354" w:type="dxa"/>
            <w:shd w:val="clear" w:color="auto" w:fill="auto"/>
            <w:noWrap/>
            <w:vAlign w:val="bottom"/>
            <w:hideMark/>
          </w:tcPr>
          <w:p w:rsidR="00252DCB" w:rsidRPr="00252DCB" w:rsidRDefault="00252DCB">
            <w:pPr>
              <w:jc w:val="right"/>
              <w:rPr>
                <w:rFonts w:ascii="Arial" w:hAnsi="Arial" w:cs="Arial"/>
                <w:color w:val="002060"/>
                <w:sz w:val="20"/>
                <w:szCs w:val="18"/>
              </w:rPr>
            </w:pPr>
            <w:r w:rsidRPr="00252DCB">
              <w:rPr>
                <w:rFonts w:ascii="Arial" w:hAnsi="Arial" w:cs="Arial"/>
                <w:color w:val="002060"/>
                <w:sz w:val="20"/>
                <w:szCs w:val="18"/>
              </w:rPr>
              <w:t>8.2%</w:t>
            </w:r>
          </w:p>
        </w:tc>
      </w:tr>
      <w:tr w:rsidR="00252DCB" w:rsidRPr="00761183" w:rsidTr="00714EF7">
        <w:trPr>
          <w:trHeight w:val="270"/>
        </w:trPr>
        <w:tc>
          <w:tcPr>
            <w:tcW w:w="2565" w:type="dxa"/>
            <w:shd w:val="clear" w:color="auto" w:fill="auto"/>
            <w:noWrap/>
            <w:vAlign w:val="bottom"/>
            <w:hideMark/>
          </w:tcPr>
          <w:p w:rsidR="00252DCB" w:rsidRPr="00252DCB" w:rsidRDefault="00252DCB" w:rsidP="00761183">
            <w:pPr>
              <w:jc w:val="right"/>
              <w:rPr>
                <w:rFonts w:ascii="Arial" w:eastAsia="Times New Roman" w:hAnsi="Arial" w:cs="Arial"/>
                <w:color w:val="002060"/>
                <w:sz w:val="20"/>
              </w:rPr>
            </w:pPr>
            <w:r w:rsidRPr="00252DCB">
              <w:rPr>
                <w:rFonts w:ascii="Arial" w:eastAsia="Times New Roman" w:hAnsi="Arial" w:cs="Arial"/>
                <w:color w:val="002060"/>
                <w:sz w:val="20"/>
              </w:rPr>
              <w:t>Export</w:t>
            </w:r>
          </w:p>
        </w:tc>
        <w:tc>
          <w:tcPr>
            <w:tcW w:w="992" w:type="dxa"/>
            <w:shd w:val="clear" w:color="auto" w:fill="auto"/>
            <w:noWrap/>
            <w:vAlign w:val="bottom"/>
            <w:hideMark/>
          </w:tcPr>
          <w:p w:rsidR="00252DCB" w:rsidRPr="00252DCB" w:rsidRDefault="000548BB">
            <w:pPr>
              <w:jc w:val="right"/>
              <w:rPr>
                <w:rFonts w:ascii="Arial" w:hAnsi="Arial" w:cs="Arial"/>
                <w:color w:val="002060"/>
                <w:sz w:val="20"/>
              </w:rPr>
            </w:pPr>
            <w:r>
              <w:rPr>
                <w:rFonts w:ascii="Arial" w:hAnsi="Arial" w:cs="Arial"/>
                <w:color w:val="002060"/>
                <w:sz w:val="20"/>
              </w:rPr>
              <w:t>127,627</w:t>
            </w:r>
          </w:p>
        </w:tc>
        <w:tc>
          <w:tcPr>
            <w:tcW w:w="992" w:type="dxa"/>
            <w:shd w:val="clear" w:color="auto" w:fill="auto"/>
            <w:noWrap/>
            <w:vAlign w:val="bottom"/>
            <w:hideMark/>
          </w:tcPr>
          <w:p w:rsidR="00252DCB" w:rsidRPr="00252DCB" w:rsidRDefault="00252DCB" w:rsidP="000548BB">
            <w:pPr>
              <w:jc w:val="right"/>
              <w:rPr>
                <w:rFonts w:ascii="Arial" w:hAnsi="Arial" w:cs="Arial"/>
                <w:color w:val="002060"/>
                <w:sz w:val="20"/>
              </w:rPr>
            </w:pPr>
            <w:r w:rsidRPr="00252DCB">
              <w:rPr>
                <w:rFonts w:ascii="Arial" w:hAnsi="Arial" w:cs="Arial"/>
                <w:color w:val="002060"/>
                <w:sz w:val="20"/>
              </w:rPr>
              <w:t>1</w:t>
            </w:r>
            <w:r w:rsidR="000548BB">
              <w:rPr>
                <w:rFonts w:ascii="Arial" w:hAnsi="Arial" w:cs="Arial"/>
                <w:color w:val="002060"/>
                <w:sz w:val="20"/>
              </w:rPr>
              <w:t>49,809</w:t>
            </w:r>
          </w:p>
        </w:tc>
        <w:tc>
          <w:tcPr>
            <w:tcW w:w="1276" w:type="dxa"/>
            <w:shd w:val="clear" w:color="auto" w:fill="auto"/>
            <w:noWrap/>
            <w:vAlign w:val="bottom"/>
            <w:hideMark/>
          </w:tcPr>
          <w:p w:rsidR="00252DCB" w:rsidRPr="00252DCB" w:rsidRDefault="007F5D6D" w:rsidP="007F5D6D">
            <w:pPr>
              <w:jc w:val="right"/>
              <w:rPr>
                <w:rFonts w:ascii="Arial" w:hAnsi="Arial" w:cs="Arial"/>
                <w:color w:val="002060"/>
                <w:sz w:val="20"/>
                <w:szCs w:val="18"/>
              </w:rPr>
            </w:pPr>
            <w:r>
              <w:rPr>
                <w:rFonts w:ascii="Arial" w:hAnsi="Arial" w:cs="Arial"/>
                <w:color w:val="002060"/>
                <w:sz w:val="20"/>
                <w:szCs w:val="18"/>
              </w:rPr>
              <w:t>1</w:t>
            </w:r>
            <w:r w:rsidR="00252DCB" w:rsidRPr="00252DCB">
              <w:rPr>
                <w:rFonts w:ascii="Arial" w:hAnsi="Arial" w:cs="Arial"/>
                <w:color w:val="002060"/>
                <w:sz w:val="20"/>
                <w:szCs w:val="18"/>
              </w:rPr>
              <w:t>7.4%</w:t>
            </w:r>
          </w:p>
        </w:tc>
        <w:tc>
          <w:tcPr>
            <w:tcW w:w="1134"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1,180,596</w:t>
            </w:r>
          </w:p>
        </w:tc>
        <w:tc>
          <w:tcPr>
            <w:tcW w:w="1140"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1,145,704</w:t>
            </w:r>
          </w:p>
        </w:tc>
        <w:tc>
          <w:tcPr>
            <w:tcW w:w="1354" w:type="dxa"/>
            <w:shd w:val="clear" w:color="auto" w:fill="auto"/>
            <w:noWrap/>
            <w:vAlign w:val="bottom"/>
            <w:hideMark/>
          </w:tcPr>
          <w:p w:rsidR="00252DCB" w:rsidRPr="00252DCB" w:rsidRDefault="00252DCB">
            <w:pPr>
              <w:jc w:val="right"/>
              <w:rPr>
                <w:rFonts w:ascii="Arial" w:hAnsi="Arial" w:cs="Arial"/>
                <w:color w:val="002060"/>
                <w:sz w:val="20"/>
                <w:szCs w:val="18"/>
              </w:rPr>
            </w:pPr>
            <w:r w:rsidRPr="00252DCB">
              <w:rPr>
                <w:rFonts w:ascii="Arial" w:hAnsi="Arial" w:cs="Arial"/>
                <w:color w:val="002060"/>
                <w:sz w:val="20"/>
                <w:szCs w:val="18"/>
              </w:rPr>
              <w:t>-3.0%</w:t>
            </w:r>
          </w:p>
        </w:tc>
      </w:tr>
      <w:tr w:rsidR="00252DCB" w:rsidRPr="00761183" w:rsidTr="00714EF7">
        <w:trPr>
          <w:trHeight w:val="270"/>
        </w:trPr>
        <w:tc>
          <w:tcPr>
            <w:tcW w:w="2565" w:type="dxa"/>
            <w:shd w:val="clear" w:color="auto" w:fill="auto"/>
            <w:noWrap/>
            <w:vAlign w:val="bottom"/>
            <w:hideMark/>
          </w:tcPr>
          <w:p w:rsidR="00252DCB" w:rsidRPr="00252DCB" w:rsidRDefault="00252DCB" w:rsidP="00761183">
            <w:pPr>
              <w:jc w:val="right"/>
              <w:rPr>
                <w:rFonts w:ascii="Arial" w:eastAsia="Times New Roman" w:hAnsi="Arial" w:cs="Arial"/>
                <w:color w:val="002060"/>
                <w:sz w:val="20"/>
              </w:rPr>
            </w:pPr>
            <w:r w:rsidRPr="00252DCB">
              <w:rPr>
                <w:rFonts w:ascii="Arial" w:eastAsia="Times New Roman" w:hAnsi="Arial" w:cs="Arial"/>
                <w:color w:val="002060"/>
                <w:sz w:val="20"/>
              </w:rPr>
              <w:t>% export</w:t>
            </w:r>
          </w:p>
        </w:tc>
        <w:tc>
          <w:tcPr>
            <w:tcW w:w="992" w:type="dxa"/>
            <w:shd w:val="clear" w:color="auto" w:fill="auto"/>
            <w:noWrap/>
            <w:vAlign w:val="bottom"/>
            <w:hideMark/>
          </w:tcPr>
          <w:p w:rsidR="00252DCB" w:rsidRPr="00252DCB" w:rsidRDefault="007F5D6D">
            <w:pPr>
              <w:jc w:val="right"/>
              <w:rPr>
                <w:rFonts w:ascii="Arial" w:hAnsi="Arial" w:cs="Arial"/>
                <w:color w:val="002060"/>
                <w:sz w:val="20"/>
              </w:rPr>
            </w:pPr>
            <w:r>
              <w:rPr>
                <w:rFonts w:ascii="Arial" w:hAnsi="Arial" w:cs="Arial"/>
                <w:color w:val="002060"/>
                <w:sz w:val="20"/>
              </w:rPr>
              <w:t>59.9</w:t>
            </w:r>
            <w:r w:rsidR="00252DCB" w:rsidRPr="00252DCB">
              <w:rPr>
                <w:rFonts w:ascii="Arial" w:hAnsi="Arial" w:cs="Arial"/>
                <w:color w:val="002060"/>
                <w:sz w:val="20"/>
              </w:rPr>
              <w:t>%</w:t>
            </w:r>
          </w:p>
        </w:tc>
        <w:tc>
          <w:tcPr>
            <w:tcW w:w="992"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64.9%</w:t>
            </w:r>
          </w:p>
        </w:tc>
        <w:tc>
          <w:tcPr>
            <w:tcW w:w="1276"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 </w:t>
            </w:r>
          </w:p>
        </w:tc>
        <w:tc>
          <w:tcPr>
            <w:tcW w:w="1134"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62.7%</w:t>
            </w:r>
          </w:p>
        </w:tc>
        <w:tc>
          <w:tcPr>
            <w:tcW w:w="1140"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60.2%</w:t>
            </w:r>
          </w:p>
        </w:tc>
        <w:tc>
          <w:tcPr>
            <w:tcW w:w="1354" w:type="dxa"/>
            <w:shd w:val="clear" w:color="auto" w:fill="auto"/>
            <w:noWrap/>
            <w:vAlign w:val="bottom"/>
            <w:hideMark/>
          </w:tcPr>
          <w:p w:rsidR="00252DCB" w:rsidRPr="00252DCB" w:rsidRDefault="00252DCB">
            <w:pPr>
              <w:jc w:val="right"/>
              <w:rPr>
                <w:rFonts w:ascii="Arial" w:hAnsi="Arial" w:cs="Arial"/>
                <w:color w:val="002060"/>
                <w:sz w:val="20"/>
              </w:rPr>
            </w:pPr>
            <w:r w:rsidRPr="00252DCB">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EC65AF">
        <w:rPr>
          <w:rFonts w:ascii="Arial" w:hAnsi="Arial" w:cs="Arial"/>
          <w:b/>
          <w:color w:val="0D2255"/>
          <w:sz w:val="20"/>
        </w:rPr>
        <w:tab/>
      </w:r>
      <w:r w:rsidR="00EC65AF">
        <w:rPr>
          <w:rFonts w:ascii="Arial" w:hAnsi="Arial" w:cs="Arial"/>
          <w:b/>
          <w:color w:val="0D2255"/>
          <w:sz w:val="20"/>
        </w:rPr>
        <w:tab/>
      </w:r>
      <w:r w:rsidR="004F25D9">
        <w:rPr>
          <w:rFonts w:ascii="Arial" w:hAnsi="Arial" w:cs="Arial"/>
          <w:b/>
          <w:color w:val="0D2255"/>
          <w:sz w:val="20"/>
        </w:rPr>
        <w:tab/>
      </w:r>
      <w:r w:rsidR="00EC65AF">
        <w:rPr>
          <w:rFonts w:ascii="Arial" w:hAnsi="Arial" w:cs="Arial"/>
          <w:b/>
          <w:color w:val="0D2255"/>
          <w:sz w:val="20"/>
        </w:rPr>
        <w:t>Engine output year-to-date, 2011-2013</w:t>
      </w:r>
    </w:p>
    <w:p w:rsidR="000B47D6" w:rsidRDefault="00252DCB" w:rsidP="00C80E70">
      <w:r w:rsidRPr="00252DCB">
        <w:rPr>
          <w:noProof/>
        </w:rPr>
        <w:drawing>
          <wp:inline distT="0" distB="0" distL="0" distR="0">
            <wp:extent cx="2798859"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A2D74" w:rsidRPr="001A2D74">
        <w:rPr>
          <w:noProof/>
          <w:lang w:val="en-US" w:eastAsia="zh-TW"/>
        </w:rPr>
        <w:pict>
          <v:shape id="_x0000_s1029" type="#_x0000_t202" style="position:absolute;margin-left:229.75pt;margin-top:7.65pt;width:238.55pt;height:217.9pt;z-index:251670528;mso-position-horizontal-relative:text;mso-position-vertical-relative:text;mso-width-relative:margin;mso-height-relative:margin" stroked="f">
            <v:textbox>
              <w:txbxContent>
                <w:p w:rsidR="004B5CAF" w:rsidRDefault="004B5CAF">
                  <w:r w:rsidRPr="00252DCB">
                    <w:rPr>
                      <w:noProof/>
                    </w:rPr>
                    <w:drawing>
                      <wp:inline distT="0" distB="0" distL="0" distR="0">
                        <wp:extent cx="2846705" cy="2829861"/>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0B47D6" w:rsidRPr="000B47D6" w:rsidRDefault="000B47D6" w:rsidP="004F25D9"/>
    <w:sectPr w:rsidR="000B47D6" w:rsidRPr="000B47D6" w:rsidSect="00EB2FB8">
      <w:headerReference w:type="default"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C9" w:rsidRDefault="00ED1BC9" w:rsidP="00C80E70">
      <w:r>
        <w:separator/>
      </w:r>
    </w:p>
  </w:endnote>
  <w:endnote w:type="continuationSeparator" w:id="0">
    <w:p w:rsidR="00ED1BC9" w:rsidRDefault="00ED1BC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AF" w:rsidRDefault="004B5CAF" w:rsidP="00C80E7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4B5CAF" w:rsidRDefault="004B5CAF" w:rsidP="00447CDA">
    <w:pPr>
      <w:rPr>
        <w:rFonts w:ascii="Arial" w:hAnsi="Arial" w:cs="Arial"/>
      </w:rPr>
    </w:pPr>
    <w:r>
      <w:rPr>
        <w:rFonts w:ascii="Arial" w:hAnsi="Arial" w:cs="Arial"/>
        <w:b/>
        <w:bCs/>
        <w:color w:val="1074CB"/>
        <w:sz w:val="16"/>
        <w:szCs w:val="16"/>
      </w:rPr>
      <w:t>About SMMT and UK the automotive industry:</w:t>
    </w:r>
  </w:p>
  <w:p w:rsidR="004B5CAF" w:rsidRDefault="004B5CAF" w:rsidP="00447CDA">
    <w:pPr>
      <w:pStyle w:val="NormalWeb"/>
      <w:spacing w:before="0" w:beforeAutospacing="0" w:after="0" w:afterAutospacing="0"/>
    </w:pPr>
    <w:r>
      <w:rPr>
        <w:rFonts w:ascii="Arial" w:hAnsi="Arial" w:cs="Arial"/>
        <w:color w:val="1074CB"/>
        <w:sz w:val="15"/>
        <w:szCs w:val="15"/>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B5CAF" w:rsidRDefault="004B5CAF" w:rsidP="00447CDA">
    <w:pPr>
      <w:pStyle w:val="NormalWeb"/>
      <w:spacing w:before="0" w:beforeAutospacing="0" w:after="0" w:afterAutospacing="0"/>
      <w:rPr>
        <w:rFonts w:ascii="Arial" w:hAnsi="Arial" w:cs="Arial"/>
        <w:color w:val="1074CB"/>
        <w:sz w:val="15"/>
        <w:szCs w:val="15"/>
      </w:rPr>
    </w:pPr>
  </w:p>
  <w:p w:rsidR="004B5CAF" w:rsidRDefault="004B5CAF" w:rsidP="00447CDA">
    <w:pPr>
      <w:pStyle w:val="NormalWeb"/>
      <w:spacing w:before="0" w:beforeAutospacing="0" w:after="0" w:afterAutospacing="0"/>
      <w:rPr>
        <w:rFonts w:ascii="Arial" w:hAnsi="Arial" w:cs="Arial"/>
        <w:color w:val="1074CB"/>
        <w:sz w:val="15"/>
        <w:szCs w:val="15"/>
      </w:rPr>
    </w:pPr>
    <w:r>
      <w:rPr>
        <w:rFonts w:ascii="Arial" w:hAnsi="Arial" w:cs="Arial"/>
        <w:color w:val="1074CB"/>
        <w:sz w:val="15"/>
        <w:szCs w:val="15"/>
      </w:rPr>
      <w:t xml:space="preserve">The automotive industry is a vital part of the UK economy accounting for </w:t>
    </w:r>
    <w:r>
      <w:rPr>
        <w:rStyle w:val="Strong"/>
        <w:rFonts w:ascii="Arial" w:hAnsi="Arial" w:cs="Arial"/>
        <w:color w:val="1074CB"/>
        <w:sz w:val="15"/>
        <w:szCs w:val="15"/>
      </w:rPr>
      <w:t>£59 billion turnover</w:t>
    </w:r>
    <w:r>
      <w:rPr>
        <w:rFonts w:ascii="Arial" w:hAnsi="Arial" w:cs="Arial"/>
        <w:color w:val="1074CB"/>
        <w:sz w:val="15"/>
        <w:szCs w:val="15"/>
      </w:rPr>
      <w:t xml:space="preserve"> and </w:t>
    </w:r>
    <w:r>
      <w:rPr>
        <w:rStyle w:val="Strong"/>
        <w:rFonts w:ascii="Arial" w:hAnsi="Arial" w:cs="Arial"/>
        <w:color w:val="1074CB"/>
        <w:sz w:val="15"/>
        <w:szCs w:val="15"/>
      </w:rPr>
      <w:t>£12 billion value added</w:t>
    </w:r>
    <w:r>
      <w:rPr>
        <w:rFonts w:ascii="Arial" w:hAnsi="Arial" w:cs="Arial"/>
        <w:color w:val="1074CB"/>
        <w:sz w:val="15"/>
        <w:szCs w:val="15"/>
      </w:rPr>
      <w:t xml:space="preserve">. With more than </w:t>
    </w:r>
    <w:r>
      <w:rPr>
        <w:rStyle w:val="Strong"/>
        <w:rFonts w:ascii="Arial" w:hAnsi="Arial" w:cs="Arial"/>
        <w:color w:val="1074CB"/>
        <w:sz w:val="15"/>
        <w:szCs w:val="15"/>
      </w:rPr>
      <w:t>700,000 jobs</w:t>
    </w:r>
    <w:r>
      <w:rPr>
        <w:rFonts w:ascii="Arial" w:hAnsi="Arial" w:cs="Arial"/>
        <w:color w:val="1074CB"/>
        <w:sz w:val="15"/>
        <w:szCs w:val="15"/>
      </w:rPr>
      <w:t xml:space="preserve"> dependent on the industry, it accounts for </w:t>
    </w:r>
    <w:r>
      <w:rPr>
        <w:rStyle w:val="Strong"/>
        <w:rFonts w:ascii="Arial" w:hAnsi="Arial" w:cs="Arial"/>
        <w:color w:val="1074CB"/>
        <w:sz w:val="15"/>
        <w:szCs w:val="15"/>
      </w:rPr>
      <w:t>10% of total UK exports</w:t>
    </w:r>
    <w:r>
      <w:rPr>
        <w:rFonts w:ascii="Arial" w:hAnsi="Arial" w:cs="Arial"/>
        <w:color w:val="1074CB"/>
        <w:sz w:val="15"/>
        <w:szCs w:val="15"/>
      </w:rPr>
      <w:t xml:space="preserve"> and invests </w:t>
    </w:r>
    <w:r>
      <w:rPr>
        <w:rStyle w:val="Strong"/>
        <w:rFonts w:ascii="Arial" w:hAnsi="Arial" w:cs="Arial"/>
        <w:color w:val="1074CB"/>
        <w:sz w:val="15"/>
        <w:szCs w:val="15"/>
      </w:rPr>
      <w:t>£1.7 billion</w:t>
    </w:r>
    <w:r>
      <w:rPr>
        <w:rFonts w:ascii="Arial" w:hAnsi="Arial" w:cs="Arial"/>
        <w:color w:val="1074CB"/>
        <w:sz w:val="15"/>
        <w:szCs w:val="15"/>
      </w:rPr>
      <w:t xml:space="preserve"> each year in automotive R&amp;D. More than </w:t>
    </w:r>
    <w:r>
      <w:rPr>
        <w:rStyle w:val="Strong"/>
        <w:rFonts w:ascii="Arial" w:hAnsi="Arial" w:cs="Arial"/>
        <w:color w:val="1074CB"/>
        <w:sz w:val="15"/>
        <w:szCs w:val="15"/>
      </w:rPr>
      <w:t>30 manufacturers</w:t>
    </w:r>
    <w:r>
      <w:rPr>
        <w:rFonts w:ascii="Arial" w:hAnsi="Arial" w:cs="Arial"/>
        <w:color w:val="1074CB"/>
        <w:sz w:val="15"/>
        <w:szCs w:val="15"/>
      </w:rPr>
      <w:t xml:space="preserve"> build in excess of </w:t>
    </w:r>
    <w:r>
      <w:rPr>
        <w:rStyle w:val="Strong"/>
        <w:rFonts w:ascii="Arial" w:hAnsi="Arial" w:cs="Arial"/>
        <w:color w:val="1074CB"/>
        <w:sz w:val="15"/>
        <w:szCs w:val="15"/>
      </w:rPr>
      <w:t>70 models</w:t>
    </w:r>
    <w:r>
      <w:rPr>
        <w:rFonts w:ascii="Arial" w:hAnsi="Arial" w:cs="Arial"/>
        <w:color w:val="1074CB"/>
        <w:sz w:val="15"/>
        <w:szCs w:val="15"/>
      </w:rPr>
      <w:t xml:space="preserve"> of vehicle in the UK supported by around </w:t>
    </w:r>
    <w:r>
      <w:rPr>
        <w:rStyle w:val="Strong"/>
        <w:rFonts w:ascii="Arial" w:hAnsi="Arial" w:cs="Arial"/>
        <w:color w:val="1074CB"/>
        <w:sz w:val="15"/>
        <w:szCs w:val="15"/>
      </w:rPr>
      <w:t>2,500 component providers</w:t>
    </w:r>
    <w:r>
      <w:rPr>
        <w:rFonts w:ascii="Arial" w:hAnsi="Arial" w:cs="Arial"/>
        <w:color w:val="1074CB"/>
        <w:sz w:val="15"/>
        <w:szCs w:val="15"/>
      </w:rPr>
      <w:t xml:space="preserve"> and some of the world's most </w:t>
    </w:r>
    <w:r>
      <w:rPr>
        <w:rStyle w:val="Strong"/>
        <w:rFonts w:ascii="Arial" w:hAnsi="Arial" w:cs="Arial"/>
        <w:color w:val="1074CB"/>
        <w:sz w:val="15"/>
        <w:szCs w:val="15"/>
      </w:rPr>
      <w:t>skilled engineers</w:t>
    </w:r>
    <w:r>
      <w:rPr>
        <w:rFonts w:ascii="Arial" w:hAnsi="Arial" w:cs="Arial"/>
        <w:color w:val="1074CB"/>
        <w:sz w:val="15"/>
        <w:szCs w:val="15"/>
      </w:rPr>
      <w:t>.</w:t>
    </w:r>
    <w:r>
      <w:t xml:space="preserve"> </w:t>
    </w:r>
    <w:r w:rsidRPr="00447CDA">
      <w:rPr>
        <w:rFonts w:ascii="Arial" w:hAnsi="Arial" w:cs="Arial"/>
        <w:color w:val="1074CB"/>
        <w:sz w:val="15"/>
        <w:szCs w:val="15"/>
      </w:rPr>
      <w:t xml:space="preserve">More detail on UK automotive available in SMMT's </w:t>
    </w:r>
    <w:r>
      <w:rPr>
        <w:rFonts w:ascii="Arial" w:hAnsi="Arial" w:cs="Arial"/>
        <w:color w:val="1074CB"/>
        <w:sz w:val="15"/>
        <w:szCs w:val="15"/>
      </w:rPr>
      <w:t xml:space="preserve">Motor Industry Facts 2013 publication at </w:t>
    </w:r>
    <w:hyperlink r:id="rId1" w:history="1">
      <w:r>
        <w:rPr>
          <w:rStyle w:val="Hyperlink"/>
          <w:rFonts w:ascii="Arial" w:hAnsi="Arial" w:cs="Arial"/>
          <w:color w:val="1074CB"/>
          <w:sz w:val="15"/>
          <w:szCs w:val="15"/>
        </w:rPr>
        <w:t>www.smmt.co.uk/publications</w:t>
      </w:r>
    </w:hyperlink>
    <w:r>
      <w:rPr>
        <w:rFonts w:ascii="Arial" w:hAnsi="Arial" w:cs="Arial"/>
        <w:color w:val="1074CB"/>
        <w:sz w:val="15"/>
        <w:szCs w:val="15"/>
      </w:rPr>
      <w:t>.</w:t>
    </w:r>
  </w:p>
  <w:p w:rsidR="004B5CAF" w:rsidRDefault="004B5CAF" w:rsidP="00447CDA">
    <w:pPr>
      <w:pStyle w:val="NormalWeb"/>
      <w:spacing w:before="0" w:beforeAutospacing="0" w:after="0" w:afterAutospacing="0"/>
    </w:pPr>
  </w:p>
  <w:p w:rsidR="004B5CAF" w:rsidRDefault="004B5CAF" w:rsidP="00447CDA">
    <w:pPr>
      <w:pStyle w:val="NormalWeb"/>
      <w:spacing w:before="0" w:beforeAutospacing="0" w:after="0" w:afterAutospacing="0"/>
    </w:pPr>
    <w:r w:rsidRPr="00447CDA">
      <w:rPr>
        <w:rStyle w:val="Strong"/>
        <w:rFonts w:ascii="Arial" w:hAnsi="Arial" w:cs="Arial"/>
        <w:color w:val="1074CB"/>
        <w:sz w:val="15"/>
        <w:szCs w:val="15"/>
        <w:u w:val="single"/>
      </w:rPr>
      <w:t>Broadcasters</w:t>
    </w:r>
    <w:r>
      <w:rPr>
        <w:rStyle w:val="Strong"/>
        <w:rFonts w:ascii="Arial" w:hAnsi="Arial" w:cs="Arial"/>
        <w:color w:val="1074CB"/>
        <w:sz w:val="15"/>
        <w:szCs w:val="15"/>
      </w:rPr>
      <w:t>: SMMT has an ISDN studio and access to expert spokespeople, case studies and regional representatives.</w:t>
    </w:r>
  </w:p>
  <w:p w:rsidR="004B5CAF" w:rsidRPr="00EA17B0" w:rsidRDefault="004B5CAF" w:rsidP="00447CDA">
    <w:pPr>
      <w:tabs>
        <w:tab w:val="left" w:pos="1978"/>
      </w:tabs>
      <w:rPr>
        <w:rFonts w:ascii="Arial" w:hAnsi="Arial" w:cs="Arial"/>
        <w:b/>
        <w:color w:val="1074CB"/>
        <w:sz w:val="12"/>
        <w:szCs w:val="12"/>
      </w:rPr>
    </w:pPr>
  </w:p>
  <w:p w:rsidR="004B5CAF" w:rsidRPr="00C80E70" w:rsidRDefault="004B5CAF" w:rsidP="00447CDA">
    <w:pPr>
      <w:rPr>
        <w:rFonts w:ascii="Arial" w:hAnsi="Arial" w:cs="Arial"/>
        <w:b/>
        <w:color w:val="1074CB"/>
        <w:sz w:val="16"/>
        <w:szCs w:val="16"/>
      </w:rPr>
    </w:pPr>
    <w:r w:rsidRPr="00C80E70">
      <w:rPr>
        <w:rFonts w:ascii="Arial" w:hAnsi="Arial" w:cs="Arial"/>
        <w:b/>
        <w:color w:val="1074CB"/>
        <w:sz w:val="16"/>
        <w:szCs w:val="16"/>
      </w:rPr>
      <w:t>Media contacts:</w:t>
    </w:r>
  </w:p>
  <w:p w:rsidR="004B5CAF" w:rsidRPr="004F25D9" w:rsidRDefault="004B5CAF" w:rsidP="00C80E70">
    <w:pPr>
      <w:rPr>
        <w:rFonts w:ascii="Arial" w:hAnsi="Arial" w:cs="Arial"/>
        <w:color w:val="1074CB"/>
        <w:sz w:val="16"/>
        <w:szCs w:val="16"/>
      </w:rPr>
    </w:pPr>
    <w:r w:rsidRPr="004F25D9">
      <w:rPr>
        <w:rFonts w:ascii="Arial" w:hAnsi="Arial" w:cs="Arial"/>
        <w:color w:val="1074CB"/>
        <w:sz w:val="16"/>
        <w:szCs w:val="16"/>
      </w:rPr>
      <w:t>Ben Foulds</w:t>
    </w:r>
    <w:r w:rsidRPr="004F25D9">
      <w:rPr>
        <w:rFonts w:ascii="Arial" w:hAnsi="Arial" w:cs="Arial"/>
        <w:color w:val="1074CB"/>
        <w:sz w:val="16"/>
        <w:szCs w:val="16"/>
      </w:rPr>
      <w:tab/>
    </w:r>
    <w:r w:rsidRPr="004F25D9">
      <w:rPr>
        <w:rFonts w:ascii="Arial" w:hAnsi="Arial" w:cs="Arial"/>
        <w:color w:val="1074CB"/>
        <w:sz w:val="16"/>
        <w:szCs w:val="16"/>
      </w:rPr>
      <w:tab/>
    </w:r>
    <w:r w:rsidRPr="004F25D9">
      <w:rPr>
        <w:rFonts w:ascii="Arial" w:hAnsi="Arial" w:cs="Arial"/>
        <w:color w:val="1074CB"/>
        <w:sz w:val="16"/>
        <w:szCs w:val="16"/>
      </w:rPr>
      <w:tab/>
      <w:t xml:space="preserve">020 7344 </w:t>
    </w:r>
    <w:r w:rsidRPr="004F25D9">
      <w:rPr>
        <w:rFonts w:ascii="Arial" w:hAnsi="Arial" w:cs="Arial"/>
        <w:color w:val="1074CB"/>
        <w:sz w:val="16"/>
        <w:szCs w:val="16"/>
      </w:rPr>
      <w:tab/>
    </w:r>
    <w:r w:rsidR="004F25D9" w:rsidRPr="004F25D9">
      <w:rPr>
        <w:rFonts w:ascii="Arial" w:hAnsi="Arial" w:cs="Arial"/>
        <w:color w:val="1074CB"/>
        <w:sz w:val="16"/>
        <w:szCs w:val="16"/>
      </w:rPr>
      <w:t>9222</w:t>
    </w:r>
    <w:r w:rsidRPr="004F25D9">
      <w:rPr>
        <w:rFonts w:ascii="Arial" w:hAnsi="Arial" w:cs="Arial"/>
        <w:color w:val="1074CB"/>
        <w:sz w:val="16"/>
        <w:szCs w:val="16"/>
      </w:rPr>
      <w:tab/>
    </w:r>
    <w:r w:rsidRPr="004F25D9">
      <w:rPr>
        <w:rFonts w:ascii="Arial" w:hAnsi="Arial" w:cs="Arial"/>
        <w:color w:val="1074CB"/>
        <w:sz w:val="16"/>
        <w:szCs w:val="16"/>
      </w:rPr>
      <w:tab/>
    </w:r>
    <w:hyperlink r:id="rId2" w:history="1">
      <w:r w:rsidRPr="004F25D9">
        <w:rPr>
          <w:rStyle w:val="Hyperlink"/>
          <w:rFonts w:ascii="Arial" w:hAnsi="Arial" w:cs="Arial"/>
          <w:sz w:val="16"/>
          <w:szCs w:val="16"/>
        </w:rPr>
        <w:t>bfoulds@smmt.co.uk</w:t>
      </w:r>
    </w:hyperlink>
    <w:r w:rsidRPr="004F25D9">
      <w:rPr>
        <w:rFonts w:ascii="Arial" w:hAnsi="Arial" w:cs="Arial"/>
        <w:color w:val="1074CB"/>
        <w:sz w:val="16"/>
        <w:szCs w:val="16"/>
      </w:rPr>
      <w:t xml:space="preserve"> </w:t>
    </w:r>
  </w:p>
  <w:p w:rsidR="004B5CAF" w:rsidRPr="004F25D9" w:rsidRDefault="004B5CAF" w:rsidP="00C80E70">
    <w:pPr>
      <w:rPr>
        <w:rFonts w:ascii="Arial" w:hAnsi="Arial" w:cs="Arial"/>
        <w:color w:val="1074CB"/>
        <w:sz w:val="16"/>
        <w:szCs w:val="16"/>
      </w:rPr>
    </w:pPr>
    <w:r w:rsidRPr="004F25D9">
      <w:rPr>
        <w:rFonts w:ascii="Arial" w:hAnsi="Arial" w:cs="Arial"/>
        <w:color w:val="1074CB"/>
        <w:sz w:val="16"/>
        <w:szCs w:val="16"/>
      </w:rPr>
      <w:t>Jonathan Visscher</w:t>
    </w:r>
    <w:r w:rsidRPr="004F25D9">
      <w:rPr>
        <w:rFonts w:ascii="Arial" w:hAnsi="Arial" w:cs="Arial"/>
        <w:color w:val="1074CB"/>
        <w:sz w:val="16"/>
        <w:szCs w:val="16"/>
      </w:rPr>
      <w:tab/>
    </w:r>
    <w:r w:rsidRPr="004F25D9">
      <w:rPr>
        <w:rFonts w:ascii="Arial" w:hAnsi="Arial" w:cs="Arial"/>
        <w:color w:val="1074CB"/>
        <w:sz w:val="16"/>
        <w:szCs w:val="16"/>
      </w:rPr>
      <w:tab/>
    </w:r>
    <w:r w:rsidRPr="004F25D9">
      <w:rPr>
        <w:rFonts w:ascii="Arial" w:hAnsi="Arial" w:cs="Arial"/>
        <w:color w:val="1074CB"/>
        <w:sz w:val="16"/>
        <w:szCs w:val="16"/>
      </w:rPr>
      <w:tab/>
      <w:t>020 7344 9263</w:t>
    </w:r>
    <w:r w:rsidRPr="004F25D9">
      <w:rPr>
        <w:rFonts w:ascii="Arial" w:hAnsi="Arial" w:cs="Arial"/>
        <w:color w:val="1074CB"/>
        <w:sz w:val="16"/>
        <w:szCs w:val="16"/>
      </w:rPr>
      <w:tab/>
    </w:r>
    <w:r w:rsidRPr="004F25D9">
      <w:rPr>
        <w:rFonts w:ascii="Arial" w:hAnsi="Arial" w:cs="Arial"/>
        <w:color w:val="1074CB"/>
        <w:sz w:val="16"/>
        <w:szCs w:val="16"/>
      </w:rPr>
      <w:tab/>
    </w:r>
    <w:hyperlink r:id="rId3" w:history="1">
      <w:r w:rsidRPr="004F25D9">
        <w:rPr>
          <w:rStyle w:val="Hyperlink"/>
          <w:rFonts w:ascii="Arial" w:hAnsi="Arial" w:cs="Arial"/>
          <w:sz w:val="16"/>
          <w:szCs w:val="16"/>
        </w:rPr>
        <w:t>jvisscher@smmt.co.uk</w:t>
      </w:r>
    </w:hyperlink>
    <w:r w:rsidRPr="004F25D9">
      <w:rPr>
        <w:rFonts w:ascii="Arial" w:hAnsi="Arial" w:cs="Arial"/>
        <w:color w:val="1074CB"/>
        <w:sz w:val="16"/>
        <w:szCs w:val="16"/>
      </w:rPr>
      <w:t xml:space="preserve"> </w:t>
    </w:r>
  </w:p>
  <w:p w:rsidR="004B5CAF" w:rsidRPr="004F25D9" w:rsidRDefault="004B5CAF" w:rsidP="00C80E70">
    <w:pPr>
      <w:rPr>
        <w:rFonts w:ascii="Arial" w:hAnsi="Arial" w:cs="Arial"/>
        <w:color w:val="1074CB"/>
        <w:sz w:val="16"/>
        <w:szCs w:val="16"/>
      </w:rPr>
    </w:pPr>
    <w:r w:rsidRPr="004F25D9">
      <w:rPr>
        <w:rFonts w:ascii="Arial" w:hAnsi="Arial" w:cs="Arial"/>
        <w:color w:val="1074CB"/>
        <w:sz w:val="16"/>
        <w:szCs w:val="16"/>
      </w:rPr>
      <w:t>Keith Lewis</w:t>
    </w:r>
    <w:r w:rsidRPr="004F25D9">
      <w:rPr>
        <w:rFonts w:ascii="Arial" w:hAnsi="Arial" w:cs="Arial"/>
        <w:color w:val="1074CB"/>
        <w:sz w:val="16"/>
        <w:szCs w:val="16"/>
      </w:rPr>
      <w:tab/>
    </w:r>
    <w:r w:rsidRPr="004F25D9">
      <w:rPr>
        <w:rFonts w:ascii="Arial" w:hAnsi="Arial" w:cs="Arial"/>
        <w:color w:val="1074CB"/>
        <w:sz w:val="16"/>
        <w:szCs w:val="16"/>
      </w:rPr>
      <w:tab/>
    </w:r>
    <w:r w:rsidRPr="004F25D9">
      <w:rPr>
        <w:rFonts w:ascii="Arial" w:hAnsi="Arial" w:cs="Arial"/>
        <w:color w:val="1074CB"/>
        <w:sz w:val="16"/>
        <w:szCs w:val="16"/>
      </w:rPr>
      <w:tab/>
      <w:t>020 7344 92</w:t>
    </w:r>
    <w:r w:rsidR="008425DD">
      <w:rPr>
        <w:rFonts w:ascii="Arial" w:hAnsi="Arial" w:cs="Arial"/>
        <w:color w:val="1074CB"/>
        <w:sz w:val="16"/>
        <w:szCs w:val="16"/>
      </w:rPr>
      <w:t>2</w:t>
    </w:r>
    <w:r w:rsidRPr="004F25D9">
      <w:rPr>
        <w:rFonts w:ascii="Arial" w:hAnsi="Arial" w:cs="Arial"/>
        <w:color w:val="1074CB"/>
        <w:sz w:val="16"/>
        <w:szCs w:val="16"/>
      </w:rPr>
      <w:t>6</w:t>
    </w:r>
    <w:r w:rsidRPr="004F25D9">
      <w:rPr>
        <w:rFonts w:ascii="Arial" w:hAnsi="Arial" w:cs="Arial"/>
        <w:color w:val="1074CB"/>
        <w:sz w:val="16"/>
        <w:szCs w:val="16"/>
      </w:rPr>
      <w:tab/>
    </w:r>
    <w:r w:rsidRPr="004F25D9">
      <w:rPr>
        <w:rFonts w:ascii="Arial" w:hAnsi="Arial" w:cs="Arial"/>
        <w:color w:val="1074CB"/>
        <w:sz w:val="16"/>
        <w:szCs w:val="16"/>
      </w:rPr>
      <w:tab/>
    </w:r>
    <w:hyperlink r:id="rId4" w:history="1">
      <w:r w:rsidRPr="004F25D9">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C9" w:rsidRDefault="00ED1BC9" w:rsidP="00C80E70">
      <w:r>
        <w:separator/>
      </w:r>
    </w:p>
  </w:footnote>
  <w:footnote w:type="continuationSeparator" w:id="0">
    <w:p w:rsidR="00ED1BC9" w:rsidRDefault="00ED1BC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AF" w:rsidRDefault="004B5CAF"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80E70"/>
    <w:rsid w:val="000548BB"/>
    <w:rsid w:val="00066F55"/>
    <w:rsid w:val="000B47D6"/>
    <w:rsid w:val="00116666"/>
    <w:rsid w:val="00131BDB"/>
    <w:rsid w:val="00133B87"/>
    <w:rsid w:val="00146551"/>
    <w:rsid w:val="001737CD"/>
    <w:rsid w:val="00192CE4"/>
    <w:rsid w:val="001A1CFD"/>
    <w:rsid w:val="001A2D74"/>
    <w:rsid w:val="001A67B5"/>
    <w:rsid w:val="001C389E"/>
    <w:rsid w:val="001D6CB9"/>
    <w:rsid w:val="001E33CE"/>
    <w:rsid w:val="00200F65"/>
    <w:rsid w:val="0020649D"/>
    <w:rsid w:val="00252DCB"/>
    <w:rsid w:val="00266A9A"/>
    <w:rsid w:val="002771BB"/>
    <w:rsid w:val="002A5934"/>
    <w:rsid w:val="002B4F7D"/>
    <w:rsid w:val="002F4A40"/>
    <w:rsid w:val="003316AF"/>
    <w:rsid w:val="00375DF8"/>
    <w:rsid w:val="003B1C39"/>
    <w:rsid w:val="003C5778"/>
    <w:rsid w:val="003E69D3"/>
    <w:rsid w:val="00410539"/>
    <w:rsid w:val="00416AB7"/>
    <w:rsid w:val="00427158"/>
    <w:rsid w:val="00443FDD"/>
    <w:rsid w:val="00447CDA"/>
    <w:rsid w:val="00456EBB"/>
    <w:rsid w:val="00467D20"/>
    <w:rsid w:val="004767ED"/>
    <w:rsid w:val="00482D22"/>
    <w:rsid w:val="00486897"/>
    <w:rsid w:val="00494E5E"/>
    <w:rsid w:val="004B5CAF"/>
    <w:rsid w:val="004B727E"/>
    <w:rsid w:val="004F25D9"/>
    <w:rsid w:val="0050027E"/>
    <w:rsid w:val="00505C8C"/>
    <w:rsid w:val="005218AC"/>
    <w:rsid w:val="005407A6"/>
    <w:rsid w:val="00542422"/>
    <w:rsid w:val="0055683E"/>
    <w:rsid w:val="00577A32"/>
    <w:rsid w:val="005B33EF"/>
    <w:rsid w:val="005B536B"/>
    <w:rsid w:val="005C668F"/>
    <w:rsid w:val="005E2C9D"/>
    <w:rsid w:val="005F44DC"/>
    <w:rsid w:val="0060762E"/>
    <w:rsid w:val="006315A6"/>
    <w:rsid w:val="006623D6"/>
    <w:rsid w:val="00686576"/>
    <w:rsid w:val="006B4C72"/>
    <w:rsid w:val="006B7F8A"/>
    <w:rsid w:val="006D538E"/>
    <w:rsid w:val="006E5BF9"/>
    <w:rsid w:val="00714EF7"/>
    <w:rsid w:val="0073709A"/>
    <w:rsid w:val="0074021B"/>
    <w:rsid w:val="007433FE"/>
    <w:rsid w:val="00752C8B"/>
    <w:rsid w:val="00755293"/>
    <w:rsid w:val="00761183"/>
    <w:rsid w:val="00784781"/>
    <w:rsid w:val="007851A1"/>
    <w:rsid w:val="00787B6E"/>
    <w:rsid w:val="00791C3D"/>
    <w:rsid w:val="007B7669"/>
    <w:rsid w:val="007D7979"/>
    <w:rsid w:val="007F5D6D"/>
    <w:rsid w:val="008030A3"/>
    <w:rsid w:val="00804C47"/>
    <w:rsid w:val="00806662"/>
    <w:rsid w:val="008425DD"/>
    <w:rsid w:val="0089607B"/>
    <w:rsid w:val="008B50CB"/>
    <w:rsid w:val="008E2346"/>
    <w:rsid w:val="008E4462"/>
    <w:rsid w:val="008F55A4"/>
    <w:rsid w:val="0091592E"/>
    <w:rsid w:val="00917597"/>
    <w:rsid w:val="00924274"/>
    <w:rsid w:val="00931C26"/>
    <w:rsid w:val="00964455"/>
    <w:rsid w:val="0097483C"/>
    <w:rsid w:val="009C11B6"/>
    <w:rsid w:val="009F5D30"/>
    <w:rsid w:val="00A2060E"/>
    <w:rsid w:val="00A27BE2"/>
    <w:rsid w:val="00A67F90"/>
    <w:rsid w:val="00A773DB"/>
    <w:rsid w:val="00A93DE9"/>
    <w:rsid w:val="00A94474"/>
    <w:rsid w:val="00AA2084"/>
    <w:rsid w:val="00AA36FF"/>
    <w:rsid w:val="00AA4CF4"/>
    <w:rsid w:val="00AB33BB"/>
    <w:rsid w:val="00AD5FE1"/>
    <w:rsid w:val="00B33D68"/>
    <w:rsid w:val="00B36DF8"/>
    <w:rsid w:val="00B92152"/>
    <w:rsid w:val="00BC7B6B"/>
    <w:rsid w:val="00BE1C28"/>
    <w:rsid w:val="00BF4C94"/>
    <w:rsid w:val="00C07099"/>
    <w:rsid w:val="00C657AB"/>
    <w:rsid w:val="00C80E70"/>
    <w:rsid w:val="00CC6A28"/>
    <w:rsid w:val="00CE3518"/>
    <w:rsid w:val="00D446D8"/>
    <w:rsid w:val="00D561FB"/>
    <w:rsid w:val="00D6067E"/>
    <w:rsid w:val="00D6138F"/>
    <w:rsid w:val="00D6336B"/>
    <w:rsid w:val="00D86627"/>
    <w:rsid w:val="00D911A4"/>
    <w:rsid w:val="00D92B21"/>
    <w:rsid w:val="00DB3768"/>
    <w:rsid w:val="00DC70E5"/>
    <w:rsid w:val="00DE5D6C"/>
    <w:rsid w:val="00DF19D9"/>
    <w:rsid w:val="00E343D2"/>
    <w:rsid w:val="00E422EE"/>
    <w:rsid w:val="00E634A1"/>
    <w:rsid w:val="00E90110"/>
    <w:rsid w:val="00EB2CA6"/>
    <w:rsid w:val="00EB2FB8"/>
    <w:rsid w:val="00EB5EA2"/>
    <w:rsid w:val="00EC65AF"/>
    <w:rsid w:val="00ED1BC9"/>
    <w:rsid w:val="00EF35D8"/>
    <w:rsid w:val="00F00B32"/>
    <w:rsid w:val="00F205F0"/>
    <w:rsid w:val="00F434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paragraph" w:styleId="Revision">
    <w:name w:val="Revision"/>
    <w:hidden/>
    <w:uiPriority w:val="99"/>
    <w:semiHidden/>
    <w:rsid w:val="00784781"/>
    <w:pPr>
      <w:spacing w:line="240" w:lineRule="auto"/>
    </w:pPr>
    <w:rPr>
      <w:rFonts w:ascii="Times" w:eastAsia="Times" w:hAnsi="Times"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04495170">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SEP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SEP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SEP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SEP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Sept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70288928402014661"/>
          <c:h val="0.76243192236925761"/>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'PR&amp;12MONTHROLL-CHARTS'!$C$4:$CH$4</c:f>
              <c:numCache>
                <c:formatCode>General</c:formatCode>
                <c:ptCount val="84"/>
                <c:pt idx="0">
                  <c:v>1447.1529999999998</c:v>
                </c:pt>
                <c:pt idx="1">
                  <c:v>1431.6109999999999</c:v>
                </c:pt>
                <c:pt idx="2">
                  <c:v>1410.6589999999999</c:v>
                </c:pt>
                <c:pt idx="3">
                  <c:v>1412.5039999999999</c:v>
                </c:pt>
                <c:pt idx="4">
                  <c:v>1408.6849999999977</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c:v>
                </c:pt>
                <c:pt idx="31">
                  <c:v>983.24400000000003</c:v>
                </c:pt>
                <c:pt idx="32">
                  <c:v>960.25400000000002</c:v>
                </c:pt>
                <c:pt idx="33">
                  <c:v>952.62300000000005</c:v>
                </c:pt>
                <c:pt idx="34">
                  <c:v>967.96699999999885</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1443.876</c:v>
                </c:pt>
                <c:pt idx="69">
                  <c:v>1452.25</c:v>
                </c:pt>
                <c:pt idx="70">
                  <c:v>1458.9639999999999</c:v>
                </c:pt>
                <c:pt idx="71">
                  <c:v>1464.9060000000011</c:v>
                </c:pt>
                <c:pt idx="72">
                  <c:v>1466.4050000000011</c:v>
                </c:pt>
                <c:pt idx="73">
                  <c:v>1465.3799999999999</c:v>
                </c:pt>
                <c:pt idx="74">
                  <c:v>1456.8969999999999</c:v>
                </c:pt>
                <c:pt idx="75">
                  <c:v>1472.578</c:v>
                </c:pt>
                <c:pt idx="76">
                  <c:v>1460.787</c:v>
                </c:pt>
                <c:pt idx="77">
                  <c:v>1473.1799999999998</c:v>
                </c:pt>
                <c:pt idx="78">
                  <c:v>1481.6619999999998</c:v>
                </c:pt>
                <c:pt idx="79">
                  <c:v>1494.367</c:v>
                </c:pt>
                <c:pt idx="80">
                  <c:v>1507.0260000000001</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'07</c:v>
                </c:pt>
                <c:pt idx="12">
                  <c:v>'08</c:v>
                </c:pt>
                <c:pt idx="24">
                  <c:v>'09</c:v>
                </c:pt>
                <c:pt idx="36">
                  <c:v>'10</c:v>
                </c:pt>
                <c:pt idx="48">
                  <c:v>'11</c:v>
                </c:pt>
                <c:pt idx="60">
                  <c:v>'12</c:v>
                </c:pt>
                <c:pt idx="72">
                  <c:v>'13</c:v>
                </c:pt>
              </c:strCache>
            </c:strRef>
          </c:cat>
          <c:val>
            <c:numRef>
              <c:f>'PR&amp;12MONTHROLL-CHARTS'!$C$5:$CH$5</c:f>
              <c:numCache>
                <c:formatCode>General</c:formatCode>
                <c:ptCount val="84"/>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1167.6849999999977</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1003.4599999999994</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905.96299999999849</c:v>
                </c:pt>
                <c:pt idx="44">
                  <c:v>922.69299999999998</c:v>
                </c:pt>
                <c:pt idx="45">
                  <c:v>928.33599999999899</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1199.9050000000011</c:v>
                </c:pt>
                <c:pt idx="66">
                  <c:v>1217.319</c:v>
                </c:pt>
                <c:pt idx="67">
                  <c:v>1211.8429999999998</c:v>
                </c:pt>
                <c:pt idx="68">
                  <c:v>1201.8609999999999</c:v>
                </c:pt>
                <c:pt idx="69">
                  <c:v>1207.1529999999998</c:v>
                </c:pt>
                <c:pt idx="70">
                  <c:v>1208.6089999999999</c:v>
                </c:pt>
                <c:pt idx="71">
                  <c:v>1211.788</c:v>
                </c:pt>
                <c:pt idx="72">
                  <c:v>1207.7360000000001</c:v>
                </c:pt>
                <c:pt idx="73">
                  <c:v>1196.6879999999999</c:v>
                </c:pt>
                <c:pt idx="74">
                  <c:v>1187.8029999999999</c:v>
                </c:pt>
                <c:pt idx="75">
                  <c:v>1194.6219999999998</c:v>
                </c:pt>
                <c:pt idx="76">
                  <c:v>1179.846</c:v>
                </c:pt>
                <c:pt idx="77">
                  <c:v>1188.1099999999999</c:v>
                </c:pt>
                <c:pt idx="78">
                  <c:v>1188.7139999999999</c:v>
                </c:pt>
                <c:pt idx="79">
                  <c:v>1197.886</c:v>
                </c:pt>
                <c:pt idx="80">
                  <c:v>1207.4170000000001</c:v>
                </c:pt>
              </c:numCache>
            </c:numRef>
          </c:val>
        </c:ser>
        <c:marker val="1"/>
        <c:axId val="35940224"/>
        <c:axId val="35941760"/>
      </c:lineChart>
      <c:catAx>
        <c:axId val="3594022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35941760"/>
        <c:crosses val="autoZero"/>
        <c:auto val="1"/>
        <c:lblAlgn val="ctr"/>
        <c:lblOffset val="100"/>
        <c:tickMarkSkip val="12"/>
      </c:catAx>
      <c:valAx>
        <c:axId val="35941760"/>
        <c:scaling>
          <c:orientation val="minMax"/>
          <c:max val="1700"/>
          <c:min val="70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35940224"/>
        <c:crosses val="autoZero"/>
        <c:crossBetween val="between"/>
        <c:majorUnit val="200"/>
      </c:valAx>
    </c:plotArea>
    <c:legend>
      <c:legendPos val="r"/>
      <c:layout>
        <c:manualLayout>
          <c:xMode val="edge"/>
          <c:yMode val="edge"/>
          <c:x val="5.5004864445136095E-2"/>
          <c:y val="2.3771561748809081E-2"/>
          <c:w val="0.93729675026025638"/>
          <c:h val="0.10000017438646501"/>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268275575842354"/>
          <c:y val="5.3619302949061684E-2"/>
          <c:w val="0.72546604414993943"/>
          <c:h val="0.85915257576717119"/>
        </c:manualLayout>
      </c:layout>
      <c:barChart>
        <c:barDir val="col"/>
        <c:grouping val="clustered"/>
        <c:ser>
          <c:idx val="0"/>
          <c:order val="0"/>
          <c:tx>
            <c:strRef>
              <c:f>'PR chart 2 A'!$B$52</c:f>
              <c:strCache>
                <c:ptCount val="1"/>
                <c:pt idx="0">
                  <c:v>Cars</c:v>
                </c:pt>
              </c:strCache>
            </c:strRef>
          </c:tx>
          <c:spPr>
            <a:solidFill>
              <a:schemeClr val="tx2">
                <a:lumMod val="40000"/>
                <a:lumOff val="60000"/>
              </a:schemeClr>
            </a:solidFill>
            <a:ln>
              <a:solidFill>
                <a:prstClr val="black"/>
              </a:solidFill>
            </a:ln>
          </c:spPr>
          <c:cat>
            <c:strRef>
              <c:f>'PR chart 2 A'!$C$51:$E$51</c:f>
              <c:strCache>
                <c:ptCount val="3"/>
                <c:pt idx="0">
                  <c:v>'11</c:v>
                </c:pt>
                <c:pt idx="1">
                  <c:v>'12</c:v>
                </c:pt>
                <c:pt idx="2">
                  <c:v>'13</c:v>
                </c:pt>
              </c:strCache>
            </c:strRef>
          </c:cat>
          <c:val>
            <c:numRef>
              <c:f>'PR chart 2 A'!$C$52:$E$52</c:f>
              <c:numCache>
                <c:formatCode>General</c:formatCode>
                <c:ptCount val="3"/>
                <c:pt idx="0">
                  <c:v>983247</c:v>
                </c:pt>
                <c:pt idx="1">
                  <c:v>1083313</c:v>
                </c:pt>
                <c:pt idx="2">
                  <c:v>1125433</c:v>
                </c:pt>
              </c:numCache>
            </c:numRef>
          </c:val>
        </c:ser>
        <c:gapWidth val="48"/>
        <c:axId val="36842880"/>
        <c:axId val="45218816"/>
      </c:barChart>
      <c:catAx>
        <c:axId val="36842880"/>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45218816"/>
        <c:crosses val="autoZero"/>
        <c:auto val="1"/>
        <c:lblAlgn val="ctr"/>
        <c:lblOffset val="100"/>
      </c:catAx>
      <c:valAx>
        <c:axId val="45218816"/>
        <c:scaling>
          <c:orientation val="minMax"/>
          <c:max val="1150000.0000000002"/>
          <c:min val="90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36842880"/>
        <c:crosses val="autoZero"/>
        <c:crossBetween val="between"/>
        <c:majorUnit val="50000"/>
        <c:dispUnits>
          <c:builtInUnit val="thousands"/>
          <c:dispUnitsLbl>
            <c:layout>
              <c:manualLayout>
                <c:xMode val="edge"/>
                <c:yMode val="edge"/>
                <c:x val="0"/>
                <c:y val="0.3808788666177465"/>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6708431292060055"/>
          <c:y val="5.3619302949061684E-2"/>
          <c:w val="0.73626333690537205"/>
          <c:h val="0.81545959831497183"/>
        </c:manualLayout>
      </c:layout>
      <c:barChart>
        <c:barDir val="col"/>
        <c:grouping val="clustered"/>
        <c:ser>
          <c:idx val="0"/>
          <c:order val="0"/>
          <c:tx>
            <c:strRef>
              <c:f>'PR chart 2 A'!$I$52</c:f>
              <c:strCache>
                <c:ptCount val="1"/>
                <c:pt idx="0">
                  <c:v>CVs</c:v>
                </c:pt>
              </c:strCache>
            </c:strRef>
          </c:tx>
          <c:spPr>
            <a:solidFill>
              <a:schemeClr val="tx2">
                <a:lumMod val="40000"/>
                <a:lumOff val="60000"/>
              </a:schemeClr>
            </a:solidFill>
            <a:ln>
              <a:solidFill>
                <a:prstClr val="black"/>
              </a:solidFill>
            </a:ln>
          </c:spPr>
          <c:cat>
            <c:strRef>
              <c:f>'PR chart 2 A'!$J$51:$L$51</c:f>
              <c:strCache>
                <c:ptCount val="3"/>
                <c:pt idx="0">
                  <c:v>'11</c:v>
                </c:pt>
                <c:pt idx="1">
                  <c:v>'12</c:v>
                </c:pt>
                <c:pt idx="2">
                  <c:v>'13</c:v>
                </c:pt>
              </c:strCache>
            </c:strRef>
          </c:cat>
          <c:val>
            <c:numRef>
              <c:f>'PR chart 2 A'!$J$52:$L$52</c:f>
              <c:numCache>
                <c:formatCode>General</c:formatCode>
                <c:ptCount val="3"/>
                <c:pt idx="0">
                  <c:v>89026</c:v>
                </c:pt>
                <c:pt idx="1">
                  <c:v>82315</c:v>
                </c:pt>
                <c:pt idx="2">
                  <c:v>67609</c:v>
                </c:pt>
              </c:numCache>
            </c:numRef>
          </c:val>
        </c:ser>
        <c:gapWidth val="48"/>
        <c:axId val="77142272"/>
        <c:axId val="77153792"/>
      </c:barChart>
      <c:catAx>
        <c:axId val="77142272"/>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7153792"/>
        <c:crosses val="autoZero"/>
        <c:auto val="1"/>
        <c:lblAlgn val="ctr"/>
        <c:lblOffset val="100"/>
      </c:catAx>
      <c:valAx>
        <c:axId val="77153792"/>
        <c:scaling>
          <c:orientation val="minMax"/>
          <c:max val="90000"/>
          <c:min val="60000"/>
        </c:scaling>
        <c:axPos val="l"/>
        <c:majorGridlines/>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77142272"/>
        <c:crosses val="autoZero"/>
        <c:crossBetween val="between"/>
        <c:majorUnit val="10000"/>
        <c:dispUnits>
          <c:builtInUnit val="thousands"/>
          <c:dispUnitsLbl>
            <c:layout>
              <c:manualLayout>
                <c:xMode val="edge"/>
                <c:yMode val="edge"/>
                <c:x val="0"/>
                <c:y val="0.35461547871161092"/>
              </c:manualLayout>
            </c:layout>
            <c:txPr>
              <a:bodyPr rot="-5400000" vert="horz"/>
              <a:lstStyle/>
              <a:p>
                <a:pPr algn="ctr">
                  <a:defRPr sz="800" b="0" i="0" u="none" strike="noStrike" baseline="0">
                    <a:solidFill>
                      <a:srgbClr val="000000"/>
                    </a:solidFill>
                    <a:latin typeface="Arial"/>
                    <a:ea typeface="Arial"/>
                    <a:cs typeface="Arial"/>
                  </a:defRPr>
                </a:pPr>
                <a:endParaRPr lang="en-US"/>
              </a:p>
            </c:txPr>
          </c:dispUnitsLbl>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09"/>
          <c:y val="0.10097554262647269"/>
          <c:w val="0.73284490232371979"/>
          <c:h val="0.74864983677245456"/>
        </c:manualLayout>
      </c:layout>
      <c:lineChart>
        <c:grouping val="standard"/>
        <c:ser>
          <c:idx val="0"/>
          <c:order val="0"/>
          <c:tx>
            <c:strRef>
              <c:f>'PR&amp;12MONTHROLL-CHARTS'!$B$9</c:f>
              <c:strCache>
                <c:ptCount val="1"/>
                <c:pt idx="0">
                  <c:v>Total CV</c:v>
                </c:pt>
              </c:strCache>
            </c:strRef>
          </c:tx>
          <c:spPr>
            <a:ln>
              <a:solidFill>
                <a:schemeClr val="tx2">
                  <a:lumMod val="75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'PR&amp;12MONTHROLL-CHARTS'!$C$9:$CH$9</c:f>
              <c:numCache>
                <c:formatCode>General</c:formatCode>
                <c:ptCount val="84"/>
                <c:pt idx="0">
                  <c:v>209.13800000000001</c:v>
                </c:pt>
                <c:pt idx="1">
                  <c:v>208.41499999999999</c:v>
                </c:pt>
                <c:pt idx="2">
                  <c:v>207.38600000000025</c:v>
                </c:pt>
                <c:pt idx="3">
                  <c:v>207.62</c:v>
                </c:pt>
                <c:pt idx="4">
                  <c:v>209.48000000000025</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164.89700000000025</c:v>
                </c:pt>
                <c:pt idx="27">
                  <c:v>150.56800000000001</c:v>
                </c:pt>
                <c:pt idx="28">
                  <c:v>137.55800000000025</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103.93400000000013</c:v>
                </c:pt>
                <c:pt idx="40">
                  <c:v>109.98699999999999</c:v>
                </c:pt>
                <c:pt idx="41">
                  <c:v>112.111</c:v>
                </c:pt>
                <c:pt idx="42">
                  <c:v>113.232</c:v>
                </c:pt>
                <c:pt idx="43">
                  <c:v>114.29600000000002</c:v>
                </c:pt>
                <c:pt idx="44">
                  <c:v>115.91900000000012</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115.91700000000013</c:v>
                </c:pt>
                <c:pt idx="68">
                  <c:v>113.47799999999999</c:v>
                </c:pt>
                <c:pt idx="69">
                  <c:v>114.04</c:v>
                </c:pt>
                <c:pt idx="70">
                  <c:v>113.634</c:v>
                </c:pt>
                <c:pt idx="71">
                  <c:v>112.039</c:v>
                </c:pt>
                <c:pt idx="72">
                  <c:v>110.01700000000002</c:v>
                </c:pt>
                <c:pt idx="73">
                  <c:v>108.367</c:v>
                </c:pt>
                <c:pt idx="74">
                  <c:v>106.52200000000001</c:v>
                </c:pt>
                <c:pt idx="75">
                  <c:v>106.232</c:v>
                </c:pt>
                <c:pt idx="76">
                  <c:v>104.34699999999999</c:v>
                </c:pt>
                <c:pt idx="77">
                  <c:v>104.46000000000002</c:v>
                </c:pt>
                <c:pt idx="78">
                  <c:v>103.89100000000002</c:v>
                </c:pt>
                <c:pt idx="79">
                  <c:v>99.977000000000004</c:v>
                </c:pt>
                <c:pt idx="80">
                  <c:v>97.332999999999998</c:v>
                </c:pt>
              </c:numCache>
            </c:numRef>
          </c:val>
        </c:ser>
        <c:ser>
          <c:idx val="1"/>
          <c:order val="1"/>
          <c:tx>
            <c:strRef>
              <c:f>'PR&amp;12MONTHROLL-CHARTS'!$B$10</c:f>
              <c:strCache>
                <c:ptCount val="1"/>
                <c:pt idx="0">
                  <c:v>CV Exports</c:v>
                </c:pt>
              </c:strCache>
            </c:strRef>
          </c:tx>
          <c:spPr>
            <a:ln>
              <a:solidFill>
                <a:schemeClr val="tx2">
                  <a:lumMod val="40000"/>
                  <a:lumOff val="60000"/>
                </a:schemeClr>
              </a:solidFill>
            </a:ln>
          </c:spPr>
          <c:marker>
            <c:symbol val="none"/>
          </c:marker>
          <c:cat>
            <c:strRef>
              <c:f>'PR&amp;12MONTHROLL-CHARTS'!$C$8:$CH$8</c:f>
              <c:strCache>
                <c:ptCount val="73"/>
                <c:pt idx="0">
                  <c:v>'07</c:v>
                </c:pt>
                <c:pt idx="12">
                  <c:v>'08</c:v>
                </c:pt>
                <c:pt idx="24">
                  <c:v>'09</c:v>
                </c:pt>
                <c:pt idx="36">
                  <c:v>'10</c:v>
                </c:pt>
                <c:pt idx="48">
                  <c:v>'11</c:v>
                </c:pt>
                <c:pt idx="60">
                  <c:v>'12</c:v>
                </c:pt>
                <c:pt idx="72">
                  <c:v>'13</c:v>
                </c:pt>
              </c:strCache>
            </c:strRef>
          </c:cat>
          <c:val>
            <c:numRef>
              <c:f>'PR&amp;12MONTHROLL-CHARTS'!$C$10:$CH$10</c:f>
              <c:numCache>
                <c:formatCode>General</c:formatCode>
                <c:ptCount val="84"/>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136.85100000000025</c:v>
                </c:pt>
                <c:pt idx="22">
                  <c:v>130.52600000000001</c:v>
                </c:pt>
                <c:pt idx="23">
                  <c:v>125.611</c:v>
                </c:pt>
                <c:pt idx="24">
                  <c:v>119.71899999999999</c:v>
                </c:pt>
                <c:pt idx="25">
                  <c:v>112.473</c:v>
                </c:pt>
                <c:pt idx="26">
                  <c:v>106.93700000000013</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69.414000000000144</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pt idx="71">
                  <c:v>63.733000000000011</c:v>
                </c:pt>
                <c:pt idx="72">
                  <c:v>61.580999999999996</c:v>
                </c:pt>
                <c:pt idx="73">
                  <c:v>59.826000000000001</c:v>
                </c:pt>
                <c:pt idx="74">
                  <c:v>57.596000000000011</c:v>
                </c:pt>
                <c:pt idx="75">
                  <c:v>56.538000000000011</c:v>
                </c:pt>
                <c:pt idx="76">
                  <c:v>54.606000000000002</c:v>
                </c:pt>
                <c:pt idx="77">
                  <c:v>54.188000000000002</c:v>
                </c:pt>
                <c:pt idx="78">
                  <c:v>55.653999999999996</c:v>
                </c:pt>
                <c:pt idx="79">
                  <c:v>54.05</c:v>
                </c:pt>
                <c:pt idx="80">
                  <c:v>52.124000000000002</c:v>
                </c:pt>
              </c:numCache>
            </c:numRef>
          </c:val>
        </c:ser>
        <c:marker val="1"/>
        <c:axId val="78595968"/>
        <c:axId val="79122432"/>
      </c:lineChart>
      <c:catAx>
        <c:axId val="7859596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9122432"/>
        <c:crosses val="autoZero"/>
        <c:auto val="1"/>
        <c:lblAlgn val="ctr"/>
        <c:lblOffset val="100"/>
        <c:tickMarkSkip val="12"/>
      </c:catAx>
      <c:valAx>
        <c:axId val="79122432"/>
        <c:scaling>
          <c:orientation val="minMax"/>
          <c:max val="250"/>
          <c:min val="50"/>
        </c:scaling>
        <c:axPos val="l"/>
        <c:majorGridlines/>
        <c:title>
          <c:tx>
            <c:rich>
              <a:bodyPr/>
              <a:lstStyle/>
              <a:p>
                <a:pPr>
                  <a:defRPr sz="800" b="0" i="0" u="none" strike="noStrike" baseline="0">
                    <a:solidFill>
                      <a:srgbClr val="000000"/>
                    </a:solidFill>
                    <a:latin typeface="Arial"/>
                    <a:ea typeface="Arial"/>
                    <a:cs typeface="Arial"/>
                  </a:defRPr>
                </a:pPr>
                <a:r>
                  <a:rPr lang="en-GB"/>
                  <a:t>Thousands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8595968"/>
        <c:crosses val="autoZero"/>
        <c:crossBetween val="between"/>
        <c:majorUnit val="50"/>
      </c:valAx>
    </c:plotArea>
    <c:legend>
      <c:legendPos val="r"/>
      <c:layout>
        <c:manualLayout>
          <c:xMode val="edge"/>
          <c:yMode val="edge"/>
          <c:x val="5.3148840159916673E-2"/>
          <c:y val="4.2974334666167156E-3"/>
          <c:w val="0.93814747821184463"/>
          <c:h val="0.10000017438646498"/>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9428774368412291"/>
          <c:y val="0.15788203557888641"/>
          <c:w val="0.74076471876575423"/>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1'!$C$2:$AX$2</c:f>
              <c:numCache>
                <c:formatCode>#,##0.00</c:formatCode>
                <c:ptCount val="48"/>
                <c:pt idx="0">
                  <c:v>2.0936689999999967</c:v>
                </c:pt>
                <c:pt idx="1">
                  <c:v>2.1673529999999999</c:v>
                </c:pt>
                <c:pt idx="2">
                  <c:v>2.2385760000000001</c:v>
                </c:pt>
                <c:pt idx="3">
                  <c:v>2.2937710000000044</c:v>
                </c:pt>
                <c:pt idx="4">
                  <c:v>2.3481730000000001</c:v>
                </c:pt>
                <c:pt idx="5">
                  <c:v>2.3845499999999977</c:v>
                </c:pt>
                <c:pt idx="6">
                  <c:v>2.3782029999999956</c:v>
                </c:pt>
                <c:pt idx="7">
                  <c:v>2.3936139999999977</c:v>
                </c:pt>
                <c:pt idx="8">
                  <c:v>2.3966309999999962</c:v>
                </c:pt>
                <c:pt idx="9">
                  <c:v>2.3848429999999956</c:v>
                </c:pt>
                <c:pt idx="10">
                  <c:v>2.388887</c:v>
                </c:pt>
                <c:pt idx="11">
                  <c:v>2.386717</c:v>
                </c:pt>
                <c:pt idx="12">
                  <c:v>2.4098589999999946</c:v>
                </c:pt>
                <c:pt idx="13">
                  <c:v>2.4301189999999977</c:v>
                </c:pt>
                <c:pt idx="14">
                  <c:v>2.44537</c:v>
                </c:pt>
                <c:pt idx="15">
                  <c:v>2.4359329999999977</c:v>
                </c:pt>
                <c:pt idx="16">
                  <c:v>2.4441280000000001</c:v>
                </c:pt>
                <c:pt idx="17">
                  <c:v>2.445913</c:v>
                </c:pt>
                <c:pt idx="18">
                  <c:v>2.44516</c:v>
                </c:pt>
                <c:pt idx="19">
                  <c:v>2.4618569999999962</c:v>
                </c:pt>
                <c:pt idx="20">
                  <c:v>2.4769179999999977</c:v>
                </c:pt>
                <c:pt idx="21">
                  <c:v>2.5022799999999967</c:v>
                </c:pt>
                <c:pt idx="22">
                  <c:v>2.5061089999999977</c:v>
                </c:pt>
                <c:pt idx="23">
                  <c:v>2.504054</c:v>
                </c:pt>
                <c:pt idx="24">
                  <c:v>2.5191719999999997</c:v>
                </c:pt>
                <c:pt idx="25">
                  <c:v>2.5322879999999977</c:v>
                </c:pt>
                <c:pt idx="26">
                  <c:v>2.5165689999999956</c:v>
                </c:pt>
                <c:pt idx="27">
                  <c:v>2.5188459999999933</c:v>
                </c:pt>
                <c:pt idx="28">
                  <c:v>2.5475650000000001</c:v>
                </c:pt>
                <c:pt idx="29">
                  <c:v>2.5113129999999977</c:v>
                </c:pt>
                <c:pt idx="30">
                  <c:v>2.5116759999999947</c:v>
                </c:pt>
                <c:pt idx="31">
                  <c:v>2.5281989999999999</c:v>
                </c:pt>
                <c:pt idx="32">
                  <c:v>2.4969809999999977</c:v>
                </c:pt>
                <c:pt idx="33">
                  <c:v>2.4997439999999962</c:v>
                </c:pt>
                <c:pt idx="34">
                  <c:v>2.4965789999999957</c:v>
                </c:pt>
                <c:pt idx="35">
                  <c:v>2.495371</c:v>
                </c:pt>
                <c:pt idx="36">
                  <c:v>2.483603</c:v>
                </c:pt>
                <c:pt idx="37">
                  <c:v>2.4718859999999956</c:v>
                </c:pt>
                <c:pt idx="38">
                  <c:v>2.4578799999999967</c:v>
                </c:pt>
                <c:pt idx="39">
                  <c:v>2.4769239999999977</c:v>
                </c:pt>
                <c:pt idx="40">
                  <c:v>2.4564809999999957</c:v>
                </c:pt>
                <c:pt idx="41">
                  <c:v>2.4789699999999977</c:v>
                </c:pt>
                <c:pt idx="42">
                  <c:v>2.524416</c:v>
                </c:pt>
                <c:pt idx="43">
                  <c:v>2.500006</c:v>
                </c:pt>
                <c:pt idx="44">
                  <c:v>2.5176970000000001</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1'!$C$1:$AX$1</c:f>
              <c:strCache>
                <c:ptCount val="48"/>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strCache>
            </c:strRef>
          </c:cat>
          <c:val>
            <c:numRef>
              <c:f>'PR chart 1'!$C$3:$AX$3</c:f>
              <c:numCache>
                <c:formatCode>#,##0.00</c:formatCode>
                <c:ptCount val="48"/>
                <c:pt idx="0">
                  <c:v>1.5503020000000001</c:v>
                </c:pt>
                <c:pt idx="1">
                  <c:v>1.6003270000000001</c:v>
                </c:pt>
                <c:pt idx="2">
                  <c:v>1.6457299999999977</c:v>
                </c:pt>
                <c:pt idx="3">
                  <c:v>1.681225</c:v>
                </c:pt>
                <c:pt idx="4">
                  <c:v>1.7095739999999982</c:v>
                </c:pt>
                <c:pt idx="5">
                  <c:v>1.7311929999999998</c:v>
                </c:pt>
                <c:pt idx="6">
                  <c:v>1.7318269999999973</c:v>
                </c:pt>
                <c:pt idx="7">
                  <c:v>1.7392089999999998</c:v>
                </c:pt>
                <c:pt idx="8">
                  <c:v>1.7385670000000002</c:v>
                </c:pt>
                <c:pt idx="9">
                  <c:v>1.7280320000000002</c:v>
                </c:pt>
                <c:pt idx="10">
                  <c:v>1.7272880000000002</c:v>
                </c:pt>
                <c:pt idx="11">
                  <c:v>1.7214899999999982</c:v>
                </c:pt>
                <c:pt idx="12">
                  <c:v>1.7377219999999971</c:v>
                </c:pt>
                <c:pt idx="13">
                  <c:v>1.7388399999999982</c:v>
                </c:pt>
                <c:pt idx="14">
                  <c:v>1.7454379999999998</c:v>
                </c:pt>
                <c:pt idx="15">
                  <c:v>1.7489770000000002</c:v>
                </c:pt>
                <c:pt idx="16">
                  <c:v>1.7630550000000003</c:v>
                </c:pt>
                <c:pt idx="17">
                  <c:v>1.7659529999999999</c:v>
                </c:pt>
                <c:pt idx="18">
                  <c:v>1.7703700000000002</c:v>
                </c:pt>
                <c:pt idx="19">
                  <c:v>1.7770820000000003</c:v>
                </c:pt>
                <c:pt idx="20">
                  <c:v>1.7800259999999999</c:v>
                </c:pt>
                <c:pt idx="21">
                  <c:v>1.7821820000000017</c:v>
                </c:pt>
                <c:pt idx="22">
                  <c:v>1.7737820000000002</c:v>
                </c:pt>
                <c:pt idx="23">
                  <c:v>1.7583970000000002</c:v>
                </c:pt>
                <c:pt idx="24">
                  <c:v>1.7521239999999998</c:v>
                </c:pt>
                <c:pt idx="25">
                  <c:v>1.7459959999999977</c:v>
                </c:pt>
                <c:pt idx="26">
                  <c:v>1.7228899999999998</c:v>
                </c:pt>
                <c:pt idx="27">
                  <c:v>1.697802</c:v>
                </c:pt>
                <c:pt idx="28">
                  <c:v>1.686644</c:v>
                </c:pt>
                <c:pt idx="29">
                  <c:v>1.6401820000000025</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pt idx="39">
                  <c:v>1.5116649999999974</c:v>
                </c:pt>
                <c:pt idx="40">
                  <c:v>1.4891399999999977</c:v>
                </c:pt>
                <c:pt idx="41">
                  <c:v>1.4975239999999974</c:v>
                </c:pt>
                <c:pt idx="42">
                  <c:v>1.522349</c:v>
                </c:pt>
                <c:pt idx="43">
                  <c:v>1.497133999999998</c:v>
                </c:pt>
                <c:pt idx="44">
                  <c:v>1.5193159999999999</c:v>
                </c:pt>
              </c:numCache>
            </c:numRef>
          </c:val>
        </c:ser>
        <c:marker val="1"/>
        <c:axId val="79157504"/>
        <c:axId val="80721792"/>
      </c:lineChart>
      <c:catAx>
        <c:axId val="79157504"/>
        <c:scaling>
          <c:orientation val="minMax"/>
        </c:scaling>
        <c:axPos val="b"/>
        <c:tickLblPos val="nextTo"/>
        <c:crossAx val="80721792"/>
        <c:crosses val="autoZero"/>
        <c:auto val="1"/>
        <c:lblAlgn val="ctr"/>
        <c:lblOffset val="100"/>
        <c:tickLblSkip val="12"/>
        <c:tickMarkSkip val="12"/>
      </c:catAx>
      <c:valAx>
        <c:axId val="80721792"/>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928E-2"/>
              <c:y val="0.40222404491105285"/>
            </c:manualLayout>
          </c:layout>
        </c:title>
        <c:numFmt formatCode="#,##0.0" sourceLinked="0"/>
        <c:tickLblPos val="nextTo"/>
        <c:crossAx val="79157504"/>
        <c:crosses val="autoZero"/>
        <c:crossBetween val="between"/>
        <c:majorUnit val="0.2"/>
      </c:valAx>
    </c:plotArea>
    <c:legend>
      <c:legendPos val="r"/>
      <c:layout>
        <c:manualLayout>
          <c:xMode val="edge"/>
          <c:yMode val="edge"/>
          <c:x val="0.23450000000000004"/>
          <c:y val="3.2023549139690875E-2"/>
          <c:w val="0.48494444444444634"/>
          <c:h val="9.7989938757655284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2508127817950918"/>
          <c:y val="5.3619302949061684E-2"/>
          <c:w val="0.67826662755712364"/>
          <c:h val="0.77388324020155064"/>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'11</c:v>
                </c:pt>
                <c:pt idx="1">
                  <c:v>'12</c:v>
                </c:pt>
                <c:pt idx="2">
                  <c:v>'13</c:v>
                </c:pt>
              </c:strCache>
            </c:strRef>
          </c:cat>
          <c:val>
            <c:numRef>
              <c:f>'PR chart 2'!$D$47:$F$47</c:f>
              <c:numCache>
                <c:formatCode>#,##0</c:formatCode>
                <c:ptCount val="3"/>
                <c:pt idx="0">
                  <c:v>1889.376</c:v>
                </c:pt>
                <c:pt idx="1">
                  <c:v>1882.3029999999999</c:v>
                </c:pt>
                <c:pt idx="2">
                  <c:v>1904.6289999999999</c:v>
                </c:pt>
              </c:numCache>
            </c:numRef>
          </c:val>
        </c:ser>
        <c:gapWidth val="48"/>
        <c:axId val="97134080"/>
        <c:axId val="97135616"/>
      </c:barChart>
      <c:catAx>
        <c:axId val="97134080"/>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7135616"/>
        <c:crosses val="autoZero"/>
        <c:auto val="1"/>
        <c:lblAlgn val="ctr"/>
        <c:lblOffset val="100"/>
      </c:catAx>
      <c:valAx>
        <c:axId val="97135616"/>
        <c:scaling>
          <c:orientation val="minMax"/>
          <c:max val="1925"/>
          <c:min val="1850"/>
        </c:scaling>
        <c:axPos val="l"/>
        <c:majorGridlines/>
        <c:title>
          <c:tx>
            <c:rich>
              <a:bodyPr rot="-5400000" vert="horz"/>
              <a:lstStyle/>
              <a:p>
                <a:pPr>
                  <a:defRPr b="1"/>
                </a:pPr>
                <a:r>
                  <a:rPr lang="en-US" b="1"/>
                  <a:t>Thousands</a:t>
                </a:r>
              </a:p>
            </c:rich>
          </c:tx>
          <c:layout>
            <c:manualLayout>
              <c:xMode val="edge"/>
              <c:yMode val="edge"/>
              <c:x val="8.9225964755744198E-3"/>
              <c:y val="0.30487045123417822"/>
            </c:manualLayout>
          </c:layout>
        </c:title>
        <c:numFmt formatCode="#,##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97134080"/>
        <c:crosses val="autoZero"/>
        <c:crossBetween val="between"/>
        <c:majorUnit val="25"/>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michaa</cp:lastModifiedBy>
  <cp:revision>3</cp:revision>
  <cp:lastPrinted>2013-08-21T14:06:00Z</cp:lastPrinted>
  <dcterms:created xsi:type="dcterms:W3CDTF">2013-10-24T09:40:00Z</dcterms:created>
  <dcterms:modified xsi:type="dcterms:W3CDTF">2013-10-24T11:45:00Z</dcterms:modified>
</cp:coreProperties>
</file>