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70" w:rsidRPr="00440369" w:rsidRDefault="00C80E70" w:rsidP="007430A2">
      <w:pPr>
        <w:pStyle w:val="Heading1"/>
        <w:ind w:left="0" w:right="142" w:firstLine="0"/>
        <w:rPr>
          <w:rFonts w:ascii="Arial" w:eastAsiaTheme="minorEastAsia" w:hAnsi="Arial" w:cs="Arial"/>
          <w:bCs/>
          <w:color w:val="1074CB"/>
          <w:sz w:val="40"/>
          <w:szCs w:val="40"/>
        </w:rPr>
      </w:pPr>
      <w:bookmarkStart w:id="0" w:name="_GoBack"/>
      <w:bookmarkEnd w:id="0"/>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736FB6" w:rsidP="006B3606">
      <w:pPr>
        <w:pStyle w:val="Heading1"/>
        <w:ind w:right="142"/>
      </w:pPr>
      <w:r>
        <w:rPr>
          <w:rFonts w:ascii="Arial" w:eastAsiaTheme="minorEastAsia" w:hAnsi="Arial" w:cs="Arial"/>
          <w:b w:val="0"/>
          <w:bCs/>
          <w:color w:val="1074CB"/>
          <w:sz w:val="44"/>
          <w:szCs w:val="44"/>
        </w:rPr>
        <w:t>23 October</w:t>
      </w:r>
      <w:r w:rsidR="006B3606" w:rsidRPr="00440369">
        <w:rPr>
          <w:rFonts w:ascii="Arial" w:eastAsiaTheme="minorEastAsia" w:hAnsi="Arial" w:cs="Arial"/>
          <w:b w:val="0"/>
          <w:bCs/>
          <w:color w:val="1074CB"/>
          <w:sz w:val="44"/>
          <w:szCs w:val="44"/>
        </w:rPr>
        <w:t xml:space="preserve"> 2014</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September</w:t>
      </w:r>
      <w:r w:rsidR="009511F2">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6B3606">
        <w:rPr>
          <w:rFonts w:ascii="Arial" w:eastAsiaTheme="minorEastAsia" w:hAnsi="Arial" w:cs="Arial"/>
          <w:b w:val="0"/>
          <w:bCs/>
          <w:color w:val="1074CB"/>
          <w:sz w:val="28"/>
          <w:szCs w:val="28"/>
        </w:rPr>
        <w:t>4</w:t>
      </w:r>
      <w:r w:rsidR="006B3606" w:rsidRPr="00696C6A">
        <w:rPr>
          <w:rFonts w:ascii="Arial" w:eastAsiaTheme="minorEastAsia" w:hAnsi="Arial" w:cs="Arial"/>
          <w:b w:val="0"/>
          <w:bCs/>
          <w:color w:val="1074CB"/>
          <w:sz w:val="28"/>
          <w:szCs w:val="28"/>
        </w:rPr>
        <w:t>)</w:t>
      </w:r>
    </w:p>
    <w:p w:rsidR="00C80E70" w:rsidRPr="007B7D91" w:rsidRDefault="00A93760" w:rsidP="00C80E70">
      <w:r>
        <w:rPr>
          <w:rFonts w:ascii="Arial" w:eastAsiaTheme="minorEastAsia" w:hAnsi="Arial" w:cs="Arial"/>
          <w:b/>
          <w:bCs/>
          <w:noProof/>
          <w:color w:val="1074CB"/>
          <w:sz w:val="20"/>
        </w:rPr>
        <mc:AlternateContent>
          <mc:Choice Requires="wps">
            <w:drawing>
              <wp:anchor distT="4294967294" distB="4294967294" distL="114300" distR="114300" simplePos="0" relativeHeight="251666432" behindDoc="0" locked="0" layoutInCell="1" allowOverlap="1" wp14:anchorId="0454BD9E" wp14:editId="41FB0B86">
                <wp:simplePos x="0" y="0"/>
                <wp:positionH relativeFrom="column">
                  <wp:posOffset>6985</wp:posOffset>
                </wp:positionH>
                <wp:positionV relativeFrom="paragraph">
                  <wp:posOffset>46989</wp:posOffset>
                </wp:positionV>
                <wp:extent cx="5892800" cy="0"/>
                <wp:effectExtent l="0" t="0" r="12700"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bp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" strokecolor="#1074cb"/>
            </w:pict>
          </mc:Fallback>
        </mc:AlternateContent>
      </w:r>
    </w:p>
    <w:p w:rsidR="00867D0B" w:rsidRDefault="00867D0B" w:rsidP="00D12474">
      <w:pPr>
        <w:rPr>
          <w:rFonts w:cs="Times"/>
          <w:sz w:val="10"/>
          <w:szCs w:val="10"/>
        </w:rPr>
      </w:pPr>
    </w:p>
    <w:p w:rsidR="00867D0B" w:rsidRDefault="00867D0B" w:rsidP="00D12474">
      <w:pPr>
        <w:rPr>
          <w:rFonts w:cs="Times"/>
          <w:sz w:val="10"/>
          <w:szCs w:val="10"/>
        </w:rPr>
      </w:pPr>
    </w:p>
    <w:p w:rsidR="004C6418" w:rsidRPr="00924274" w:rsidRDefault="00D12474" w:rsidP="004C6418">
      <w:pPr>
        <w:pStyle w:val="Heading1"/>
        <w:tabs>
          <w:tab w:val="right" w:pos="8907"/>
        </w:tabs>
        <w:ind w:left="0" w:right="425" w:firstLine="0"/>
        <w:rPr>
          <w:rFonts w:ascii="Arial" w:eastAsiaTheme="minorEastAsia" w:hAnsi="Arial" w:cs="Arial"/>
          <w:bCs/>
          <w:color w:val="1074CB"/>
          <w:sz w:val="36"/>
          <w:szCs w:val="36"/>
        </w:rPr>
      </w:pPr>
      <w:r w:rsidRPr="006364F0">
        <w:rPr>
          <w:rFonts w:cs="Times"/>
          <w:sz w:val="10"/>
          <w:szCs w:val="10"/>
        </w:rPr>
        <w:t> </w:t>
      </w:r>
      <w:r w:rsidR="004C6418">
        <w:rPr>
          <w:rFonts w:ascii="Arial" w:eastAsiaTheme="minorEastAsia" w:hAnsi="Arial" w:cs="Arial"/>
          <w:bCs/>
          <w:color w:val="1074CB"/>
          <w:sz w:val="36"/>
          <w:szCs w:val="36"/>
        </w:rPr>
        <w:t>CV output down but light at the end of the tunnel</w:t>
      </w:r>
    </w:p>
    <w:p w:rsidR="00D12474" w:rsidRPr="006364F0" w:rsidRDefault="00D12474" w:rsidP="00D12474">
      <w:r w:rsidRPr="006364F0">
        <w:rPr>
          <w:sz w:val="10"/>
          <w:szCs w:val="10"/>
        </w:rPr>
        <w:t> </w:t>
      </w:r>
    </w:p>
    <w:p w:rsidR="00736FB6" w:rsidRDefault="00B142C0" w:rsidP="00207B1F">
      <w:pPr>
        <w:numPr>
          <w:ilvl w:val="0"/>
          <w:numId w:val="5"/>
        </w:numPr>
        <w:spacing w:line="360" w:lineRule="auto"/>
        <w:rPr>
          <w:sz w:val="20"/>
        </w:rPr>
      </w:pPr>
      <w:r>
        <w:rPr>
          <w:rFonts w:ascii="Arial" w:hAnsi="Arial" w:cs="Arial"/>
          <w:sz w:val="20"/>
        </w:rPr>
        <w:t xml:space="preserve">Overall </w:t>
      </w:r>
      <w:r w:rsidR="00361AC4">
        <w:rPr>
          <w:rFonts w:ascii="Arial" w:hAnsi="Arial" w:cs="Arial"/>
          <w:sz w:val="20"/>
        </w:rPr>
        <w:t xml:space="preserve">UK commercial vehicle production </w:t>
      </w:r>
      <w:r w:rsidR="00215AA6">
        <w:rPr>
          <w:rFonts w:ascii="Arial" w:hAnsi="Arial" w:cs="Arial"/>
          <w:sz w:val="20"/>
        </w:rPr>
        <w:t xml:space="preserve">fell by </w:t>
      </w:r>
      <w:r w:rsidR="00867D0B">
        <w:rPr>
          <w:rFonts w:ascii="Arial" w:hAnsi="Arial" w:cs="Arial"/>
          <w:sz w:val="20"/>
        </w:rPr>
        <w:t>2,179 units</w:t>
      </w:r>
      <w:r w:rsidR="00215AA6">
        <w:rPr>
          <w:rFonts w:ascii="Arial" w:hAnsi="Arial" w:cs="Arial"/>
          <w:sz w:val="20"/>
        </w:rPr>
        <w:t xml:space="preserve"> </w:t>
      </w:r>
      <w:r>
        <w:rPr>
          <w:rFonts w:ascii="Arial" w:hAnsi="Arial" w:cs="Arial"/>
          <w:sz w:val="20"/>
        </w:rPr>
        <w:t xml:space="preserve">year-on-year despite </w:t>
      </w:r>
      <w:r w:rsidR="00215AA6">
        <w:rPr>
          <w:rFonts w:ascii="Arial" w:hAnsi="Arial" w:cs="Arial"/>
          <w:sz w:val="20"/>
        </w:rPr>
        <w:t xml:space="preserve">production </w:t>
      </w:r>
      <w:r w:rsidR="00736FB6">
        <w:rPr>
          <w:rFonts w:ascii="Arial" w:hAnsi="Arial" w:cs="Arial"/>
          <w:sz w:val="20"/>
        </w:rPr>
        <w:t>of</w:t>
      </w:r>
      <w:r w:rsidR="00215AA6">
        <w:rPr>
          <w:rFonts w:ascii="Arial" w:hAnsi="Arial" w:cs="Arial"/>
          <w:sz w:val="20"/>
        </w:rPr>
        <w:t xml:space="preserve"> </w:t>
      </w:r>
      <w:r>
        <w:rPr>
          <w:rFonts w:ascii="Arial" w:hAnsi="Arial" w:cs="Arial"/>
          <w:sz w:val="20"/>
        </w:rPr>
        <w:t>certain new models beginning to ramp</w:t>
      </w:r>
      <w:r w:rsidR="00215AA6">
        <w:rPr>
          <w:rFonts w:ascii="Arial" w:hAnsi="Arial" w:cs="Arial"/>
          <w:sz w:val="20"/>
        </w:rPr>
        <w:t xml:space="preserve"> up.</w:t>
      </w:r>
    </w:p>
    <w:p w:rsidR="00D12474" w:rsidRPr="00736FB6" w:rsidRDefault="00736FB6" w:rsidP="00207B1F">
      <w:pPr>
        <w:numPr>
          <w:ilvl w:val="0"/>
          <w:numId w:val="5"/>
        </w:numPr>
        <w:spacing w:line="360" w:lineRule="auto"/>
        <w:rPr>
          <w:sz w:val="20"/>
        </w:rPr>
      </w:pPr>
      <w:r>
        <w:rPr>
          <w:rFonts w:ascii="Arial" w:hAnsi="Arial" w:cs="Arial"/>
          <w:sz w:val="20"/>
        </w:rPr>
        <w:t xml:space="preserve">Output for year-to-date down by a quarter (25.2%) due to plant restructuring </w:t>
      </w:r>
      <w:r w:rsidR="00B142C0">
        <w:rPr>
          <w:rFonts w:ascii="Arial" w:hAnsi="Arial" w:cs="Arial"/>
          <w:sz w:val="20"/>
        </w:rPr>
        <w:t>over the past</w:t>
      </w:r>
      <w:r>
        <w:rPr>
          <w:rFonts w:ascii="Arial" w:hAnsi="Arial" w:cs="Arial"/>
          <w:sz w:val="20"/>
        </w:rPr>
        <w:t xml:space="preserve"> year</w:t>
      </w:r>
      <w:r w:rsidR="00D12474" w:rsidRPr="00736FB6">
        <w:rPr>
          <w:rFonts w:ascii="Arial" w:hAnsi="Arial" w:cs="Arial"/>
          <w:sz w:val="20"/>
        </w:rPr>
        <w:t>.</w:t>
      </w:r>
    </w:p>
    <w:p w:rsidR="009D44F7" w:rsidRPr="00B857A6" w:rsidRDefault="00B142C0" w:rsidP="00207B1F">
      <w:pPr>
        <w:numPr>
          <w:ilvl w:val="0"/>
          <w:numId w:val="5"/>
        </w:numPr>
        <w:spacing w:line="360" w:lineRule="auto"/>
        <w:rPr>
          <w:sz w:val="20"/>
        </w:rPr>
      </w:pPr>
      <w:r>
        <w:rPr>
          <w:rFonts w:ascii="Arial" w:hAnsi="Arial" w:cs="Arial"/>
          <w:sz w:val="20"/>
        </w:rPr>
        <w:t>Exports</w:t>
      </w:r>
      <w:r w:rsidR="00865D45">
        <w:rPr>
          <w:rFonts w:ascii="Arial" w:hAnsi="Arial" w:cs="Arial"/>
          <w:sz w:val="20"/>
        </w:rPr>
        <w:t xml:space="preserve"> increase</w:t>
      </w:r>
      <w:r w:rsidR="008D1E45">
        <w:rPr>
          <w:rFonts w:ascii="Arial" w:hAnsi="Arial" w:cs="Arial"/>
          <w:sz w:val="20"/>
        </w:rPr>
        <w:t xml:space="preserve">d for the first time </w:t>
      </w:r>
      <w:r>
        <w:rPr>
          <w:rFonts w:ascii="Arial" w:hAnsi="Arial" w:cs="Arial"/>
          <w:sz w:val="20"/>
        </w:rPr>
        <w:t>in</w:t>
      </w:r>
      <w:r w:rsidR="008D1E45">
        <w:rPr>
          <w:rFonts w:ascii="Arial" w:hAnsi="Arial" w:cs="Arial"/>
          <w:sz w:val="20"/>
        </w:rPr>
        <w:t xml:space="preserve"> six months</w:t>
      </w:r>
      <w:r w:rsidR="00865D45">
        <w:rPr>
          <w:rFonts w:ascii="Arial" w:hAnsi="Arial" w:cs="Arial"/>
          <w:sz w:val="20"/>
        </w:rPr>
        <w:t xml:space="preserve"> </w:t>
      </w:r>
      <w:r>
        <w:rPr>
          <w:rFonts w:ascii="Arial" w:hAnsi="Arial" w:cs="Arial"/>
          <w:sz w:val="20"/>
        </w:rPr>
        <w:t xml:space="preserve">as the </w:t>
      </w:r>
      <w:r w:rsidR="008D1E45">
        <w:rPr>
          <w:rFonts w:ascii="Arial" w:hAnsi="Arial" w:cs="Arial"/>
          <w:sz w:val="20"/>
        </w:rPr>
        <w:t>European commercial vehicle market</w:t>
      </w:r>
      <w:r>
        <w:rPr>
          <w:rFonts w:ascii="Arial" w:hAnsi="Arial" w:cs="Arial"/>
          <w:sz w:val="20"/>
        </w:rPr>
        <w:t xml:space="preserve"> gradually recovers</w:t>
      </w:r>
      <w:r w:rsidR="009A5488">
        <w:rPr>
          <w:rFonts w:ascii="Arial" w:hAnsi="Arial" w:cs="Arial"/>
          <w:sz w:val="20"/>
        </w:rPr>
        <w:t>.</w:t>
      </w:r>
    </w:p>
    <w:p w:rsidR="00B857A6" w:rsidRPr="00B857A6" w:rsidRDefault="00B857A6" w:rsidP="00B857A6">
      <w:pPr>
        <w:spacing w:line="360" w:lineRule="auto"/>
        <w:ind w:left="360"/>
        <w:rPr>
          <w:sz w:val="20"/>
        </w:rPr>
      </w:pPr>
    </w:p>
    <w:p w:rsidR="00D12474" w:rsidRDefault="00D12474" w:rsidP="009D44F7">
      <w:pPr>
        <w:spacing w:line="276" w:lineRule="auto"/>
      </w:pPr>
      <w:r w:rsidRPr="006364F0">
        <w:rPr>
          <w:rFonts w:ascii="Arial" w:hAnsi="Arial" w:cs="Arial"/>
          <w:sz w:val="20"/>
        </w:rPr>
        <w:t>"</w:t>
      </w:r>
      <w:r w:rsidR="001B2FFA">
        <w:rPr>
          <w:rFonts w:ascii="Arial" w:hAnsi="Arial" w:cs="Arial"/>
          <w:sz w:val="20"/>
        </w:rPr>
        <w:t xml:space="preserve">UK commercial vehicle production remained </w:t>
      </w:r>
      <w:r w:rsidR="00B142C0">
        <w:rPr>
          <w:rFonts w:ascii="Arial" w:hAnsi="Arial" w:cs="Arial"/>
          <w:sz w:val="20"/>
        </w:rPr>
        <w:t xml:space="preserve">negative </w:t>
      </w:r>
      <w:r w:rsidR="001B2FFA">
        <w:rPr>
          <w:rFonts w:ascii="Arial" w:hAnsi="Arial" w:cs="Arial"/>
          <w:sz w:val="20"/>
        </w:rPr>
        <w:t xml:space="preserve">in September, while key manufacturing facilities </w:t>
      </w:r>
      <w:r w:rsidR="00B142C0">
        <w:rPr>
          <w:rFonts w:ascii="Arial" w:hAnsi="Arial" w:cs="Arial"/>
          <w:sz w:val="20"/>
        </w:rPr>
        <w:t>adjust</w:t>
      </w:r>
      <w:r w:rsidR="00B4715D">
        <w:rPr>
          <w:rFonts w:ascii="Arial" w:hAnsi="Arial" w:cs="Arial"/>
          <w:sz w:val="20"/>
        </w:rPr>
        <w:t>ed</w:t>
      </w:r>
      <w:r w:rsidR="00B142C0">
        <w:rPr>
          <w:rFonts w:ascii="Arial" w:hAnsi="Arial" w:cs="Arial"/>
          <w:sz w:val="20"/>
        </w:rPr>
        <w:t xml:space="preserve"> to new models</w:t>
      </w:r>
      <w:r w:rsidR="00CB6220">
        <w:rPr>
          <w:rFonts w:ascii="Arial" w:hAnsi="Arial" w:cs="Arial"/>
          <w:sz w:val="20"/>
        </w:rPr>
        <w:t>,</w:t>
      </w:r>
      <w:r w:rsidRPr="006364F0">
        <w:rPr>
          <w:rFonts w:ascii="Arial" w:hAnsi="Arial" w:cs="Arial"/>
          <w:sz w:val="20"/>
        </w:rPr>
        <w:t>" said Mi</w:t>
      </w:r>
      <w:r w:rsidR="00B857A6">
        <w:rPr>
          <w:rFonts w:ascii="Arial" w:hAnsi="Arial" w:cs="Arial"/>
          <w:sz w:val="20"/>
        </w:rPr>
        <w:t xml:space="preserve">ke Hawes, SMMT Chief Executive. </w:t>
      </w:r>
      <w:r w:rsidRPr="006364F0">
        <w:rPr>
          <w:rFonts w:ascii="Arial" w:hAnsi="Arial" w:cs="Arial"/>
          <w:sz w:val="20"/>
        </w:rPr>
        <w:t>"</w:t>
      </w:r>
      <w:r w:rsidR="001B2FFA">
        <w:rPr>
          <w:rFonts w:ascii="Arial" w:hAnsi="Arial" w:cs="Arial"/>
          <w:sz w:val="20"/>
        </w:rPr>
        <w:t>We expect monthly output to level off in the coming months, with the restructuring of operations last year now only affecting the year-to-date</w:t>
      </w:r>
      <w:r w:rsidR="00B142C0">
        <w:rPr>
          <w:rFonts w:ascii="Arial" w:hAnsi="Arial" w:cs="Arial"/>
          <w:sz w:val="20"/>
        </w:rPr>
        <w:t xml:space="preserve"> figures</w:t>
      </w:r>
      <w:r w:rsidR="001B2FFA">
        <w:rPr>
          <w:rFonts w:ascii="Arial" w:hAnsi="Arial" w:cs="Arial"/>
          <w:sz w:val="20"/>
        </w:rPr>
        <w:t>.</w:t>
      </w:r>
      <w:r w:rsidRPr="006364F0">
        <w:rPr>
          <w:rFonts w:ascii="Arial" w:hAnsi="Arial" w:cs="Arial"/>
          <w:sz w:val="20"/>
        </w:rPr>
        <w:t>"</w:t>
      </w:r>
    </w:p>
    <w:p w:rsidR="00D6336B" w:rsidRPr="00E714BD" w:rsidRDefault="00D6336B" w:rsidP="00B94DB1">
      <w:pPr>
        <w:rPr>
          <w:rFonts w:ascii="Arial" w:hAnsi="Arial" w:cs="Arial"/>
          <w:sz w:val="20"/>
          <w:highlight w:val="yellow"/>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093"/>
        <w:gridCol w:w="1276"/>
        <w:gridCol w:w="1134"/>
        <w:gridCol w:w="1275"/>
        <w:gridCol w:w="1276"/>
        <w:gridCol w:w="1134"/>
        <w:gridCol w:w="1276"/>
      </w:tblGrid>
      <w:tr w:rsidR="001B2FFA" w:rsidRPr="00325254" w:rsidTr="00487086">
        <w:trPr>
          <w:trHeight w:val="270"/>
        </w:trPr>
        <w:tc>
          <w:tcPr>
            <w:tcW w:w="2093" w:type="dxa"/>
            <w:noWrap/>
            <w:hideMark/>
          </w:tcPr>
          <w:p w:rsidR="001B2FFA" w:rsidRPr="001B2FFA" w:rsidRDefault="001B2FFA">
            <w:pPr>
              <w:jc w:val="center"/>
              <w:rPr>
                <w:rFonts w:ascii="Arial" w:hAnsi="Arial" w:cs="Arial"/>
                <w:b/>
                <w:color w:val="002060"/>
                <w:sz w:val="20"/>
              </w:rPr>
            </w:pPr>
            <w:r w:rsidRPr="001B2FFA">
              <w:rPr>
                <w:rFonts w:ascii="Arial" w:hAnsi="Arial" w:cs="Arial"/>
                <w:b/>
                <w:color w:val="002060"/>
                <w:sz w:val="20"/>
              </w:rPr>
              <w:t>CV manufacturing</w:t>
            </w:r>
          </w:p>
        </w:tc>
        <w:tc>
          <w:tcPr>
            <w:tcW w:w="1276" w:type="dxa"/>
            <w:noWrap/>
            <w:vAlign w:val="bottom"/>
            <w:hideMark/>
          </w:tcPr>
          <w:p w:rsidR="001B2FFA" w:rsidRPr="001B2FFA" w:rsidRDefault="001B2FFA">
            <w:pPr>
              <w:jc w:val="center"/>
              <w:rPr>
                <w:rFonts w:ascii="Arial" w:hAnsi="Arial" w:cs="Arial"/>
                <w:b/>
                <w:color w:val="002060"/>
                <w:sz w:val="20"/>
              </w:rPr>
            </w:pPr>
            <w:r w:rsidRPr="001B2FFA">
              <w:rPr>
                <w:rFonts w:ascii="Arial" w:hAnsi="Arial" w:cs="Arial"/>
                <w:b/>
                <w:color w:val="002060"/>
                <w:sz w:val="20"/>
              </w:rPr>
              <w:t>Sep-13</w:t>
            </w:r>
          </w:p>
        </w:tc>
        <w:tc>
          <w:tcPr>
            <w:tcW w:w="1134" w:type="dxa"/>
            <w:noWrap/>
            <w:vAlign w:val="bottom"/>
            <w:hideMark/>
          </w:tcPr>
          <w:p w:rsidR="001B2FFA" w:rsidRPr="001B2FFA" w:rsidRDefault="001B2FFA">
            <w:pPr>
              <w:jc w:val="center"/>
              <w:rPr>
                <w:rFonts w:ascii="Arial" w:hAnsi="Arial" w:cs="Arial"/>
                <w:b/>
                <w:color w:val="002060"/>
                <w:sz w:val="20"/>
              </w:rPr>
            </w:pPr>
            <w:r w:rsidRPr="001B2FFA">
              <w:rPr>
                <w:rFonts w:ascii="Arial" w:hAnsi="Arial" w:cs="Arial"/>
                <w:b/>
                <w:color w:val="002060"/>
                <w:sz w:val="20"/>
              </w:rPr>
              <w:t>Sep-14</w:t>
            </w:r>
          </w:p>
        </w:tc>
        <w:tc>
          <w:tcPr>
            <w:tcW w:w="1275" w:type="dxa"/>
            <w:noWrap/>
            <w:vAlign w:val="bottom"/>
            <w:hideMark/>
          </w:tcPr>
          <w:p w:rsidR="001B2FFA" w:rsidRPr="001B2FFA" w:rsidRDefault="001B2FFA">
            <w:pPr>
              <w:jc w:val="center"/>
              <w:rPr>
                <w:rFonts w:ascii="Arial" w:hAnsi="Arial" w:cs="Arial"/>
                <w:b/>
                <w:color w:val="002060"/>
                <w:sz w:val="20"/>
              </w:rPr>
            </w:pPr>
            <w:r w:rsidRPr="001B2FFA">
              <w:rPr>
                <w:rFonts w:ascii="Arial" w:hAnsi="Arial" w:cs="Arial"/>
                <w:b/>
                <w:color w:val="002060"/>
                <w:sz w:val="20"/>
              </w:rPr>
              <w:t xml:space="preserve">% Change </w:t>
            </w:r>
          </w:p>
        </w:tc>
        <w:tc>
          <w:tcPr>
            <w:tcW w:w="1276" w:type="dxa"/>
            <w:noWrap/>
            <w:vAlign w:val="bottom"/>
            <w:hideMark/>
          </w:tcPr>
          <w:p w:rsidR="001B2FFA" w:rsidRPr="001B2FFA" w:rsidRDefault="001B2FFA">
            <w:pPr>
              <w:jc w:val="center"/>
              <w:rPr>
                <w:rFonts w:ascii="Arial" w:hAnsi="Arial" w:cs="Arial"/>
                <w:b/>
                <w:color w:val="002060"/>
                <w:sz w:val="20"/>
              </w:rPr>
            </w:pPr>
            <w:r w:rsidRPr="001B2FFA">
              <w:rPr>
                <w:rFonts w:ascii="Arial" w:hAnsi="Arial" w:cs="Arial"/>
                <w:b/>
                <w:color w:val="002060"/>
                <w:sz w:val="20"/>
              </w:rPr>
              <w:t>YTD-13</w:t>
            </w:r>
          </w:p>
        </w:tc>
        <w:tc>
          <w:tcPr>
            <w:tcW w:w="1134" w:type="dxa"/>
            <w:noWrap/>
            <w:vAlign w:val="bottom"/>
            <w:hideMark/>
          </w:tcPr>
          <w:p w:rsidR="001B2FFA" w:rsidRPr="001B2FFA" w:rsidRDefault="001B2FFA">
            <w:pPr>
              <w:jc w:val="center"/>
              <w:rPr>
                <w:rFonts w:ascii="Arial" w:hAnsi="Arial" w:cs="Arial"/>
                <w:b/>
                <w:color w:val="002060"/>
                <w:sz w:val="20"/>
              </w:rPr>
            </w:pPr>
            <w:r w:rsidRPr="001B2FFA">
              <w:rPr>
                <w:rFonts w:ascii="Arial" w:hAnsi="Arial" w:cs="Arial"/>
                <w:b/>
                <w:color w:val="002060"/>
                <w:sz w:val="20"/>
              </w:rPr>
              <w:t>YTD-14</w:t>
            </w:r>
          </w:p>
        </w:tc>
        <w:tc>
          <w:tcPr>
            <w:tcW w:w="1276" w:type="dxa"/>
            <w:noWrap/>
            <w:vAlign w:val="bottom"/>
            <w:hideMark/>
          </w:tcPr>
          <w:p w:rsidR="001B2FFA" w:rsidRPr="001B2FFA" w:rsidRDefault="001B2FFA">
            <w:pPr>
              <w:jc w:val="center"/>
              <w:rPr>
                <w:rFonts w:ascii="Arial" w:hAnsi="Arial" w:cs="Arial"/>
                <w:b/>
                <w:color w:val="002060"/>
                <w:sz w:val="20"/>
              </w:rPr>
            </w:pPr>
            <w:r w:rsidRPr="001B2FFA">
              <w:rPr>
                <w:rFonts w:ascii="Arial" w:hAnsi="Arial" w:cs="Arial"/>
                <w:b/>
                <w:color w:val="002060"/>
                <w:sz w:val="20"/>
              </w:rPr>
              <w:t>% Change</w:t>
            </w:r>
          </w:p>
        </w:tc>
      </w:tr>
      <w:tr w:rsidR="001B2FFA" w:rsidRPr="00325254" w:rsidTr="00487086">
        <w:trPr>
          <w:trHeight w:val="270"/>
        </w:trPr>
        <w:tc>
          <w:tcPr>
            <w:tcW w:w="2093" w:type="dxa"/>
            <w:noWrap/>
            <w:vAlign w:val="bottom"/>
            <w:hideMark/>
          </w:tcPr>
          <w:p w:rsidR="001B2FFA" w:rsidRPr="001B2FFA" w:rsidRDefault="001B2FFA">
            <w:pPr>
              <w:jc w:val="right"/>
              <w:rPr>
                <w:rFonts w:ascii="Arial" w:hAnsi="Arial" w:cs="Arial"/>
                <w:b/>
                <w:color w:val="002060"/>
                <w:sz w:val="20"/>
              </w:rPr>
            </w:pPr>
            <w:r w:rsidRPr="001B2FFA">
              <w:rPr>
                <w:rFonts w:ascii="Arial" w:hAnsi="Arial" w:cs="Arial"/>
                <w:b/>
                <w:color w:val="002060"/>
                <w:sz w:val="20"/>
              </w:rPr>
              <w:t>Total</w:t>
            </w:r>
          </w:p>
        </w:tc>
        <w:tc>
          <w:tcPr>
            <w:tcW w:w="1276" w:type="dxa"/>
            <w:noWrap/>
            <w:vAlign w:val="bottom"/>
            <w:hideMark/>
          </w:tcPr>
          <w:p w:rsidR="001B2FFA" w:rsidRPr="001B2FFA" w:rsidRDefault="001B2FFA">
            <w:pPr>
              <w:jc w:val="right"/>
              <w:rPr>
                <w:rFonts w:ascii="Arial" w:hAnsi="Arial" w:cs="Arial"/>
                <w:b/>
                <w:color w:val="002060"/>
                <w:sz w:val="20"/>
              </w:rPr>
            </w:pPr>
            <w:r w:rsidRPr="001B2FFA">
              <w:rPr>
                <w:rFonts w:ascii="Arial" w:hAnsi="Arial" w:cs="Arial"/>
                <w:b/>
                <w:color w:val="002060"/>
                <w:sz w:val="20"/>
              </w:rPr>
              <w:t>6,997</w:t>
            </w:r>
          </w:p>
        </w:tc>
        <w:tc>
          <w:tcPr>
            <w:tcW w:w="1134" w:type="dxa"/>
            <w:noWrap/>
            <w:vAlign w:val="bottom"/>
            <w:hideMark/>
          </w:tcPr>
          <w:p w:rsidR="001B2FFA" w:rsidRPr="001B2FFA" w:rsidRDefault="001B2FFA">
            <w:pPr>
              <w:jc w:val="right"/>
              <w:rPr>
                <w:rFonts w:ascii="Arial" w:hAnsi="Arial" w:cs="Arial"/>
                <w:b/>
                <w:color w:val="002060"/>
                <w:sz w:val="20"/>
              </w:rPr>
            </w:pPr>
            <w:r w:rsidRPr="001B2FFA">
              <w:rPr>
                <w:rFonts w:ascii="Arial" w:hAnsi="Arial" w:cs="Arial"/>
                <w:b/>
                <w:color w:val="002060"/>
                <w:sz w:val="20"/>
              </w:rPr>
              <w:t>4,818</w:t>
            </w:r>
          </w:p>
        </w:tc>
        <w:tc>
          <w:tcPr>
            <w:tcW w:w="1275" w:type="dxa"/>
            <w:noWrap/>
            <w:vAlign w:val="bottom"/>
            <w:hideMark/>
          </w:tcPr>
          <w:p w:rsidR="001B2FFA" w:rsidRPr="001B2FFA" w:rsidRDefault="001B2FFA">
            <w:pPr>
              <w:jc w:val="right"/>
              <w:rPr>
                <w:rFonts w:ascii="Arial" w:hAnsi="Arial" w:cs="Arial"/>
                <w:b/>
                <w:color w:val="002060"/>
                <w:sz w:val="20"/>
              </w:rPr>
            </w:pPr>
            <w:r w:rsidRPr="001B2FFA">
              <w:rPr>
                <w:rFonts w:ascii="Arial" w:hAnsi="Arial" w:cs="Arial"/>
                <w:b/>
                <w:color w:val="002060"/>
                <w:sz w:val="20"/>
              </w:rPr>
              <w:t>-31.1%</w:t>
            </w:r>
          </w:p>
        </w:tc>
        <w:tc>
          <w:tcPr>
            <w:tcW w:w="1276" w:type="dxa"/>
            <w:noWrap/>
            <w:vAlign w:val="bottom"/>
            <w:hideMark/>
          </w:tcPr>
          <w:p w:rsidR="001B2FFA" w:rsidRPr="001B2FFA" w:rsidRDefault="001B2FFA">
            <w:pPr>
              <w:jc w:val="right"/>
              <w:rPr>
                <w:rFonts w:ascii="Arial" w:hAnsi="Arial" w:cs="Arial"/>
                <w:b/>
                <w:color w:val="002060"/>
                <w:sz w:val="20"/>
              </w:rPr>
            </w:pPr>
            <w:r w:rsidRPr="001B2FFA">
              <w:rPr>
                <w:rFonts w:ascii="Arial" w:hAnsi="Arial" w:cs="Arial"/>
                <w:b/>
                <w:color w:val="002060"/>
                <w:sz w:val="20"/>
              </w:rPr>
              <w:t>67,887</w:t>
            </w:r>
          </w:p>
        </w:tc>
        <w:tc>
          <w:tcPr>
            <w:tcW w:w="1134" w:type="dxa"/>
            <w:noWrap/>
            <w:vAlign w:val="bottom"/>
            <w:hideMark/>
          </w:tcPr>
          <w:p w:rsidR="001B2FFA" w:rsidRPr="001B2FFA" w:rsidRDefault="001B2FFA">
            <w:pPr>
              <w:jc w:val="right"/>
              <w:rPr>
                <w:rFonts w:ascii="Arial" w:hAnsi="Arial" w:cs="Arial"/>
                <w:b/>
                <w:color w:val="002060"/>
                <w:sz w:val="20"/>
              </w:rPr>
            </w:pPr>
            <w:r w:rsidRPr="001B2FFA">
              <w:rPr>
                <w:rFonts w:ascii="Arial" w:hAnsi="Arial" w:cs="Arial"/>
                <w:b/>
                <w:color w:val="002060"/>
                <w:sz w:val="20"/>
              </w:rPr>
              <w:t>50,746</w:t>
            </w:r>
          </w:p>
        </w:tc>
        <w:tc>
          <w:tcPr>
            <w:tcW w:w="1276" w:type="dxa"/>
            <w:noWrap/>
            <w:vAlign w:val="bottom"/>
            <w:hideMark/>
          </w:tcPr>
          <w:p w:rsidR="001B2FFA" w:rsidRPr="001B2FFA" w:rsidRDefault="001B2FFA">
            <w:pPr>
              <w:jc w:val="right"/>
              <w:rPr>
                <w:rFonts w:ascii="Arial" w:hAnsi="Arial" w:cs="Arial"/>
                <w:b/>
                <w:color w:val="002060"/>
                <w:sz w:val="20"/>
              </w:rPr>
            </w:pPr>
            <w:r w:rsidRPr="001B2FFA">
              <w:rPr>
                <w:rFonts w:ascii="Arial" w:hAnsi="Arial" w:cs="Arial"/>
                <w:b/>
                <w:color w:val="002060"/>
                <w:sz w:val="20"/>
              </w:rPr>
              <w:t>-25.2%</w:t>
            </w:r>
          </w:p>
        </w:tc>
      </w:tr>
      <w:tr w:rsidR="001B2FFA" w:rsidRPr="00325254" w:rsidTr="00487086">
        <w:trPr>
          <w:trHeight w:val="270"/>
        </w:trPr>
        <w:tc>
          <w:tcPr>
            <w:tcW w:w="2093"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Home</w:t>
            </w:r>
          </w:p>
        </w:tc>
        <w:tc>
          <w:tcPr>
            <w:tcW w:w="1276"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3,817</w:t>
            </w:r>
          </w:p>
        </w:tc>
        <w:tc>
          <w:tcPr>
            <w:tcW w:w="1134"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2,522</w:t>
            </w:r>
          </w:p>
        </w:tc>
        <w:tc>
          <w:tcPr>
            <w:tcW w:w="1275"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-33.9%</w:t>
            </w:r>
          </w:p>
        </w:tc>
        <w:tc>
          <w:tcPr>
            <w:tcW w:w="1276"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31,600</w:t>
            </w:r>
          </w:p>
        </w:tc>
        <w:tc>
          <w:tcPr>
            <w:tcW w:w="1134"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24,474</w:t>
            </w:r>
          </w:p>
        </w:tc>
        <w:tc>
          <w:tcPr>
            <w:tcW w:w="1276"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-22.6%</w:t>
            </w:r>
          </w:p>
        </w:tc>
      </w:tr>
      <w:tr w:rsidR="001B2FFA" w:rsidRPr="00325254" w:rsidTr="00487086">
        <w:trPr>
          <w:trHeight w:val="270"/>
        </w:trPr>
        <w:tc>
          <w:tcPr>
            <w:tcW w:w="2093"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Export</w:t>
            </w:r>
          </w:p>
        </w:tc>
        <w:tc>
          <w:tcPr>
            <w:tcW w:w="1276"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3,180</w:t>
            </w:r>
          </w:p>
        </w:tc>
        <w:tc>
          <w:tcPr>
            <w:tcW w:w="1134"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2,296</w:t>
            </w:r>
          </w:p>
        </w:tc>
        <w:tc>
          <w:tcPr>
            <w:tcW w:w="1275"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-27.8%</w:t>
            </w:r>
          </w:p>
        </w:tc>
        <w:tc>
          <w:tcPr>
            <w:tcW w:w="1276"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36,287</w:t>
            </w:r>
          </w:p>
        </w:tc>
        <w:tc>
          <w:tcPr>
            <w:tcW w:w="1134"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26,272</w:t>
            </w:r>
          </w:p>
        </w:tc>
        <w:tc>
          <w:tcPr>
            <w:tcW w:w="1276"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-27.6%</w:t>
            </w:r>
          </w:p>
        </w:tc>
      </w:tr>
      <w:tr w:rsidR="001B2FFA" w:rsidRPr="00325254" w:rsidTr="00487086">
        <w:trPr>
          <w:trHeight w:val="270"/>
        </w:trPr>
        <w:tc>
          <w:tcPr>
            <w:tcW w:w="2093"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 export</w:t>
            </w:r>
          </w:p>
        </w:tc>
        <w:tc>
          <w:tcPr>
            <w:tcW w:w="1276"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45.4%</w:t>
            </w:r>
          </w:p>
        </w:tc>
        <w:tc>
          <w:tcPr>
            <w:tcW w:w="1134"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47.7%</w:t>
            </w:r>
          </w:p>
        </w:tc>
        <w:tc>
          <w:tcPr>
            <w:tcW w:w="1275"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 </w:t>
            </w:r>
          </w:p>
        </w:tc>
        <w:tc>
          <w:tcPr>
            <w:tcW w:w="1276"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53.5%</w:t>
            </w:r>
          </w:p>
        </w:tc>
        <w:tc>
          <w:tcPr>
            <w:tcW w:w="1134"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51.8%</w:t>
            </w:r>
          </w:p>
        </w:tc>
        <w:tc>
          <w:tcPr>
            <w:tcW w:w="1276" w:type="dxa"/>
            <w:noWrap/>
            <w:vAlign w:val="bottom"/>
            <w:hideMark/>
          </w:tcPr>
          <w:p w:rsidR="001B2FFA" w:rsidRPr="001B2FFA" w:rsidRDefault="001B2FFA">
            <w:pPr>
              <w:jc w:val="right"/>
              <w:rPr>
                <w:rFonts w:ascii="Arial" w:hAnsi="Arial" w:cs="Arial"/>
                <w:sz w:val="20"/>
              </w:rPr>
            </w:pPr>
            <w:r w:rsidRPr="001B2FFA">
              <w:rPr>
                <w:rFonts w:ascii="Arial" w:hAnsi="Arial" w:cs="Arial"/>
                <w:sz w:val="20"/>
              </w:rPr>
              <w:t> </w:t>
            </w:r>
          </w:p>
        </w:tc>
      </w:tr>
    </w:tbl>
    <w:p w:rsidR="00142AE3" w:rsidRPr="00325254" w:rsidRDefault="00142AE3" w:rsidP="00142AE3">
      <w:pPr>
        <w:rPr>
          <w:rFonts w:ascii="Arial" w:hAnsi="Arial" w:cs="Arial"/>
          <w:b/>
          <w:color w:val="0D2255"/>
          <w:sz w:val="20"/>
        </w:rPr>
      </w:pPr>
    </w:p>
    <w:p w:rsidR="00142AE3" w:rsidRDefault="00142AE3" w:rsidP="00142AE3">
      <w:pPr>
        <w:rPr>
          <w:rFonts w:ascii="Arial" w:hAnsi="Arial" w:cs="Arial"/>
          <w:b/>
          <w:color w:val="0D2255"/>
          <w:sz w:val="20"/>
        </w:rPr>
      </w:pPr>
      <w:r w:rsidRPr="00325254">
        <w:rPr>
          <w:rFonts w:ascii="Arial" w:hAnsi="Arial" w:cs="Arial"/>
          <w:b/>
          <w:color w:val="0D2255"/>
          <w:sz w:val="20"/>
        </w:rPr>
        <w:t>CV output rolling year total</w:t>
      </w:r>
      <w:r w:rsidRPr="00325254">
        <w:rPr>
          <w:rFonts w:ascii="Arial" w:hAnsi="Arial" w:cs="Arial"/>
          <w:b/>
          <w:color w:val="0D2255"/>
          <w:sz w:val="20"/>
        </w:rPr>
        <w:tab/>
      </w:r>
      <w:r w:rsidRPr="00325254">
        <w:rPr>
          <w:rFonts w:ascii="Arial" w:hAnsi="Arial" w:cs="Arial"/>
          <w:b/>
          <w:color w:val="0D2255"/>
          <w:sz w:val="20"/>
        </w:rPr>
        <w:tab/>
        <w:t xml:space="preserve">       </w:t>
      </w:r>
      <w:r w:rsidRPr="00325254">
        <w:rPr>
          <w:rFonts w:ascii="Arial" w:hAnsi="Arial" w:cs="Arial"/>
          <w:b/>
          <w:color w:val="0D2255"/>
          <w:sz w:val="20"/>
        </w:rPr>
        <w:tab/>
        <w:t xml:space="preserve">         CV output, year-to-date, 2012-2014</w:t>
      </w:r>
    </w:p>
    <w:p w:rsidR="00A93760" w:rsidRDefault="00A93760" w:rsidP="00142AE3">
      <w:pPr>
        <w:rPr>
          <w:rFonts w:ascii="Arial" w:hAnsi="Arial" w:cs="Arial"/>
          <w:b/>
          <w:color w:val="0D2255"/>
          <w:sz w:val="20"/>
        </w:rPr>
      </w:pPr>
    </w:p>
    <w:p w:rsidR="000B47D6" w:rsidRPr="00247A08" w:rsidRDefault="00A93760" w:rsidP="00C4074C">
      <w:pPr>
        <w:rPr>
          <w:rFonts w:ascii="Arial" w:hAnsi="Arial" w:cs="Arial"/>
          <w:b/>
          <w:color w:val="0D2255"/>
          <w:sz w:val="20"/>
        </w:rPr>
      </w:pPr>
      <w:r>
        <w:rPr>
          <w:noProof/>
        </w:rPr>
        <w:drawing>
          <wp:inline distT="0" distB="0" distL="0" distR="0" wp14:anchorId="55DC8F69" wp14:editId="09769FB1">
            <wp:extent cx="2525842" cy="230099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rial" w:hAnsi="Arial" w:cs="Arial"/>
          <w:b/>
          <w:color w:val="0D2255"/>
          <w:sz w:val="20"/>
        </w:rPr>
        <w:t xml:space="preserve">         </w:t>
      </w:r>
      <w:r>
        <w:rPr>
          <w:noProof/>
        </w:rPr>
        <w:drawing>
          <wp:inline distT="0" distB="0" distL="0" distR="0" wp14:anchorId="26D8F609" wp14:editId="6C637B9A">
            <wp:extent cx="2870617" cy="224102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0B47D6" w:rsidRPr="00247A08" w:rsidSect="00A72CAD">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62" w:rsidRDefault="008F0A62" w:rsidP="00C80E70">
      <w:r>
        <w:separator/>
      </w:r>
    </w:p>
  </w:endnote>
  <w:endnote w:type="continuationSeparator" w:id="0">
    <w:p w:rsidR="008F0A62" w:rsidRDefault="008F0A62"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83" w:rsidRPr="00853E71" w:rsidRDefault="00BB5F83" w:rsidP="007A1EA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BB5F83" w:rsidRPr="00853E71" w:rsidRDefault="00BB5F83"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B5F83" w:rsidRPr="00853E71" w:rsidRDefault="00BB5F83" w:rsidP="007A1EAA">
    <w:pPr>
      <w:spacing w:afterAutospacing="1"/>
      <w:contextualSpacing/>
      <w:rPr>
        <w:rFonts w:ascii="Arial" w:eastAsia="Times New Roman" w:hAnsi="Arial" w:cs="Arial"/>
        <w:color w:val="1074CB"/>
        <w:sz w:val="16"/>
        <w:szCs w:val="16"/>
      </w:rPr>
    </w:pPr>
  </w:p>
  <w:p w:rsidR="00BB5F83" w:rsidRPr="00853E71" w:rsidRDefault="00BB5F83"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BB5F83" w:rsidRPr="00853E71" w:rsidRDefault="00BB5F83" w:rsidP="007A1EAA">
    <w:pPr>
      <w:spacing w:afterAutospacing="1"/>
      <w:contextualSpacing/>
      <w:rPr>
        <w:rFonts w:ascii="Arial" w:eastAsia="Times New Roman" w:hAnsi="Arial" w:cs="Arial"/>
        <w:color w:val="1074CB"/>
        <w:sz w:val="16"/>
        <w:szCs w:val="16"/>
      </w:rPr>
    </w:pPr>
  </w:p>
  <w:p w:rsidR="00BB5F83" w:rsidRPr="00853E71" w:rsidRDefault="00BB5F83" w:rsidP="007A1EA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BB5F83" w:rsidRPr="00853E71" w:rsidRDefault="00BB5F83" w:rsidP="007A1EAA">
    <w:pPr>
      <w:spacing w:afterAutospacing="1"/>
      <w:contextualSpacing/>
      <w:rPr>
        <w:rFonts w:ascii="Arial" w:eastAsia="Times New Roman" w:hAnsi="Arial" w:cs="Arial"/>
        <w:color w:val="1074CB"/>
        <w:sz w:val="16"/>
        <w:szCs w:val="16"/>
      </w:rPr>
    </w:pPr>
  </w:p>
  <w:p w:rsidR="00BB5F83" w:rsidRPr="00853E71" w:rsidRDefault="00BB5F83" w:rsidP="007A1EA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BB5F83" w:rsidRPr="00853E71" w:rsidRDefault="00BB5F83" w:rsidP="007A1EA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430DCC" w:rsidRDefault="00BB5F83" w:rsidP="00B94DB1">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120B6E">
        <w:rPr>
          <w:rStyle w:val="Hyperlink"/>
          <w:rFonts w:ascii="Arial" w:eastAsia="Times New Roman" w:hAnsi="Arial" w:cs="Arial"/>
          <w:sz w:val="16"/>
          <w:szCs w:val="16"/>
        </w:rPr>
        <w:t>amichaelides@smmt.co.uk</w:t>
      </w:r>
    </w:hyperlink>
  </w:p>
  <w:p w:rsidR="00430DCC" w:rsidRPr="00430DCC" w:rsidRDefault="008D1E45" w:rsidP="00B94DB1">
    <w:r>
      <w:rPr>
        <w:rFonts w:ascii="Arial" w:eastAsia="Times New Roman" w:hAnsi="Arial" w:cs="Arial"/>
        <w:color w:val="1074CB"/>
        <w:sz w:val="16"/>
        <w:szCs w:val="16"/>
      </w:rPr>
      <w:t>Lucy Bielby</w:t>
    </w:r>
    <w:r w:rsidR="00430DCC">
      <w:rPr>
        <w:rFonts w:ascii="Arial" w:eastAsia="Times New Roman" w:hAnsi="Arial" w:cs="Arial"/>
        <w:color w:val="1074CB"/>
        <w:sz w:val="16"/>
        <w:szCs w:val="16"/>
      </w:rPr>
      <w:tab/>
    </w:r>
    <w:r w:rsidR="00430DCC">
      <w:rPr>
        <w:rFonts w:ascii="Arial" w:eastAsia="Times New Roman" w:hAnsi="Arial" w:cs="Arial"/>
        <w:color w:val="1074CB"/>
        <w:sz w:val="16"/>
        <w:szCs w:val="16"/>
      </w:rPr>
      <w:tab/>
    </w:r>
    <w:r w:rsidR="00430DCC">
      <w:rPr>
        <w:rFonts w:ascii="Arial" w:eastAsia="Times New Roman" w:hAnsi="Arial" w:cs="Arial"/>
        <w:color w:val="1074CB"/>
        <w:sz w:val="16"/>
        <w:szCs w:val="16"/>
      </w:rPr>
      <w:tab/>
    </w:r>
    <w:r>
      <w:rPr>
        <w:rFonts w:ascii="Arial" w:eastAsia="Times New Roman" w:hAnsi="Arial" w:cs="Arial"/>
        <w:color w:val="1074CB"/>
        <w:sz w:val="16"/>
        <w:szCs w:val="16"/>
      </w:rPr>
      <w:t>020 7344 1610</w:t>
    </w:r>
    <w:r w:rsidR="00430DCC">
      <w:rPr>
        <w:rFonts w:ascii="Arial" w:eastAsia="Times New Roman" w:hAnsi="Arial" w:cs="Arial"/>
        <w:color w:val="1074CB"/>
        <w:sz w:val="16"/>
        <w:szCs w:val="16"/>
      </w:rPr>
      <w:tab/>
    </w:r>
    <w:r w:rsidR="00430DCC">
      <w:rPr>
        <w:rFonts w:ascii="Arial" w:eastAsia="Times New Roman" w:hAnsi="Arial" w:cs="Arial"/>
        <w:color w:val="1074CB"/>
        <w:sz w:val="16"/>
        <w:szCs w:val="16"/>
      </w:rPr>
      <w:tab/>
    </w:r>
    <w:hyperlink r:id="rId3" w:history="1">
      <w:r w:rsidRPr="00A02EFD">
        <w:rPr>
          <w:rStyle w:val="Hyperlink"/>
          <w:rFonts w:ascii="Arial" w:eastAsia="Times New Roman" w:hAnsi="Arial" w:cs="Arial"/>
          <w:sz w:val="16"/>
          <w:szCs w:val="16"/>
        </w:rPr>
        <w:t>lbielby@smmt.co.uk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62" w:rsidRDefault="008F0A62" w:rsidP="00C80E70">
      <w:r>
        <w:separator/>
      </w:r>
    </w:p>
  </w:footnote>
  <w:footnote w:type="continuationSeparator" w:id="0">
    <w:p w:rsidR="008F0A62" w:rsidRDefault="008F0A62"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83" w:rsidRDefault="00BB5F83"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0"/>
    <w:rsid w:val="0001774D"/>
    <w:rsid w:val="00017BE7"/>
    <w:rsid w:val="000376DA"/>
    <w:rsid w:val="00040399"/>
    <w:rsid w:val="00054E31"/>
    <w:rsid w:val="00066F55"/>
    <w:rsid w:val="00096A24"/>
    <w:rsid w:val="000B47D6"/>
    <w:rsid w:val="000C3FDE"/>
    <w:rsid w:val="000E5317"/>
    <w:rsid w:val="00116666"/>
    <w:rsid w:val="00121C86"/>
    <w:rsid w:val="00125D19"/>
    <w:rsid w:val="00133B87"/>
    <w:rsid w:val="0013617E"/>
    <w:rsid w:val="00142AE3"/>
    <w:rsid w:val="0014558C"/>
    <w:rsid w:val="001737CD"/>
    <w:rsid w:val="0017616F"/>
    <w:rsid w:val="00187E2B"/>
    <w:rsid w:val="00192CE4"/>
    <w:rsid w:val="001A1B4A"/>
    <w:rsid w:val="001A67B5"/>
    <w:rsid w:val="001B2FFA"/>
    <w:rsid w:val="001C389E"/>
    <w:rsid w:val="001D6CB9"/>
    <w:rsid w:val="001E2638"/>
    <w:rsid w:val="001E33CE"/>
    <w:rsid w:val="001E428D"/>
    <w:rsid w:val="001F7274"/>
    <w:rsid w:val="00200A18"/>
    <w:rsid w:val="00200F65"/>
    <w:rsid w:val="00201A40"/>
    <w:rsid w:val="0020649D"/>
    <w:rsid w:val="00207B1F"/>
    <w:rsid w:val="00215AA6"/>
    <w:rsid w:val="00235019"/>
    <w:rsid w:val="00247A08"/>
    <w:rsid w:val="00252DCB"/>
    <w:rsid w:val="00263E82"/>
    <w:rsid w:val="00266A9A"/>
    <w:rsid w:val="002A5934"/>
    <w:rsid w:val="002B4F7D"/>
    <w:rsid w:val="002C400E"/>
    <w:rsid w:val="002D17AA"/>
    <w:rsid w:val="002D6C6E"/>
    <w:rsid w:val="002F3F25"/>
    <w:rsid w:val="002F73AF"/>
    <w:rsid w:val="00325254"/>
    <w:rsid w:val="003372F6"/>
    <w:rsid w:val="00361AC4"/>
    <w:rsid w:val="00375DF8"/>
    <w:rsid w:val="003A0F07"/>
    <w:rsid w:val="003A3777"/>
    <w:rsid w:val="003B1C39"/>
    <w:rsid w:val="003C76B4"/>
    <w:rsid w:val="003D5459"/>
    <w:rsid w:val="003E4D46"/>
    <w:rsid w:val="003E69D3"/>
    <w:rsid w:val="003F69E6"/>
    <w:rsid w:val="00410539"/>
    <w:rsid w:val="00430DCC"/>
    <w:rsid w:val="00440369"/>
    <w:rsid w:val="00443FDD"/>
    <w:rsid w:val="00447CDA"/>
    <w:rsid w:val="00456EBB"/>
    <w:rsid w:val="00464583"/>
    <w:rsid w:val="0046552A"/>
    <w:rsid w:val="00467D20"/>
    <w:rsid w:val="00471965"/>
    <w:rsid w:val="00472D14"/>
    <w:rsid w:val="00482D22"/>
    <w:rsid w:val="00486897"/>
    <w:rsid w:val="00494E5E"/>
    <w:rsid w:val="004B723F"/>
    <w:rsid w:val="004B727E"/>
    <w:rsid w:val="004B7D45"/>
    <w:rsid w:val="004C6418"/>
    <w:rsid w:val="004C6507"/>
    <w:rsid w:val="004D2D65"/>
    <w:rsid w:val="004D592D"/>
    <w:rsid w:val="00505C8C"/>
    <w:rsid w:val="005218AC"/>
    <w:rsid w:val="005230CA"/>
    <w:rsid w:val="005407A6"/>
    <w:rsid w:val="00542422"/>
    <w:rsid w:val="00545182"/>
    <w:rsid w:val="005534B2"/>
    <w:rsid w:val="0055683E"/>
    <w:rsid w:val="005621BD"/>
    <w:rsid w:val="00567F13"/>
    <w:rsid w:val="00577A32"/>
    <w:rsid w:val="005926DF"/>
    <w:rsid w:val="005B33EF"/>
    <w:rsid w:val="005B536B"/>
    <w:rsid w:val="005C668F"/>
    <w:rsid w:val="005D2BA5"/>
    <w:rsid w:val="005E2C9D"/>
    <w:rsid w:val="005F44DC"/>
    <w:rsid w:val="00603DD8"/>
    <w:rsid w:val="0060762E"/>
    <w:rsid w:val="00614891"/>
    <w:rsid w:val="00626F3D"/>
    <w:rsid w:val="006315A6"/>
    <w:rsid w:val="0063394A"/>
    <w:rsid w:val="006364F0"/>
    <w:rsid w:val="00652DC2"/>
    <w:rsid w:val="00653F42"/>
    <w:rsid w:val="006623D6"/>
    <w:rsid w:val="006767F4"/>
    <w:rsid w:val="00686576"/>
    <w:rsid w:val="00696C6A"/>
    <w:rsid w:val="006B3606"/>
    <w:rsid w:val="006B4C72"/>
    <w:rsid w:val="006B7F8A"/>
    <w:rsid w:val="006C63D3"/>
    <w:rsid w:val="006D538E"/>
    <w:rsid w:val="006E5BF9"/>
    <w:rsid w:val="006F7AF9"/>
    <w:rsid w:val="00703767"/>
    <w:rsid w:val="00714EF7"/>
    <w:rsid w:val="00735C0B"/>
    <w:rsid w:val="00736FB6"/>
    <w:rsid w:val="0073709A"/>
    <w:rsid w:val="007430A2"/>
    <w:rsid w:val="007433FE"/>
    <w:rsid w:val="00750A6C"/>
    <w:rsid w:val="00761183"/>
    <w:rsid w:val="00767145"/>
    <w:rsid w:val="00771A60"/>
    <w:rsid w:val="007851A1"/>
    <w:rsid w:val="00787B6E"/>
    <w:rsid w:val="00791C3D"/>
    <w:rsid w:val="007A1EAA"/>
    <w:rsid w:val="007B7669"/>
    <w:rsid w:val="007D36B3"/>
    <w:rsid w:val="00800A86"/>
    <w:rsid w:val="008030A3"/>
    <w:rsid w:val="00804C47"/>
    <w:rsid w:val="00806662"/>
    <w:rsid w:val="00865D45"/>
    <w:rsid w:val="00867D0B"/>
    <w:rsid w:val="00880351"/>
    <w:rsid w:val="008902B9"/>
    <w:rsid w:val="00891F21"/>
    <w:rsid w:val="008B50CB"/>
    <w:rsid w:val="008D1E45"/>
    <w:rsid w:val="008E4462"/>
    <w:rsid w:val="008F0A62"/>
    <w:rsid w:val="008F55A4"/>
    <w:rsid w:val="00924274"/>
    <w:rsid w:val="00931C26"/>
    <w:rsid w:val="00932034"/>
    <w:rsid w:val="009511F2"/>
    <w:rsid w:val="00951B31"/>
    <w:rsid w:val="009548FB"/>
    <w:rsid w:val="00964455"/>
    <w:rsid w:val="0097483C"/>
    <w:rsid w:val="009A5488"/>
    <w:rsid w:val="009D44F7"/>
    <w:rsid w:val="009F17EB"/>
    <w:rsid w:val="009F5D30"/>
    <w:rsid w:val="00A2060E"/>
    <w:rsid w:val="00A24874"/>
    <w:rsid w:val="00A4405B"/>
    <w:rsid w:val="00A453EF"/>
    <w:rsid w:val="00A51715"/>
    <w:rsid w:val="00A67F90"/>
    <w:rsid w:val="00A72CAD"/>
    <w:rsid w:val="00A773DB"/>
    <w:rsid w:val="00A86C6F"/>
    <w:rsid w:val="00A93760"/>
    <w:rsid w:val="00A93DE9"/>
    <w:rsid w:val="00A94474"/>
    <w:rsid w:val="00A96D25"/>
    <w:rsid w:val="00AA2084"/>
    <w:rsid w:val="00AA7BF4"/>
    <w:rsid w:val="00AB33BB"/>
    <w:rsid w:val="00AC57E0"/>
    <w:rsid w:val="00AD65CE"/>
    <w:rsid w:val="00B12E13"/>
    <w:rsid w:val="00B142C0"/>
    <w:rsid w:val="00B2588D"/>
    <w:rsid w:val="00B36DF8"/>
    <w:rsid w:val="00B4035F"/>
    <w:rsid w:val="00B40CCD"/>
    <w:rsid w:val="00B4715D"/>
    <w:rsid w:val="00B857A6"/>
    <w:rsid w:val="00B93687"/>
    <w:rsid w:val="00B94DB1"/>
    <w:rsid w:val="00B95B22"/>
    <w:rsid w:val="00BB3EB9"/>
    <w:rsid w:val="00BB5F83"/>
    <w:rsid w:val="00BC3163"/>
    <w:rsid w:val="00BC5727"/>
    <w:rsid w:val="00BC7B6B"/>
    <w:rsid w:val="00BE1A62"/>
    <w:rsid w:val="00BF086E"/>
    <w:rsid w:val="00BF0928"/>
    <w:rsid w:val="00BF4C94"/>
    <w:rsid w:val="00C02170"/>
    <w:rsid w:val="00C065D0"/>
    <w:rsid w:val="00C07099"/>
    <w:rsid w:val="00C100C5"/>
    <w:rsid w:val="00C108FE"/>
    <w:rsid w:val="00C120C5"/>
    <w:rsid w:val="00C30AE8"/>
    <w:rsid w:val="00C4074C"/>
    <w:rsid w:val="00C53C0C"/>
    <w:rsid w:val="00C625B1"/>
    <w:rsid w:val="00C657AB"/>
    <w:rsid w:val="00C73F08"/>
    <w:rsid w:val="00C80E70"/>
    <w:rsid w:val="00C83606"/>
    <w:rsid w:val="00CA41BC"/>
    <w:rsid w:val="00CB221D"/>
    <w:rsid w:val="00CB4D91"/>
    <w:rsid w:val="00CB6220"/>
    <w:rsid w:val="00CC3D52"/>
    <w:rsid w:val="00CC6098"/>
    <w:rsid w:val="00CD0659"/>
    <w:rsid w:val="00CE070B"/>
    <w:rsid w:val="00CE3518"/>
    <w:rsid w:val="00D12474"/>
    <w:rsid w:val="00D335A5"/>
    <w:rsid w:val="00D41CAD"/>
    <w:rsid w:val="00D446D8"/>
    <w:rsid w:val="00D448CA"/>
    <w:rsid w:val="00D561FB"/>
    <w:rsid w:val="00D6067E"/>
    <w:rsid w:val="00D60A7A"/>
    <w:rsid w:val="00D6336B"/>
    <w:rsid w:val="00D65CB1"/>
    <w:rsid w:val="00D70424"/>
    <w:rsid w:val="00D82F6C"/>
    <w:rsid w:val="00D86627"/>
    <w:rsid w:val="00D911A4"/>
    <w:rsid w:val="00D92B21"/>
    <w:rsid w:val="00D96424"/>
    <w:rsid w:val="00DA78D8"/>
    <w:rsid w:val="00DB3140"/>
    <w:rsid w:val="00DB3768"/>
    <w:rsid w:val="00DC2D95"/>
    <w:rsid w:val="00DE0B9A"/>
    <w:rsid w:val="00DE5D6C"/>
    <w:rsid w:val="00DF19D9"/>
    <w:rsid w:val="00E14BEF"/>
    <w:rsid w:val="00E343D2"/>
    <w:rsid w:val="00E634A1"/>
    <w:rsid w:val="00E714BD"/>
    <w:rsid w:val="00E84E41"/>
    <w:rsid w:val="00E8542A"/>
    <w:rsid w:val="00EB1B2D"/>
    <w:rsid w:val="00EB2FB8"/>
    <w:rsid w:val="00EB4E51"/>
    <w:rsid w:val="00EB5EA2"/>
    <w:rsid w:val="00EC2476"/>
    <w:rsid w:val="00EC65AF"/>
    <w:rsid w:val="00EF35D8"/>
    <w:rsid w:val="00F16A23"/>
    <w:rsid w:val="00F205F0"/>
    <w:rsid w:val="00F339C4"/>
    <w:rsid w:val="00F40145"/>
    <w:rsid w:val="00F43472"/>
    <w:rsid w:val="00F50E90"/>
    <w:rsid w:val="00F5185E"/>
    <w:rsid w:val="00F67060"/>
    <w:rsid w:val="00F84F7B"/>
    <w:rsid w:val="00F867E9"/>
    <w:rsid w:val="00F869E5"/>
    <w:rsid w:val="00FF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bielby@smmt.co.uk" TargetMode="External"/><Relationship Id="rId2" Type="http://schemas.openxmlformats.org/officeDocument/2006/relationships/hyperlink" Target="mailto:amichaelide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a\AppData\Local\Microsoft\Windows\Temporary%20Internet%20Files\Content.Outlook\OKOAF9FC\October%20Production%20P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751215376428467"/>
          <c:y val="0.13010425780110821"/>
          <c:w val="0.68413495710572014"/>
          <c:h val="0.67535887299210429"/>
        </c:manualLayout>
      </c:layout>
      <c:lineChart>
        <c:grouping val="standard"/>
        <c:varyColors val="0"/>
        <c:ser>
          <c:idx val="0"/>
          <c:order val="0"/>
          <c:tx>
            <c:strRef>
              <c:f>'F:\PPVL\TEAMS\ECONOMICS\UKASSEMBLY\ANALY-MONITOR\[PR-HEADLINE-CARCVOUT2014(SEP).xls]PR&amp;12MONTHROLL-CHARTS'!$B$9</c:f>
              <c:strCache>
                <c:ptCount val="1"/>
                <c:pt idx="0">
                  <c:v>Total CV</c:v>
                </c:pt>
              </c:strCache>
            </c:strRef>
          </c:tx>
          <c:spPr>
            <a:ln>
              <a:solidFill>
                <a:schemeClr val="tx2">
                  <a:lumMod val="75000"/>
                </a:schemeClr>
              </a:solidFill>
            </a:ln>
          </c:spPr>
          <c:marker>
            <c:symbol val="none"/>
          </c:marker>
          <c:cat>
            <c:numRef>
              <c:f>'F:\PPVL\TEAMS\ECONOMICS\UKASSEMBLY\ANALY-MONITOR\[PR-HEADLINE-CARCVOUT2014(SEP).xls]PR&amp;12MONTHROLL-CHARTS'!$C$8:$CH$8</c:f>
              <c:numCache>
                <c:formatCode>General</c:formatCode>
                <c:ptCount val="84"/>
                <c:pt idx="0">
                  <c:v>2008</c:v>
                </c:pt>
                <c:pt idx="12">
                  <c:v>2009</c:v>
                </c:pt>
                <c:pt idx="24">
                  <c:v>2010</c:v>
                </c:pt>
                <c:pt idx="36">
                  <c:v>2011</c:v>
                </c:pt>
                <c:pt idx="48">
                  <c:v>2012</c:v>
                </c:pt>
                <c:pt idx="60">
                  <c:v>2013</c:v>
                </c:pt>
                <c:pt idx="72">
                  <c:v>2014</c:v>
                </c:pt>
              </c:numCache>
            </c:numRef>
          </c:cat>
          <c:val>
            <c:numRef>
              <c:f>'F:\PPVL\TEAMS\ECONOMICS\UKASSEMBLY\ANALY-MONITOR\[PR-HEADLINE-CARCVOUT2014(SEP).xls]PR&amp;12MONTHROLL-CHARTS'!$C$9:$CH$9</c:f>
              <c:numCache>
                <c:formatCode>General</c:formatCode>
                <c:ptCount val="84"/>
                <c:pt idx="0">
                  <c:v>216.93199999999999</c:v>
                </c:pt>
                <c:pt idx="1">
                  <c:v>220.09</c:v>
                </c:pt>
                <c:pt idx="2">
                  <c:v>218.60499999999999</c:v>
                </c:pt>
                <c:pt idx="3">
                  <c:v>224.066</c:v>
                </c:pt>
                <c:pt idx="4">
                  <c:v>224.81299999999999</c:v>
                </c:pt>
                <c:pt idx="5">
                  <c:v>227.24299999999999</c:v>
                </c:pt>
                <c:pt idx="6">
                  <c:v>234.255</c:v>
                </c:pt>
                <c:pt idx="7">
                  <c:v>230.57900000000001</c:v>
                </c:pt>
                <c:pt idx="8">
                  <c:v>231.30099999999999</c:v>
                </c:pt>
                <c:pt idx="9">
                  <c:v>222.191</c:v>
                </c:pt>
                <c:pt idx="10">
                  <c:v>211.12799999999999</c:v>
                </c:pt>
                <c:pt idx="11">
                  <c:v>202.89599999999999</c:v>
                </c:pt>
                <c:pt idx="12">
                  <c:v>190.40700000000001</c:v>
                </c:pt>
                <c:pt idx="13">
                  <c:v>175.62799999999999</c:v>
                </c:pt>
                <c:pt idx="14">
                  <c:v>164.89699999999999</c:v>
                </c:pt>
                <c:pt idx="15">
                  <c:v>150.56800000000001</c:v>
                </c:pt>
                <c:pt idx="16">
                  <c:v>137.55799999999999</c:v>
                </c:pt>
                <c:pt idx="17">
                  <c:v>124.563</c:v>
                </c:pt>
                <c:pt idx="18">
                  <c:v>112.142</c:v>
                </c:pt>
                <c:pt idx="19">
                  <c:v>107.607</c:v>
                </c:pt>
                <c:pt idx="20">
                  <c:v>96.647999999999996</c:v>
                </c:pt>
                <c:pt idx="21">
                  <c:v>91.477000000000004</c:v>
                </c:pt>
                <c:pt idx="22">
                  <c:v>89.697999999999993</c:v>
                </c:pt>
                <c:pt idx="23">
                  <c:v>90.679000000000002</c:v>
                </c:pt>
                <c:pt idx="24">
                  <c:v>91.483999999999995</c:v>
                </c:pt>
                <c:pt idx="25">
                  <c:v>95.84</c:v>
                </c:pt>
                <c:pt idx="26">
                  <c:v>100.812</c:v>
                </c:pt>
                <c:pt idx="27">
                  <c:v>103.934</c:v>
                </c:pt>
                <c:pt idx="28">
                  <c:v>109.98699999999999</c:v>
                </c:pt>
                <c:pt idx="29">
                  <c:v>112.111</c:v>
                </c:pt>
                <c:pt idx="30">
                  <c:v>113.232</c:v>
                </c:pt>
                <c:pt idx="31">
                  <c:v>114.29600000000001</c:v>
                </c:pt>
                <c:pt idx="32">
                  <c:v>115.919</c:v>
                </c:pt>
                <c:pt idx="33">
                  <c:v>119.658</c:v>
                </c:pt>
                <c:pt idx="34">
                  <c:v>121.608</c:v>
                </c:pt>
                <c:pt idx="35">
                  <c:v>123.01900000000001</c:v>
                </c:pt>
                <c:pt idx="36">
                  <c:v>123.83</c:v>
                </c:pt>
                <c:pt idx="37">
                  <c:v>123.527</c:v>
                </c:pt>
                <c:pt idx="38">
                  <c:v>122.748</c:v>
                </c:pt>
                <c:pt idx="39">
                  <c:v>120.604</c:v>
                </c:pt>
                <c:pt idx="40">
                  <c:v>120.06399999999999</c:v>
                </c:pt>
                <c:pt idx="41">
                  <c:v>119.833</c:v>
                </c:pt>
                <c:pt idx="42">
                  <c:v>119.26300000000001</c:v>
                </c:pt>
                <c:pt idx="43">
                  <c:v>119.81100000000001</c:v>
                </c:pt>
                <c:pt idx="44">
                  <c:v>120.518</c:v>
                </c:pt>
                <c:pt idx="45">
                  <c:v>120.181</c:v>
                </c:pt>
                <c:pt idx="46">
                  <c:v>120.425</c:v>
                </c:pt>
                <c:pt idx="47">
                  <c:v>120.18899999999999</c:v>
                </c:pt>
                <c:pt idx="48">
                  <c:v>120.066</c:v>
                </c:pt>
                <c:pt idx="49">
                  <c:v>119.798</c:v>
                </c:pt>
                <c:pt idx="50">
                  <c:v>117.40300000000001</c:v>
                </c:pt>
                <c:pt idx="51">
                  <c:v>117.68300000000001</c:v>
                </c:pt>
                <c:pt idx="52">
                  <c:v>116.923</c:v>
                </c:pt>
                <c:pt idx="53">
                  <c:v>114.86499999999999</c:v>
                </c:pt>
                <c:pt idx="54">
                  <c:v>114.742</c:v>
                </c:pt>
                <c:pt idx="55">
                  <c:v>115.917</c:v>
                </c:pt>
                <c:pt idx="56">
                  <c:v>113.47799999999999</c:v>
                </c:pt>
                <c:pt idx="57">
                  <c:v>114.04</c:v>
                </c:pt>
                <c:pt idx="58">
                  <c:v>113.634</c:v>
                </c:pt>
                <c:pt idx="59">
                  <c:v>112.039</c:v>
                </c:pt>
                <c:pt idx="60">
                  <c:v>110.018</c:v>
                </c:pt>
                <c:pt idx="61">
                  <c:v>108.392</c:v>
                </c:pt>
                <c:pt idx="62">
                  <c:v>106.574</c:v>
                </c:pt>
                <c:pt idx="63">
                  <c:v>106.318</c:v>
                </c:pt>
                <c:pt idx="64">
                  <c:v>104.467</c:v>
                </c:pt>
                <c:pt idx="65">
                  <c:v>104.607</c:v>
                </c:pt>
                <c:pt idx="66">
                  <c:v>104.057</c:v>
                </c:pt>
                <c:pt idx="67">
                  <c:v>100.221</c:v>
                </c:pt>
                <c:pt idx="68">
                  <c:v>97.611000000000004</c:v>
                </c:pt>
                <c:pt idx="69">
                  <c:v>93.650999999999996</c:v>
                </c:pt>
                <c:pt idx="70">
                  <c:v>89.798000000000002</c:v>
                </c:pt>
                <c:pt idx="71">
                  <c:v>88.11</c:v>
                </c:pt>
                <c:pt idx="72">
                  <c:v>86.994</c:v>
                </c:pt>
                <c:pt idx="73">
                  <c:v>85.203999999999994</c:v>
                </c:pt>
                <c:pt idx="74">
                  <c:v>83.882000000000005</c:v>
                </c:pt>
                <c:pt idx="75">
                  <c:v>81.531999999999996</c:v>
                </c:pt>
                <c:pt idx="76">
                  <c:v>79.064999999999998</c:v>
                </c:pt>
                <c:pt idx="77">
                  <c:v>76.906000000000006</c:v>
                </c:pt>
                <c:pt idx="78">
                  <c:v>74.790000000000006</c:v>
                </c:pt>
                <c:pt idx="79">
                  <c:v>73.147999999999996</c:v>
                </c:pt>
                <c:pt idx="80">
                  <c:v>70.968999999999994</c:v>
                </c:pt>
              </c:numCache>
            </c:numRef>
          </c:val>
          <c:smooth val="0"/>
        </c:ser>
        <c:ser>
          <c:idx val="1"/>
          <c:order val="1"/>
          <c:tx>
            <c:strRef>
              <c:f>'F:\PPVL\TEAMS\ECONOMICS\UKASSEMBLY\ANALY-MONITOR\[PR-HEADLINE-CARCVOUT2014(SEP).xls]PR&amp;12MONTHROLL-CHARTS'!$B$10</c:f>
              <c:strCache>
                <c:ptCount val="1"/>
                <c:pt idx="0">
                  <c:v>CV Exports</c:v>
                </c:pt>
              </c:strCache>
            </c:strRef>
          </c:tx>
          <c:spPr>
            <a:ln>
              <a:solidFill>
                <a:schemeClr val="tx2">
                  <a:lumMod val="40000"/>
                  <a:lumOff val="60000"/>
                </a:schemeClr>
              </a:solidFill>
            </a:ln>
          </c:spPr>
          <c:marker>
            <c:symbol val="none"/>
          </c:marker>
          <c:cat>
            <c:numRef>
              <c:f>'F:\PPVL\TEAMS\ECONOMICS\UKASSEMBLY\ANALY-MONITOR\[PR-HEADLINE-CARCVOUT2014(SEP).xls]PR&amp;12MONTHROLL-CHARTS'!$C$8:$CH$8</c:f>
              <c:numCache>
                <c:formatCode>General</c:formatCode>
                <c:ptCount val="84"/>
                <c:pt idx="0">
                  <c:v>2008</c:v>
                </c:pt>
                <c:pt idx="12">
                  <c:v>2009</c:v>
                </c:pt>
                <c:pt idx="24">
                  <c:v>2010</c:v>
                </c:pt>
                <c:pt idx="36">
                  <c:v>2011</c:v>
                </c:pt>
                <c:pt idx="48">
                  <c:v>2012</c:v>
                </c:pt>
                <c:pt idx="60">
                  <c:v>2013</c:v>
                </c:pt>
                <c:pt idx="72">
                  <c:v>2014</c:v>
                </c:pt>
              </c:numCache>
            </c:numRef>
          </c:cat>
          <c:val>
            <c:numRef>
              <c:f>'F:\PPVL\TEAMS\ECONOMICS\UKASSEMBLY\ANALY-MONITOR\[PR-HEADLINE-CARCVOUT2014(SEP).xls]PR&amp;12MONTHROLL-CHARTS'!$C$10:$CH$10</c:f>
              <c:numCache>
                <c:formatCode>General</c:formatCode>
                <c:ptCount val="84"/>
                <c:pt idx="0">
                  <c:v>132.43899999999999</c:v>
                </c:pt>
                <c:pt idx="1">
                  <c:v>134.09800000000001</c:v>
                </c:pt>
                <c:pt idx="2">
                  <c:v>133.68700000000001</c:v>
                </c:pt>
                <c:pt idx="3">
                  <c:v>137.15700000000001</c:v>
                </c:pt>
                <c:pt idx="4">
                  <c:v>138.565</c:v>
                </c:pt>
                <c:pt idx="5">
                  <c:v>140.45400000000001</c:v>
                </c:pt>
                <c:pt idx="6">
                  <c:v>143.67099999999999</c:v>
                </c:pt>
                <c:pt idx="7">
                  <c:v>141.946</c:v>
                </c:pt>
                <c:pt idx="8">
                  <c:v>142.72900000000001</c:v>
                </c:pt>
                <c:pt idx="9">
                  <c:v>136.851</c:v>
                </c:pt>
                <c:pt idx="10">
                  <c:v>130.52600000000001</c:v>
                </c:pt>
                <c:pt idx="11">
                  <c:v>125.611</c:v>
                </c:pt>
                <c:pt idx="12">
                  <c:v>119.71899999999999</c:v>
                </c:pt>
                <c:pt idx="13">
                  <c:v>112.473</c:v>
                </c:pt>
                <c:pt idx="14">
                  <c:v>106.937</c:v>
                </c:pt>
                <c:pt idx="15">
                  <c:v>98.334000000000003</c:v>
                </c:pt>
                <c:pt idx="16">
                  <c:v>90.128</c:v>
                </c:pt>
                <c:pt idx="17">
                  <c:v>82.698999999999998</c:v>
                </c:pt>
                <c:pt idx="18">
                  <c:v>76.718000000000004</c:v>
                </c:pt>
                <c:pt idx="19">
                  <c:v>73.986999999999995</c:v>
                </c:pt>
                <c:pt idx="20">
                  <c:v>68.596999999999994</c:v>
                </c:pt>
                <c:pt idx="21">
                  <c:v>67.105000000000004</c:v>
                </c:pt>
                <c:pt idx="22">
                  <c:v>65.796000000000006</c:v>
                </c:pt>
                <c:pt idx="23">
                  <c:v>66.453999999999994</c:v>
                </c:pt>
                <c:pt idx="24">
                  <c:v>67.141999999999996</c:v>
                </c:pt>
                <c:pt idx="25">
                  <c:v>70.182000000000002</c:v>
                </c:pt>
                <c:pt idx="26">
                  <c:v>72.653999999999996</c:v>
                </c:pt>
                <c:pt idx="27">
                  <c:v>73.805000000000007</c:v>
                </c:pt>
                <c:pt idx="28">
                  <c:v>77.438000000000002</c:v>
                </c:pt>
                <c:pt idx="29">
                  <c:v>78.873000000000005</c:v>
                </c:pt>
                <c:pt idx="30">
                  <c:v>79.635000000000005</c:v>
                </c:pt>
                <c:pt idx="31">
                  <c:v>80.061999999999998</c:v>
                </c:pt>
                <c:pt idx="32">
                  <c:v>81.004999999999995</c:v>
                </c:pt>
                <c:pt idx="33">
                  <c:v>82.897999999999996</c:v>
                </c:pt>
                <c:pt idx="34">
                  <c:v>83.736000000000004</c:v>
                </c:pt>
                <c:pt idx="35">
                  <c:v>85.546999999999997</c:v>
                </c:pt>
                <c:pt idx="36">
                  <c:v>84.194999999999993</c:v>
                </c:pt>
                <c:pt idx="37">
                  <c:v>83.001000000000005</c:v>
                </c:pt>
                <c:pt idx="38">
                  <c:v>82.183999999999997</c:v>
                </c:pt>
                <c:pt idx="39">
                  <c:v>80.668000000000006</c:v>
                </c:pt>
                <c:pt idx="40">
                  <c:v>79.090999999999994</c:v>
                </c:pt>
                <c:pt idx="41">
                  <c:v>76.480999999999995</c:v>
                </c:pt>
                <c:pt idx="42">
                  <c:v>75.248000000000005</c:v>
                </c:pt>
                <c:pt idx="43">
                  <c:v>75.231999999999999</c:v>
                </c:pt>
                <c:pt idx="44">
                  <c:v>74.679000000000002</c:v>
                </c:pt>
                <c:pt idx="45">
                  <c:v>72.906999999999996</c:v>
                </c:pt>
                <c:pt idx="46">
                  <c:v>71.468999999999994</c:v>
                </c:pt>
                <c:pt idx="47">
                  <c:v>69.376000000000005</c:v>
                </c:pt>
                <c:pt idx="48">
                  <c:v>69.414000000000001</c:v>
                </c:pt>
                <c:pt idx="49">
                  <c:v>68.712999999999994</c:v>
                </c:pt>
                <c:pt idx="50">
                  <c:v>66.611000000000004</c:v>
                </c:pt>
                <c:pt idx="51">
                  <c:v>67.027000000000001</c:v>
                </c:pt>
                <c:pt idx="52">
                  <c:v>67.058999999999997</c:v>
                </c:pt>
                <c:pt idx="53">
                  <c:v>67.63</c:v>
                </c:pt>
                <c:pt idx="54">
                  <c:v>66.906000000000006</c:v>
                </c:pt>
                <c:pt idx="55">
                  <c:v>67.298000000000002</c:v>
                </c:pt>
                <c:pt idx="56">
                  <c:v>65.501999999999995</c:v>
                </c:pt>
                <c:pt idx="57">
                  <c:v>65.566000000000003</c:v>
                </c:pt>
                <c:pt idx="58">
                  <c:v>65.024000000000001</c:v>
                </c:pt>
                <c:pt idx="59">
                  <c:v>63.732999999999997</c:v>
                </c:pt>
                <c:pt idx="60">
                  <c:v>61.581000000000003</c:v>
                </c:pt>
                <c:pt idx="61">
                  <c:v>59.826000000000001</c:v>
                </c:pt>
                <c:pt idx="62">
                  <c:v>57.595999999999997</c:v>
                </c:pt>
                <c:pt idx="63">
                  <c:v>56.537999999999997</c:v>
                </c:pt>
                <c:pt idx="64">
                  <c:v>54.606000000000002</c:v>
                </c:pt>
                <c:pt idx="65">
                  <c:v>54.188000000000002</c:v>
                </c:pt>
                <c:pt idx="66">
                  <c:v>55.654000000000003</c:v>
                </c:pt>
                <c:pt idx="67">
                  <c:v>54.05</c:v>
                </c:pt>
                <c:pt idx="68">
                  <c:v>52.124000000000002</c:v>
                </c:pt>
                <c:pt idx="69">
                  <c:v>49.591000000000001</c:v>
                </c:pt>
                <c:pt idx="70">
                  <c:v>47.338000000000001</c:v>
                </c:pt>
                <c:pt idx="71">
                  <c:v>47.91</c:v>
                </c:pt>
                <c:pt idx="72">
                  <c:v>47.52</c:v>
                </c:pt>
                <c:pt idx="73">
                  <c:v>46.951999999999998</c:v>
                </c:pt>
                <c:pt idx="74">
                  <c:v>46.725000000000001</c:v>
                </c:pt>
                <c:pt idx="75">
                  <c:v>45.375999999999998</c:v>
                </c:pt>
                <c:pt idx="76">
                  <c:v>43.667999999999999</c:v>
                </c:pt>
                <c:pt idx="77">
                  <c:v>42.128999999999998</c:v>
                </c:pt>
                <c:pt idx="78">
                  <c:v>40.234000000000002</c:v>
                </c:pt>
                <c:pt idx="79">
                  <c:v>38.779000000000003</c:v>
                </c:pt>
                <c:pt idx="80">
                  <c:v>37.895000000000003</c:v>
                </c:pt>
              </c:numCache>
            </c:numRef>
          </c:val>
          <c:smooth val="0"/>
        </c:ser>
        <c:dLbls>
          <c:showLegendKey val="0"/>
          <c:showVal val="0"/>
          <c:showCatName val="0"/>
          <c:showSerName val="0"/>
          <c:showPercent val="0"/>
          <c:showBubbleSize val="0"/>
        </c:dLbls>
        <c:marker val="1"/>
        <c:smooth val="0"/>
        <c:axId val="128634368"/>
        <c:axId val="96747520"/>
      </c:lineChart>
      <c:catAx>
        <c:axId val="128634368"/>
        <c:scaling>
          <c:orientation val="minMax"/>
        </c:scaling>
        <c:delete val="0"/>
        <c:axPos val="b"/>
        <c:numFmt formatCode="General" sourceLinked="1"/>
        <c:majorTickMark val="out"/>
        <c:minorTickMark val="none"/>
        <c:tickLblPos val="nextTo"/>
        <c:txPr>
          <a:bodyPr rot="-1980000" vert="horz"/>
          <a:lstStyle/>
          <a:p>
            <a:pPr>
              <a:defRPr sz="1000" b="0" i="0" u="none" strike="noStrike" baseline="0">
                <a:solidFill>
                  <a:srgbClr val="000000"/>
                </a:solidFill>
                <a:latin typeface="Arial"/>
                <a:ea typeface="Arial"/>
                <a:cs typeface="Arial"/>
              </a:defRPr>
            </a:pPr>
            <a:endParaRPr lang="en-US"/>
          </a:p>
        </c:txPr>
        <c:crossAx val="96747520"/>
        <c:crosses val="autoZero"/>
        <c:auto val="1"/>
        <c:lblAlgn val="ctr"/>
        <c:lblOffset val="100"/>
        <c:tickMarkSkip val="12"/>
        <c:noMultiLvlLbl val="0"/>
      </c:catAx>
      <c:valAx>
        <c:axId val="96747520"/>
        <c:scaling>
          <c:orientation val="minMax"/>
          <c:max val="250"/>
          <c:min val="0"/>
        </c:scaling>
        <c:delete val="0"/>
        <c:axPos val="l"/>
        <c:majorGridlines/>
        <c:title>
          <c:tx>
            <c:rich>
              <a:bodyPr/>
              <a:lstStyle/>
              <a:p>
                <a:pPr>
                  <a:defRPr sz="1000" b="1" i="0" u="none" strike="noStrike" baseline="0">
                    <a:solidFill>
                      <a:srgbClr val="000000"/>
                    </a:solidFill>
                    <a:latin typeface="Arial"/>
                    <a:ea typeface="Arial"/>
                    <a:cs typeface="Arial"/>
                  </a:defRPr>
                </a:pPr>
                <a:r>
                  <a:rPr lang="en-GB"/>
                  <a:t>Thousands</a:t>
                </a:r>
              </a:p>
            </c:rich>
          </c:tx>
          <c:layout>
            <c:manualLayout>
              <c:xMode val="edge"/>
              <c:yMode val="edge"/>
              <c:x val="1.688796943277534E-5"/>
              <c:y val="0.35779353547657361"/>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128634368"/>
        <c:crosses val="autoZero"/>
        <c:crossBetween val="between"/>
        <c:majorUnit val="50"/>
      </c:valAx>
    </c:plotArea>
    <c:legend>
      <c:legendPos val="r"/>
      <c:layout>
        <c:manualLayout>
          <c:xMode val="edge"/>
          <c:yMode val="edge"/>
          <c:x val="4.8110127087786884E-2"/>
          <c:y val="2.8673935490645633E-2"/>
          <c:w val="0.93814747821184452"/>
          <c:h val="0.10035877421725969"/>
        </c:manualLayout>
      </c:layout>
      <c:overlay val="0"/>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70053267294105"/>
          <c:y val="6.2767217855206461E-2"/>
          <c:w val="0.73813323113371887"/>
          <c:h val="0.82837943527952373"/>
        </c:manualLayout>
      </c:layout>
      <c:barChart>
        <c:barDir val="col"/>
        <c:grouping val="clustered"/>
        <c:varyColors val="0"/>
        <c:ser>
          <c:idx val="0"/>
          <c:order val="0"/>
          <c:tx>
            <c:strRef>
              <c:f>'CV YTD'!$B$3</c:f>
              <c:strCache>
                <c:ptCount val="1"/>
                <c:pt idx="0">
                  <c:v>CV output YTD</c:v>
                </c:pt>
              </c:strCache>
            </c:strRef>
          </c:tx>
          <c:spPr>
            <a:ln>
              <a:solidFill>
                <a:sysClr val="windowText" lastClr="000000"/>
              </a:solidFill>
            </a:ln>
          </c:spPr>
          <c:invertIfNegative val="0"/>
          <c:cat>
            <c:numRef>
              <c:f>'CV YTD'!$C$2:$E$2</c:f>
              <c:numCache>
                <c:formatCode>General</c:formatCode>
                <c:ptCount val="3"/>
                <c:pt idx="0">
                  <c:v>12</c:v>
                </c:pt>
                <c:pt idx="1">
                  <c:v>13</c:v>
                </c:pt>
                <c:pt idx="2">
                  <c:v>14</c:v>
                </c:pt>
              </c:numCache>
            </c:numRef>
          </c:cat>
          <c:val>
            <c:numRef>
              <c:f>'CV YTD'!$C$3:$E$3</c:f>
              <c:numCache>
                <c:formatCode>General</c:formatCode>
                <c:ptCount val="3"/>
                <c:pt idx="0">
                  <c:v>82315</c:v>
                </c:pt>
                <c:pt idx="1">
                  <c:v>67887</c:v>
                </c:pt>
                <c:pt idx="2">
                  <c:v>50746</c:v>
                </c:pt>
              </c:numCache>
            </c:numRef>
          </c:val>
        </c:ser>
        <c:dLbls>
          <c:showLegendKey val="0"/>
          <c:showVal val="0"/>
          <c:showCatName val="0"/>
          <c:showSerName val="0"/>
          <c:showPercent val="0"/>
          <c:showBubbleSize val="0"/>
        </c:dLbls>
        <c:gapWidth val="150"/>
        <c:axId val="140831744"/>
        <c:axId val="96748096"/>
      </c:barChart>
      <c:catAx>
        <c:axId val="140831744"/>
        <c:scaling>
          <c:orientation val="minMax"/>
        </c:scaling>
        <c:delete val="0"/>
        <c:axPos val="b"/>
        <c:numFmt formatCode="General" sourceLinked="1"/>
        <c:majorTickMark val="out"/>
        <c:minorTickMark val="none"/>
        <c:tickLblPos val="nextTo"/>
        <c:crossAx val="96748096"/>
        <c:crosses val="autoZero"/>
        <c:auto val="1"/>
        <c:lblAlgn val="ctr"/>
        <c:lblOffset val="100"/>
        <c:noMultiLvlLbl val="0"/>
      </c:catAx>
      <c:valAx>
        <c:axId val="96748096"/>
        <c:scaling>
          <c:orientation val="minMax"/>
        </c:scaling>
        <c:delete val="0"/>
        <c:axPos val="l"/>
        <c:majorGridlines/>
        <c:numFmt formatCode="General" sourceLinked="1"/>
        <c:majorTickMark val="out"/>
        <c:minorTickMark val="none"/>
        <c:tickLblPos val="nextTo"/>
        <c:crossAx val="140831744"/>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CCDD6-D4B1-497C-961E-2E6B72EF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6EBB2C0F</Template>
  <TotalTime>1</TotalTime>
  <Pages>1</Pages>
  <Words>170</Words>
  <Characters>974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Alex Michaelides</cp:lastModifiedBy>
  <cp:revision>2</cp:revision>
  <cp:lastPrinted>2013-12-16T13:34:00Z</cp:lastPrinted>
  <dcterms:created xsi:type="dcterms:W3CDTF">2014-10-23T07:39:00Z</dcterms:created>
  <dcterms:modified xsi:type="dcterms:W3CDTF">2014-10-23T07:39:00Z</dcterms:modified>
</cp:coreProperties>
</file>