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7D6B3B" w:rsidP="00FD59F4">
      <w:pPr>
        <w:pStyle w:val="Heading1"/>
        <w:ind w:right="142"/>
      </w:pPr>
      <w:r>
        <w:rPr>
          <w:rFonts w:ascii="Arial" w:eastAsiaTheme="minorEastAsia" w:hAnsi="Arial" w:cs="Arial"/>
          <w:b w:val="0"/>
          <w:bCs/>
          <w:color w:val="1074CB"/>
          <w:sz w:val="44"/>
          <w:szCs w:val="44"/>
        </w:rPr>
        <w:t>23 October</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September</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393036" w:rsidP="00C80E70">
      <w:r>
        <w:rPr>
          <w:rFonts w:ascii="Arial" w:eastAsiaTheme="minorEastAsia" w:hAnsi="Arial" w:cs="Arial"/>
          <w:b/>
          <w:bCs/>
          <w:noProof/>
          <w:color w:val="1074CB"/>
          <w:sz w:val="20"/>
        </w:rPr>
        <mc:AlternateContent>
          <mc:Choice Requires="wps">
            <w:drawing>
              <wp:anchor distT="4294967294" distB="4294967294" distL="114300" distR="114300" simplePos="0" relativeHeight="251659264" behindDoc="0" locked="0" layoutInCell="1" allowOverlap="1">
                <wp:simplePos x="0" y="0"/>
                <wp:positionH relativeFrom="column">
                  <wp:posOffset>6985</wp:posOffset>
                </wp:positionH>
                <wp:positionV relativeFrom="paragraph">
                  <wp:posOffset>46989</wp:posOffset>
                </wp:positionV>
                <wp:extent cx="5845175" cy="0"/>
                <wp:effectExtent l="0" t="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mc:Fallback>
        </mc:AlternateContent>
      </w:r>
    </w:p>
    <w:p w:rsidR="00924274" w:rsidRPr="00924274" w:rsidRDefault="007D6B3B"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Re</w:t>
      </w:r>
      <w:r w:rsidR="00393036">
        <w:rPr>
          <w:rFonts w:ascii="Arial" w:eastAsiaTheme="minorEastAsia" w:hAnsi="Arial" w:cs="Arial"/>
          <w:bCs/>
          <w:color w:val="1074CB"/>
          <w:sz w:val="36"/>
          <w:szCs w:val="36"/>
        </w:rPr>
        <w:t>-</w:t>
      </w:r>
      <w:r>
        <w:rPr>
          <w:rFonts w:ascii="Arial" w:eastAsiaTheme="minorEastAsia" w:hAnsi="Arial" w:cs="Arial"/>
          <w:bCs/>
          <w:color w:val="1074CB"/>
          <w:sz w:val="36"/>
          <w:szCs w:val="36"/>
        </w:rPr>
        <w:t>tooling leaves engine production subdued in September</w:t>
      </w:r>
    </w:p>
    <w:p w:rsidR="00C80E70" w:rsidRDefault="00C80E70" w:rsidP="00C80E70">
      <w:pPr>
        <w:spacing w:line="276" w:lineRule="auto"/>
        <w:rPr>
          <w:rFonts w:ascii="Verdana" w:hAnsi="Verdana"/>
          <w:sz w:val="20"/>
        </w:rPr>
      </w:pPr>
    </w:p>
    <w:p w:rsidR="00642552" w:rsidRDefault="001E4D53" w:rsidP="005F4C35">
      <w:pPr>
        <w:pStyle w:val="ListParagraph"/>
        <w:numPr>
          <w:ilvl w:val="0"/>
          <w:numId w:val="1"/>
        </w:numPr>
        <w:ind w:left="357" w:hanging="357"/>
        <w:rPr>
          <w:rFonts w:ascii="Arial" w:hAnsi="Arial" w:cs="Arial"/>
          <w:sz w:val="20"/>
        </w:rPr>
      </w:pPr>
      <w:r>
        <w:rPr>
          <w:rFonts w:ascii="Arial" w:hAnsi="Arial" w:cs="Arial"/>
          <w:sz w:val="20"/>
        </w:rPr>
        <w:t>UK engine production down 13.6% in September as facilities undergo re</w:t>
      </w:r>
      <w:r w:rsidR="006D4F9B">
        <w:rPr>
          <w:rFonts w:ascii="Arial" w:hAnsi="Arial" w:cs="Arial"/>
          <w:sz w:val="20"/>
        </w:rPr>
        <w:t>-</w:t>
      </w:r>
      <w:r>
        <w:rPr>
          <w:rFonts w:ascii="Arial" w:hAnsi="Arial" w:cs="Arial"/>
          <w:sz w:val="20"/>
        </w:rPr>
        <w:t>tooling efforts for new products.</w:t>
      </w:r>
    </w:p>
    <w:p w:rsidR="00642552" w:rsidRDefault="00642552" w:rsidP="00642552">
      <w:pPr>
        <w:pStyle w:val="ListParagraph"/>
        <w:ind w:left="357"/>
        <w:rPr>
          <w:rFonts w:ascii="Arial" w:hAnsi="Arial" w:cs="Arial"/>
          <w:sz w:val="20"/>
        </w:rPr>
      </w:pPr>
    </w:p>
    <w:p w:rsidR="005F4C35" w:rsidRDefault="001E4D53" w:rsidP="005F4C35">
      <w:pPr>
        <w:pStyle w:val="ListParagraph"/>
        <w:numPr>
          <w:ilvl w:val="0"/>
          <w:numId w:val="1"/>
        </w:numPr>
        <w:ind w:left="357" w:hanging="357"/>
        <w:rPr>
          <w:rFonts w:ascii="Arial" w:hAnsi="Arial" w:cs="Arial"/>
          <w:sz w:val="20"/>
        </w:rPr>
      </w:pPr>
      <w:r>
        <w:rPr>
          <w:rFonts w:ascii="Arial" w:hAnsi="Arial" w:cs="Arial"/>
          <w:sz w:val="20"/>
        </w:rPr>
        <w:t xml:space="preserve">Output has fallen 5.0% over the year-to-date, but </w:t>
      </w:r>
      <w:r w:rsidR="007D6B3B">
        <w:rPr>
          <w:rFonts w:ascii="Arial" w:hAnsi="Arial" w:cs="Arial"/>
          <w:sz w:val="20"/>
        </w:rPr>
        <w:t>percentage exported has increased.</w:t>
      </w:r>
    </w:p>
    <w:p w:rsidR="005F4C35" w:rsidRPr="00642552" w:rsidRDefault="005F4C35" w:rsidP="00642552">
      <w:pPr>
        <w:rPr>
          <w:rFonts w:ascii="Arial" w:hAnsi="Arial" w:cs="Arial"/>
          <w:sz w:val="20"/>
        </w:rPr>
      </w:pPr>
    </w:p>
    <w:p w:rsidR="005F4C35" w:rsidRPr="005F4C35" w:rsidRDefault="007D6B3B" w:rsidP="005F4C35">
      <w:pPr>
        <w:pStyle w:val="ListParagraph"/>
        <w:numPr>
          <w:ilvl w:val="0"/>
          <w:numId w:val="1"/>
        </w:numPr>
        <w:ind w:left="357" w:hanging="357"/>
        <w:rPr>
          <w:rFonts w:ascii="Arial" w:hAnsi="Arial" w:cs="Arial"/>
          <w:sz w:val="20"/>
        </w:rPr>
      </w:pPr>
      <w:r>
        <w:rPr>
          <w:rFonts w:ascii="Arial" w:hAnsi="Arial" w:cs="Arial"/>
          <w:sz w:val="20"/>
        </w:rPr>
        <w:t>Significant investment is being made into low-emissions engine manufacturing in the UK, ensuring a positive outlook for the sector</w:t>
      </w:r>
      <w:r w:rsidR="00C42957" w:rsidRPr="005F4C35">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firstRow="1" w:lastRow="0" w:firstColumn="1" w:lastColumn="0" w:noHBand="0" w:noVBand="1"/>
      </w:tblPr>
      <w:tblGrid>
        <w:gridCol w:w="2448"/>
        <w:gridCol w:w="1109"/>
        <w:gridCol w:w="992"/>
        <w:gridCol w:w="1276"/>
        <w:gridCol w:w="1134"/>
        <w:gridCol w:w="1140"/>
        <w:gridCol w:w="1354"/>
      </w:tblGrid>
      <w:tr w:rsidR="001E4D53" w:rsidRPr="00761183" w:rsidTr="00F41525">
        <w:trPr>
          <w:trHeight w:val="270"/>
          <w:jc w:val="right"/>
        </w:trPr>
        <w:tc>
          <w:tcPr>
            <w:tcW w:w="2448" w:type="dxa"/>
            <w:shd w:val="clear" w:color="auto" w:fill="auto"/>
            <w:noWrap/>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Engine manufacturing</w:t>
            </w:r>
          </w:p>
        </w:tc>
        <w:tc>
          <w:tcPr>
            <w:tcW w:w="1109"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Sep-13</w:t>
            </w:r>
          </w:p>
        </w:tc>
        <w:tc>
          <w:tcPr>
            <w:tcW w:w="992"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Sep-14</w:t>
            </w:r>
          </w:p>
        </w:tc>
        <w:tc>
          <w:tcPr>
            <w:tcW w:w="1276"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 xml:space="preserve">% Change </w:t>
            </w:r>
          </w:p>
        </w:tc>
        <w:tc>
          <w:tcPr>
            <w:tcW w:w="1134"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YTD-13</w:t>
            </w:r>
          </w:p>
        </w:tc>
        <w:tc>
          <w:tcPr>
            <w:tcW w:w="1140"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YTD-14</w:t>
            </w:r>
          </w:p>
        </w:tc>
        <w:tc>
          <w:tcPr>
            <w:tcW w:w="1354" w:type="dxa"/>
            <w:shd w:val="clear" w:color="auto" w:fill="auto"/>
            <w:noWrap/>
            <w:vAlign w:val="bottom"/>
            <w:hideMark/>
          </w:tcPr>
          <w:p w:rsidR="001E4D53" w:rsidRPr="001E4D53" w:rsidRDefault="001E4D53">
            <w:pPr>
              <w:jc w:val="center"/>
              <w:rPr>
                <w:rFonts w:ascii="Arial" w:hAnsi="Arial" w:cs="Arial"/>
                <w:b/>
                <w:color w:val="002060"/>
                <w:sz w:val="20"/>
              </w:rPr>
            </w:pPr>
            <w:r w:rsidRPr="001E4D53">
              <w:rPr>
                <w:rFonts w:ascii="Arial" w:hAnsi="Arial" w:cs="Arial"/>
                <w:b/>
                <w:color w:val="002060"/>
                <w:sz w:val="20"/>
              </w:rPr>
              <w:t>% Change</w:t>
            </w:r>
          </w:p>
        </w:tc>
      </w:tr>
      <w:tr w:rsidR="001E4D53" w:rsidRPr="00761183" w:rsidTr="00F41525">
        <w:trPr>
          <w:trHeight w:val="270"/>
          <w:jc w:val="right"/>
        </w:trPr>
        <w:tc>
          <w:tcPr>
            <w:tcW w:w="2448" w:type="dxa"/>
            <w:shd w:val="clear" w:color="auto" w:fill="auto"/>
            <w:noWrap/>
            <w:vAlign w:val="bottom"/>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Total</w:t>
            </w:r>
          </w:p>
        </w:tc>
        <w:tc>
          <w:tcPr>
            <w:tcW w:w="1109" w:type="dxa"/>
            <w:shd w:val="clear" w:color="auto" w:fill="auto"/>
            <w:noWrap/>
            <w:vAlign w:val="bottom"/>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244,409</w:t>
            </w:r>
          </w:p>
        </w:tc>
        <w:tc>
          <w:tcPr>
            <w:tcW w:w="992" w:type="dxa"/>
            <w:shd w:val="clear" w:color="auto" w:fill="auto"/>
            <w:noWrap/>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211,185</w:t>
            </w:r>
          </w:p>
        </w:tc>
        <w:tc>
          <w:tcPr>
            <w:tcW w:w="1276" w:type="dxa"/>
            <w:shd w:val="clear" w:color="auto" w:fill="auto"/>
            <w:noWrap/>
            <w:vAlign w:val="bottom"/>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-13.6%</w:t>
            </w:r>
          </w:p>
        </w:tc>
        <w:tc>
          <w:tcPr>
            <w:tcW w:w="1134" w:type="dxa"/>
            <w:shd w:val="clear" w:color="auto" w:fill="auto"/>
            <w:noWrap/>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1,918,295</w:t>
            </w:r>
          </w:p>
        </w:tc>
        <w:tc>
          <w:tcPr>
            <w:tcW w:w="1140" w:type="dxa"/>
            <w:shd w:val="clear" w:color="auto" w:fill="auto"/>
            <w:noWrap/>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1,821,941</w:t>
            </w:r>
          </w:p>
        </w:tc>
        <w:tc>
          <w:tcPr>
            <w:tcW w:w="1354" w:type="dxa"/>
            <w:shd w:val="clear" w:color="auto" w:fill="auto"/>
            <w:noWrap/>
            <w:vAlign w:val="bottom"/>
            <w:hideMark/>
          </w:tcPr>
          <w:p w:rsidR="001E4D53" w:rsidRPr="001E4D53" w:rsidRDefault="001E4D53">
            <w:pPr>
              <w:jc w:val="right"/>
              <w:rPr>
                <w:rFonts w:ascii="Arial" w:hAnsi="Arial" w:cs="Arial"/>
                <w:b/>
                <w:color w:val="002060"/>
                <w:sz w:val="20"/>
              </w:rPr>
            </w:pPr>
            <w:r w:rsidRPr="001E4D53">
              <w:rPr>
                <w:rFonts w:ascii="Arial" w:hAnsi="Arial" w:cs="Arial"/>
                <w:b/>
                <w:color w:val="002060"/>
                <w:sz w:val="20"/>
              </w:rPr>
              <w:t>-5.0%</w:t>
            </w:r>
          </w:p>
        </w:tc>
      </w:tr>
      <w:tr w:rsidR="001E4D53" w:rsidRPr="00761183" w:rsidTr="00F41525">
        <w:trPr>
          <w:trHeight w:val="270"/>
          <w:jc w:val="right"/>
        </w:trPr>
        <w:tc>
          <w:tcPr>
            <w:tcW w:w="2448"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Home</w:t>
            </w:r>
          </w:p>
        </w:tc>
        <w:tc>
          <w:tcPr>
            <w:tcW w:w="1109" w:type="dxa"/>
            <w:shd w:val="clear" w:color="auto" w:fill="auto"/>
            <w:noWrap/>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94,726</w:t>
            </w:r>
          </w:p>
        </w:tc>
        <w:tc>
          <w:tcPr>
            <w:tcW w:w="992" w:type="dxa"/>
            <w:shd w:val="clear" w:color="auto" w:fill="auto"/>
            <w:noWrap/>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87,774</w:t>
            </w:r>
          </w:p>
        </w:tc>
        <w:tc>
          <w:tcPr>
            <w:tcW w:w="1276"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-7.3%</w:t>
            </w:r>
          </w:p>
        </w:tc>
        <w:tc>
          <w:tcPr>
            <w:tcW w:w="1134" w:type="dxa"/>
            <w:shd w:val="clear" w:color="auto" w:fill="auto"/>
            <w:noWrap/>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776,733</w:t>
            </w:r>
          </w:p>
        </w:tc>
        <w:tc>
          <w:tcPr>
            <w:tcW w:w="1140"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664,908</w:t>
            </w:r>
          </w:p>
        </w:tc>
        <w:tc>
          <w:tcPr>
            <w:tcW w:w="1354"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-14.4%</w:t>
            </w:r>
          </w:p>
        </w:tc>
      </w:tr>
      <w:tr w:rsidR="001E4D53" w:rsidRPr="00761183" w:rsidTr="00F41525">
        <w:trPr>
          <w:trHeight w:val="270"/>
          <w:jc w:val="right"/>
        </w:trPr>
        <w:tc>
          <w:tcPr>
            <w:tcW w:w="2448"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Export</w:t>
            </w:r>
          </w:p>
        </w:tc>
        <w:tc>
          <w:tcPr>
            <w:tcW w:w="1109"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149,683</w:t>
            </w:r>
          </w:p>
        </w:tc>
        <w:tc>
          <w:tcPr>
            <w:tcW w:w="992"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123,411</w:t>
            </w:r>
          </w:p>
        </w:tc>
        <w:tc>
          <w:tcPr>
            <w:tcW w:w="1276"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-17.6%</w:t>
            </w:r>
          </w:p>
        </w:tc>
        <w:tc>
          <w:tcPr>
            <w:tcW w:w="1134" w:type="dxa"/>
            <w:shd w:val="clear" w:color="auto" w:fill="auto"/>
            <w:noWrap/>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1,141,562</w:t>
            </w:r>
          </w:p>
        </w:tc>
        <w:tc>
          <w:tcPr>
            <w:tcW w:w="1140"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1,157,033</w:t>
            </w:r>
          </w:p>
        </w:tc>
        <w:tc>
          <w:tcPr>
            <w:tcW w:w="1354"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1.4%</w:t>
            </w:r>
          </w:p>
        </w:tc>
      </w:tr>
      <w:tr w:rsidR="001E4D53" w:rsidRPr="00761183" w:rsidTr="00F41525">
        <w:trPr>
          <w:trHeight w:val="270"/>
          <w:jc w:val="right"/>
        </w:trPr>
        <w:tc>
          <w:tcPr>
            <w:tcW w:w="2448"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 export</w:t>
            </w:r>
          </w:p>
        </w:tc>
        <w:tc>
          <w:tcPr>
            <w:tcW w:w="1109"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61.2%</w:t>
            </w:r>
          </w:p>
        </w:tc>
        <w:tc>
          <w:tcPr>
            <w:tcW w:w="992"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58.4%</w:t>
            </w:r>
          </w:p>
        </w:tc>
        <w:tc>
          <w:tcPr>
            <w:tcW w:w="1276"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 </w:t>
            </w:r>
          </w:p>
        </w:tc>
        <w:tc>
          <w:tcPr>
            <w:tcW w:w="1134"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59.5%</w:t>
            </w:r>
          </w:p>
        </w:tc>
        <w:tc>
          <w:tcPr>
            <w:tcW w:w="1140"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63.5%</w:t>
            </w:r>
          </w:p>
        </w:tc>
        <w:tc>
          <w:tcPr>
            <w:tcW w:w="1354" w:type="dxa"/>
            <w:shd w:val="clear" w:color="auto" w:fill="auto"/>
            <w:noWrap/>
            <w:vAlign w:val="bottom"/>
            <w:hideMark/>
          </w:tcPr>
          <w:p w:rsidR="001E4D53" w:rsidRPr="001E4D53" w:rsidRDefault="001E4D53">
            <w:pPr>
              <w:jc w:val="right"/>
              <w:rPr>
                <w:rFonts w:ascii="Arial" w:hAnsi="Arial" w:cs="Arial"/>
                <w:color w:val="002060"/>
                <w:sz w:val="20"/>
              </w:rPr>
            </w:pPr>
            <w:r w:rsidRPr="001E4D53">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393036" w:rsidP="00C80E70">
      <w:pPr>
        <w:rPr>
          <w:rFonts w:ascii="Verdana" w:hAnsi="Verdana"/>
          <w:sz w:val="20"/>
        </w:rPr>
      </w:pPr>
      <w:r>
        <w:rPr>
          <w:rFonts w:ascii="Arial" w:hAnsi="Arial" w:cs="Arial"/>
          <w:b/>
          <w:color w:val="0D2255"/>
          <w:sz w:val="20"/>
        </w:rPr>
        <w:t xml:space="preserve">  </w:t>
      </w:r>
      <w:r w:rsidR="00C80E70">
        <w:rPr>
          <w:rFonts w:ascii="Arial" w:hAnsi="Arial" w:cs="Arial"/>
          <w:b/>
          <w:color w:val="0D2255"/>
          <w:sz w:val="20"/>
        </w:rPr>
        <w:t>Engine</w:t>
      </w:r>
      <w:r w:rsidR="00C80E70"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0B47D6" w:rsidP="00C80E70"/>
    <w:p w:rsidR="000B47D6" w:rsidRPr="000B47D6" w:rsidRDefault="00426240" w:rsidP="000B47D6">
      <w:r w:rsidRPr="00426240">
        <w:rPr>
          <w:noProof/>
        </w:rPr>
        <w:drawing>
          <wp:inline distT="0" distB="0" distL="0" distR="0">
            <wp:extent cx="3000652"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26240">
        <w:rPr>
          <w:noProof/>
        </w:rPr>
        <w:drawing>
          <wp:inline distT="0" distB="0" distL="0" distR="0">
            <wp:extent cx="2512381" cy="2689934"/>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B47D6" w:rsidRPr="000B47D6" w:rsidSect="00A72CAD">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50" w:rsidRDefault="001A1450" w:rsidP="00C80E70">
      <w:r>
        <w:separator/>
      </w:r>
    </w:p>
  </w:endnote>
  <w:endnote w:type="continuationSeparator" w:id="0">
    <w:p w:rsidR="001A1450" w:rsidRDefault="001A1450"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6" w:rsidRDefault="00DF4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50" w:rsidRPr="00853E71" w:rsidRDefault="001A1450"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1A1450" w:rsidRPr="00853E71" w:rsidRDefault="001A1450"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1A1450" w:rsidRPr="00006B7F" w:rsidRDefault="001A1450" w:rsidP="00F843C1">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1A1450" w:rsidRPr="00932A9E" w:rsidRDefault="00393036" w:rsidP="00C80E70">
    <w:r>
      <w:rPr>
        <w:rFonts w:ascii="Arial" w:eastAsia="Times New Roman" w:hAnsi="Arial" w:cs="Arial"/>
        <w:color w:val="1074CB"/>
        <w:sz w:val="16"/>
        <w:szCs w:val="16"/>
      </w:rPr>
      <w:t>Lucy Bielby</w:t>
    </w:r>
    <w:r w:rsidR="00932A9E">
      <w:rPr>
        <w:rFonts w:ascii="Arial" w:eastAsia="Times New Roman" w:hAnsi="Arial" w:cs="Arial"/>
        <w:color w:val="1074CB"/>
        <w:sz w:val="16"/>
        <w:szCs w:val="16"/>
      </w:rPr>
      <w:tab/>
    </w:r>
    <w:r w:rsidR="00932A9E">
      <w:rPr>
        <w:rFonts w:ascii="Arial" w:eastAsia="Times New Roman" w:hAnsi="Arial" w:cs="Arial"/>
        <w:color w:val="1074CB"/>
        <w:sz w:val="16"/>
        <w:szCs w:val="16"/>
      </w:rPr>
      <w:tab/>
    </w:r>
    <w:r w:rsidR="00932A9E">
      <w:rPr>
        <w:rFonts w:ascii="Arial" w:eastAsia="Times New Roman" w:hAnsi="Arial" w:cs="Arial"/>
        <w:color w:val="1074CB"/>
        <w:sz w:val="16"/>
        <w:szCs w:val="16"/>
      </w:rPr>
      <w:tab/>
    </w:r>
    <w:r>
      <w:rPr>
        <w:rFonts w:ascii="Arial" w:eastAsia="Times New Roman" w:hAnsi="Arial" w:cs="Arial"/>
        <w:color w:val="1074CB"/>
        <w:sz w:val="16"/>
        <w:szCs w:val="16"/>
      </w:rPr>
      <w:t>0207 344 1610</w:t>
    </w:r>
    <w:r w:rsidR="00932A9E">
      <w:rPr>
        <w:rFonts w:ascii="Arial" w:eastAsia="Times New Roman" w:hAnsi="Arial" w:cs="Arial"/>
        <w:color w:val="1074CB"/>
        <w:sz w:val="16"/>
        <w:szCs w:val="16"/>
      </w:rPr>
      <w:tab/>
    </w:r>
    <w:r w:rsidR="00932A9E">
      <w:rPr>
        <w:rFonts w:ascii="Arial" w:eastAsia="Times New Roman" w:hAnsi="Arial" w:cs="Arial"/>
        <w:color w:val="1074CB"/>
        <w:sz w:val="16"/>
        <w:szCs w:val="16"/>
      </w:rPr>
      <w:tab/>
    </w:r>
    <w:bookmarkStart w:id="0" w:name="_GoBack"/>
    <w:bookmarkEnd w:id="0"/>
    <w:r w:rsidR="00DF4E26">
      <w:rPr>
        <w:rFonts w:ascii="Arial" w:eastAsia="Times New Roman" w:hAnsi="Arial" w:cs="Arial"/>
        <w:sz w:val="16"/>
        <w:szCs w:val="16"/>
      </w:rPr>
      <w:fldChar w:fldCharType="begin"/>
    </w:r>
    <w:r w:rsidR="00DF4E26">
      <w:rPr>
        <w:rFonts w:ascii="Arial" w:eastAsia="Times New Roman" w:hAnsi="Arial" w:cs="Arial"/>
        <w:sz w:val="16"/>
        <w:szCs w:val="16"/>
      </w:rPr>
      <w:instrText xml:space="preserve"> HYPERLINK "mailto:</w:instrText>
    </w:r>
    <w:r w:rsidR="00DF4E26" w:rsidRPr="00DF4E26">
      <w:rPr>
        <w:rFonts w:ascii="Arial" w:eastAsia="Times New Roman" w:hAnsi="Arial" w:cs="Arial"/>
        <w:sz w:val="16"/>
        <w:szCs w:val="16"/>
      </w:rPr>
      <w:instrText>lbielby@smmt.co.uk</w:instrText>
    </w:r>
    <w:r w:rsidR="00DF4E26">
      <w:rPr>
        <w:rFonts w:ascii="Arial" w:eastAsia="Times New Roman" w:hAnsi="Arial" w:cs="Arial"/>
        <w:sz w:val="16"/>
        <w:szCs w:val="16"/>
      </w:rPr>
      <w:instrText xml:space="preserve">" </w:instrText>
    </w:r>
    <w:r w:rsidR="00DF4E26">
      <w:rPr>
        <w:rFonts w:ascii="Arial" w:eastAsia="Times New Roman" w:hAnsi="Arial" w:cs="Arial"/>
        <w:sz w:val="16"/>
        <w:szCs w:val="16"/>
      </w:rPr>
      <w:fldChar w:fldCharType="separate"/>
    </w:r>
    <w:r w:rsidR="00DF4E26" w:rsidRPr="00B339E5">
      <w:rPr>
        <w:rStyle w:val="Hyperlink"/>
        <w:rFonts w:ascii="Arial" w:eastAsia="Times New Roman" w:hAnsi="Arial" w:cs="Arial"/>
        <w:sz w:val="16"/>
        <w:szCs w:val="16"/>
      </w:rPr>
      <w:t>lbielby@smmt.co.uk</w:t>
    </w:r>
    <w:r w:rsidR="00DF4E26">
      <w:rPr>
        <w:rFonts w:ascii="Arial" w:eastAsia="Times New Roman"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6" w:rsidRDefault="00DF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50" w:rsidRDefault="001A1450" w:rsidP="00C80E70">
      <w:r>
        <w:separator/>
      </w:r>
    </w:p>
  </w:footnote>
  <w:footnote w:type="continuationSeparator" w:id="0">
    <w:p w:rsidR="001A1450" w:rsidRDefault="001A1450"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6" w:rsidRDefault="00DF4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50" w:rsidRDefault="001A1450"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6" w:rsidRDefault="00DF4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41AA"/>
    <w:rsid w:val="00011D05"/>
    <w:rsid w:val="00054E31"/>
    <w:rsid w:val="00066F55"/>
    <w:rsid w:val="000B47D6"/>
    <w:rsid w:val="000C3FDE"/>
    <w:rsid w:val="000E5317"/>
    <w:rsid w:val="000F250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6CB9"/>
    <w:rsid w:val="001E33CE"/>
    <w:rsid w:val="001E428D"/>
    <w:rsid w:val="001E454F"/>
    <w:rsid w:val="001E4D53"/>
    <w:rsid w:val="00200F65"/>
    <w:rsid w:val="0020649D"/>
    <w:rsid w:val="00223BD9"/>
    <w:rsid w:val="00252DCB"/>
    <w:rsid w:val="00266A9A"/>
    <w:rsid w:val="0028093B"/>
    <w:rsid w:val="002843B6"/>
    <w:rsid w:val="002A5934"/>
    <w:rsid w:val="002B4F7D"/>
    <w:rsid w:val="002D17AA"/>
    <w:rsid w:val="002F3F25"/>
    <w:rsid w:val="0030510B"/>
    <w:rsid w:val="00346C59"/>
    <w:rsid w:val="003702E1"/>
    <w:rsid w:val="00375DF8"/>
    <w:rsid w:val="00391BAE"/>
    <w:rsid w:val="00393036"/>
    <w:rsid w:val="003A0F07"/>
    <w:rsid w:val="003A31D4"/>
    <w:rsid w:val="003B1C39"/>
    <w:rsid w:val="003E4D46"/>
    <w:rsid w:val="003E69D3"/>
    <w:rsid w:val="00410539"/>
    <w:rsid w:val="00426240"/>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0881"/>
    <w:rsid w:val="005B33EF"/>
    <w:rsid w:val="005B536B"/>
    <w:rsid w:val="005C668F"/>
    <w:rsid w:val="005E2C9D"/>
    <w:rsid w:val="005F44DC"/>
    <w:rsid w:val="005F4C35"/>
    <w:rsid w:val="006068D1"/>
    <w:rsid w:val="0060762E"/>
    <w:rsid w:val="00614891"/>
    <w:rsid w:val="00620857"/>
    <w:rsid w:val="00622903"/>
    <w:rsid w:val="006315A6"/>
    <w:rsid w:val="00642552"/>
    <w:rsid w:val="00653F42"/>
    <w:rsid w:val="006623D6"/>
    <w:rsid w:val="00664173"/>
    <w:rsid w:val="00686576"/>
    <w:rsid w:val="00696C6A"/>
    <w:rsid w:val="006B4C72"/>
    <w:rsid w:val="006B7F8A"/>
    <w:rsid w:val="006D4F9B"/>
    <w:rsid w:val="006D538E"/>
    <w:rsid w:val="006E5BF9"/>
    <w:rsid w:val="006F4F9F"/>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D36B3"/>
    <w:rsid w:val="007D6B3B"/>
    <w:rsid w:val="007D6D7A"/>
    <w:rsid w:val="00800D5B"/>
    <w:rsid w:val="008030A3"/>
    <w:rsid w:val="00804C47"/>
    <w:rsid w:val="00806662"/>
    <w:rsid w:val="00825E32"/>
    <w:rsid w:val="00834F60"/>
    <w:rsid w:val="008753AA"/>
    <w:rsid w:val="008B50CB"/>
    <w:rsid w:val="008D1B5B"/>
    <w:rsid w:val="008E4462"/>
    <w:rsid w:val="008F55A4"/>
    <w:rsid w:val="0090726B"/>
    <w:rsid w:val="00924274"/>
    <w:rsid w:val="00931C26"/>
    <w:rsid w:val="00932034"/>
    <w:rsid w:val="00932A9E"/>
    <w:rsid w:val="00950FE1"/>
    <w:rsid w:val="00964455"/>
    <w:rsid w:val="0097483C"/>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6F10"/>
    <w:rsid w:val="00B8181D"/>
    <w:rsid w:val="00B95B22"/>
    <w:rsid w:val="00BB5B9F"/>
    <w:rsid w:val="00BC5727"/>
    <w:rsid w:val="00BC7B6B"/>
    <w:rsid w:val="00BF0928"/>
    <w:rsid w:val="00BF4C94"/>
    <w:rsid w:val="00C03896"/>
    <w:rsid w:val="00C065D0"/>
    <w:rsid w:val="00C07099"/>
    <w:rsid w:val="00C100C5"/>
    <w:rsid w:val="00C108FE"/>
    <w:rsid w:val="00C37406"/>
    <w:rsid w:val="00C42957"/>
    <w:rsid w:val="00C623F2"/>
    <w:rsid w:val="00C657AB"/>
    <w:rsid w:val="00C7079C"/>
    <w:rsid w:val="00C73F08"/>
    <w:rsid w:val="00C80E70"/>
    <w:rsid w:val="00C83606"/>
    <w:rsid w:val="00C83858"/>
    <w:rsid w:val="00C847EC"/>
    <w:rsid w:val="00C90478"/>
    <w:rsid w:val="00CC79C5"/>
    <w:rsid w:val="00CD0659"/>
    <w:rsid w:val="00CE070B"/>
    <w:rsid w:val="00CE3518"/>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DF4E26"/>
    <w:rsid w:val="00E343D2"/>
    <w:rsid w:val="00E3450A"/>
    <w:rsid w:val="00E5680B"/>
    <w:rsid w:val="00E634A1"/>
    <w:rsid w:val="00E84E41"/>
    <w:rsid w:val="00EB2FB8"/>
    <w:rsid w:val="00EB5EA2"/>
    <w:rsid w:val="00EC65AF"/>
    <w:rsid w:val="00EF35D8"/>
    <w:rsid w:val="00F205F0"/>
    <w:rsid w:val="00F23688"/>
    <w:rsid w:val="00F30490"/>
    <w:rsid w:val="00F43472"/>
    <w:rsid w:val="00F50E90"/>
    <w:rsid w:val="00F843C1"/>
    <w:rsid w:val="00F965DC"/>
    <w:rsid w:val="00FA0FF6"/>
    <w:rsid w:val="00FC34F4"/>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ASSEMBLY\ENGINES\UK-ENGINE-ASSEMBLY-Sept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51603410906675"/>
          <c:y val="0.11237350539515893"/>
          <c:w val="0.75205619452926009"/>
          <c:h val="0.7564554795614068"/>
        </c:manualLayout>
      </c:layout>
      <c:lineChart>
        <c:grouping val="standard"/>
        <c:varyColors val="0"/>
        <c:ser>
          <c:idx val="13"/>
          <c:order val="0"/>
          <c:tx>
            <c:strRef>
              <c:f>'PR chart 1'!$B$2</c:f>
              <c:strCache>
                <c:ptCount val="1"/>
                <c:pt idx="0">
                  <c:v>Total</c:v>
                </c:pt>
              </c:strCache>
            </c:strRef>
          </c:tx>
          <c:spPr>
            <a:ln w="31750">
              <a:solidFill>
                <a:srgbClr val="333399"/>
              </a:solidFill>
              <a:prstDash val="solid"/>
            </a:ln>
          </c:spPr>
          <c:marker>
            <c:symbol val="none"/>
          </c:marker>
          <c:cat>
            <c:strRef>
              <c:f>'PR chart 1'!$C$1:$BJ$1</c:f>
              <c:strCache>
                <c:ptCount val="60"/>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2.0936689999999998</c:v>
                </c:pt>
                <c:pt idx="1">
                  <c:v>2.1673529999999999</c:v>
                </c:pt>
                <c:pt idx="2">
                  <c:v>2.2385760000000001</c:v>
                </c:pt>
                <c:pt idx="3">
                  <c:v>2.293771</c:v>
                </c:pt>
                <c:pt idx="4">
                  <c:v>2.3481730000000001</c:v>
                </c:pt>
                <c:pt idx="5">
                  <c:v>2.3845499999999999</c:v>
                </c:pt>
                <c:pt idx="6">
                  <c:v>2.3782030000000001</c:v>
                </c:pt>
                <c:pt idx="7">
                  <c:v>2.3936139999999999</c:v>
                </c:pt>
                <c:pt idx="8">
                  <c:v>2.3966310000000002</c:v>
                </c:pt>
                <c:pt idx="9">
                  <c:v>2.384843</c:v>
                </c:pt>
                <c:pt idx="10">
                  <c:v>2.388887</c:v>
                </c:pt>
                <c:pt idx="11">
                  <c:v>2.386717</c:v>
                </c:pt>
                <c:pt idx="12">
                  <c:v>2.409859</c:v>
                </c:pt>
                <c:pt idx="13">
                  <c:v>2.4301189999999999</c:v>
                </c:pt>
                <c:pt idx="14">
                  <c:v>2.44537</c:v>
                </c:pt>
                <c:pt idx="15">
                  <c:v>2.4359329999999999</c:v>
                </c:pt>
                <c:pt idx="16">
                  <c:v>2.4441280000000001</c:v>
                </c:pt>
                <c:pt idx="17">
                  <c:v>2.445913</c:v>
                </c:pt>
                <c:pt idx="18">
                  <c:v>2.44516</c:v>
                </c:pt>
                <c:pt idx="19">
                  <c:v>2.4618570000000002</c:v>
                </c:pt>
                <c:pt idx="20">
                  <c:v>2.476918</c:v>
                </c:pt>
                <c:pt idx="21">
                  <c:v>2.5022799999999998</c:v>
                </c:pt>
                <c:pt idx="22">
                  <c:v>2.5061089999999999</c:v>
                </c:pt>
                <c:pt idx="23">
                  <c:v>2.504054</c:v>
                </c:pt>
                <c:pt idx="24">
                  <c:v>2.5191720000000002</c:v>
                </c:pt>
                <c:pt idx="25">
                  <c:v>2.5322879999999999</c:v>
                </c:pt>
                <c:pt idx="26">
                  <c:v>2.5165690000000001</c:v>
                </c:pt>
                <c:pt idx="27">
                  <c:v>2.5188459999999999</c:v>
                </c:pt>
                <c:pt idx="28">
                  <c:v>2.5475650000000001</c:v>
                </c:pt>
                <c:pt idx="29">
                  <c:v>2.5113129999999999</c:v>
                </c:pt>
                <c:pt idx="30">
                  <c:v>2.511676</c:v>
                </c:pt>
                <c:pt idx="31">
                  <c:v>2.5281989999999999</c:v>
                </c:pt>
                <c:pt idx="32">
                  <c:v>2.4969809999999999</c:v>
                </c:pt>
                <c:pt idx="33">
                  <c:v>2.4997440000000002</c:v>
                </c:pt>
                <c:pt idx="34">
                  <c:v>2.4965790000000001</c:v>
                </c:pt>
                <c:pt idx="35">
                  <c:v>2.495371</c:v>
                </c:pt>
                <c:pt idx="36">
                  <c:v>2.483603</c:v>
                </c:pt>
                <c:pt idx="37">
                  <c:v>2.471886</c:v>
                </c:pt>
                <c:pt idx="38">
                  <c:v>2.4578799999999998</c:v>
                </c:pt>
                <c:pt idx="39">
                  <c:v>2.4769239999999999</c:v>
                </c:pt>
                <c:pt idx="40">
                  <c:v>2.4564810000000001</c:v>
                </c:pt>
                <c:pt idx="41">
                  <c:v>2.4789699999999999</c:v>
                </c:pt>
                <c:pt idx="42">
                  <c:v>2.524416</c:v>
                </c:pt>
                <c:pt idx="43">
                  <c:v>2.500006</c:v>
                </c:pt>
                <c:pt idx="44">
                  <c:v>2.5313629999999998</c:v>
                </c:pt>
                <c:pt idx="45">
                  <c:v>2.5468320000000002</c:v>
                </c:pt>
                <c:pt idx="46">
                  <c:v>2.5543499999999999</c:v>
                </c:pt>
                <c:pt idx="47">
                  <c:v>2.5533160000000001</c:v>
                </c:pt>
                <c:pt idx="48">
                  <c:v>2.5398499999999999</c:v>
                </c:pt>
                <c:pt idx="49">
                  <c:v>2.534583</c:v>
                </c:pt>
                <c:pt idx="50">
                  <c:v>2.5445099999999998</c:v>
                </c:pt>
                <c:pt idx="51">
                  <c:v>2.5506570000000002</c:v>
                </c:pt>
                <c:pt idx="52">
                  <c:v>2.541766</c:v>
                </c:pt>
                <c:pt idx="53">
                  <c:v>2.5408810000000002</c:v>
                </c:pt>
                <c:pt idx="54">
                  <c:v>2.5173939999999999</c:v>
                </c:pt>
                <c:pt idx="55">
                  <c:v>2.490186</c:v>
                </c:pt>
                <c:pt idx="56">
                  <c:v>2.4569619999999999</c:v>
                </c:pt>
              </c:numCache>
            </c:numRef>
          </c:val>
          <c:smooth val="0"/>
        </c:ser>
        <c:ser>
          <c:idx val="0"/>
          <c:order val="1"/>
          <c:tx>
            <c:strRef>
              <c:f>'PR chart 1'!$B$3</c:f>
              <c:strCache>
                <c:ptCount val="1"/>
                <c:pt idx="0">
                  <c:v>Export</c:v>
                </c:pt>
              </c:strCache>
            </c:strRef>
          </c:tx>
          <c:marker>
            <c:symbol val="none"/>
          </c:marker>
          <c:cat>
            <c:strRef>
              <c:f>'PR chart 1'!$C$1:$BJ$1</c:f>
              <c:strCache>
                <c:ptCount val="60"/>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1.6457299999999999</c:v>
                </c:pt>
                <c:pt idx="3">
                  <c:v>1.681225</c:v>
                </c:pt>
                <c:pt idx="4">
                  <c:v>1.7095739999999999</c:v>
                </c:pt>
                <c:pt idx="5">
                  <c:v>1.731193</c:v>
                </c:pt>
                <c:pt idx="6">
                  <c:v>1.731827</c:v>
                </c:pt>
                <c:pt idx="7">
                  <c:v>1.739209</c:v>
                </c:pt>
                <c:pt idx="8">
                  <c:v>1.738567</c:v>
                </c:pt>
                <c:pt idx="9">
                  <c:v>1.728032</c:v>
                </c:pt>
                <c:pt idx="10">
                  <c:v>1.7272879999999999</c:v>
                </c:pt>
                <c:pt idx="11">
                  <c:v>1.72149</c:v>
                </c:pt>
                <c:pt idx="12">
                  <c:v>1.737722</c:v>
                </c:pt>
                <c:pt idx="13">
                  <c:v>1.7388399999999999</c:v>
                </c:pt>
                <c:pt idx="14">
                  <c:v>1.745438</c:v>
                </c:pt>
                <c:pt idx="15">
                  <c:v>1.748977</c:v>
                </c:pt>
                <c:pt idx="16">
                  <c:v>1.763055</c:v>
                </c:pt>
                <c:pt idx="17">
                  <c:v>1.7659530000000001</c:v>
                </c:pt>
                <c:pt idx="18">
                  <c:v>1.77037</c:v>
                </c:pt>
                <c:pt idx="19">
                  <c:v>1.7770820000000001</c:v>
                </c:pt>
                <c:pt idx="20">
                  <c:v>1.7800260000000001</c:v>
                </c:pt>
                <c:pt idx="21">
                  <c:v>1.7821819999999999</c:v>
                </c:pt>
                <c:pt idx="22">
                  <c:v>1.773782</c:v>
                </c:pt>
                <c:pt idx="23">
                  <c:v>1.758397</c:v>
                </c:pt>
                <c:pt idx="24">
                  <c:v>1.752124</c:v>
                </c:pt>
                <c:pt idx="25">
                  <c:v>1.7459960000000001</c:v>
                </c:pt>
                <c:pt idx="26">
                  <c:v>1.72289</c:v>
                </c:pt>
                <c:pt idx="27">
                  <c:v>1.697802</c:v>
                </c:pt>
                <c:pt idx="28">
                  <c:v>1.686644</c:v>
                </c:pt>
                <c:pt idx="29">
                  <c:v>1.640182</c:v>
                </c:pt>
                <c:pt idx="30">
                  <c:v>1.6186020000000001</c:v>
                </c:pt>
                <c:pt idx="31">
                  <c:v>1.61758</c:v>
                </c:pt>
                <c:pt idx="32">
                  <c:v>1.5791740000000001</c:v>
                </c:pt>
                <c:pt idx="33">
                  <c:v>1.569083</c:v>
                </c:pt>
                <c:pt idx="34">
                  <c:v>1.556332</c:v>
                </c:pt>
                <c:pt idx="35">
                  <c:v>1.554208</c:v>
                </c:pt>
                <c:pt idx="36">
                  <c:v>1.5401309999999999</c:v>
                </c:pt>
                <c:pt idx="37">
                  <c:v>1.52596</c:v>
                </c:pt>
                <c:pt idx="38">
                  <c:v>1.5061709999999999</c:v>
                </c:pt>
                <c:pt idx="39">
                  <c:v>1.507649</c:v>
                </c:pt>
                <c:pt idx="40">
                  <c:v>1.4851240000000001</c:v>
                </c:pt>
                <c:pt idx="41">
                  <c:v>1.4935080000000001</c:v>
                </c:pt>
                <c:pt idx="42">
                  <c:v>1.5183329999999999</c:v>
                </c:pt>
                <c:pt idx="43">
                  <c:v>1.4931179999999999</c:v>
                </c:pt>
                <c:pt idx="44">
                  <c:v>1.515174</c:v>
                </c:pt>
                <c:pt idx="45">
                  <c:v>1.5160229999999999</c:v>
                </c:pt>
                <c:pt idx="46">
                  <c:v>1.5247059999999999</c:v>
                </c:pt>
                <c:pt idx="47">
                  <c:v>1.527266</c:v>
                </c:pt>
                <c:pt idx="48">
                  <c:v>1.5287949999999999</c:v>
                </c:pt>
                <c:pt idx="49">
                  <c:v>1.5339449999999999</c:v>
                </c:pt>
                <c:pt idx="50">
                  <c:v>1.5468729999999999</c:v>
                </c:pt>
                <c:pt idx="51">
                  <c:v>1.5629439999999999</c:v>
                </c:pt>
                <c:pt idx="52">
                  <c:v>1.575326</c:v>
                </c:pt>
                <c:pt idx="53">
                  <c:v>1.5829580000000001</c:v>
                </c:pt>
                <c:pt idx="54">
                  <c:v>1.5743929999999999</c:v>
                </c:pt>
                <c:pt idx="55">
                  <c:v>1.5690090000000001</c:v>
                </c:pt>
                <c:pt idx="56">
                  <c:v>1.542737</c:v>
                </c:pt>
              </c:numCache>
            </c:numRef>
          </c:val>
          <c:smooth val="0"/>
        </c:ser>
        <c:dLbls>
          <c:showLegendKey val="0"/>
          <c:showVal val="0"/>
          <c:showCatName val="0"/>
          <c:showSerName val="0"/>
          <c:showPercent val="0"/>
          <c:showBubbleSize val="0"/>
        </c:dLbls>
        <c:marker val="1"/>
        <c:smooth val="0"/>
        <c:axId val="201092608"/>
        <c:axId val="164049984"/>
      </c:lineChart>
      <c:catAx>
        <c:axId val="201092608"/>
        <c:scaling>
          <c:orientation val="minMax"/>
        </c:scaling>
        <c:delete val="0"/>
        <c:axPos val="b"/>
        <c:numFmt formatCode="General" sourceLinked="0"/>
        <c:majorTickMark val="out"/>
        <c:minorTickMark val="none"/>
        <c:tickLblPos val="nextTo"/>
        <c:spPr>
          <a:ln w="3175">
            <a:solidFill>
              <a:srgbClr val="000000"/>
            </a:solidFill>
            <a:prstDash val="solid"/>
          </a:ln>
        </c:spPr>
        <c:txPr>
          <a:bodyPr rot="-1740000" vert="horz"/>
          <a:lstStyle/>
          <a:p>
            <a:pPr>
              <a:defRPr sz="1000" b="0" i="1" u="none" strike="noStrike" baseline="0">
                <a:solidFill>
                  <a:srgbClr val="000000"/>
                </a:solidFill>
                <a:latin typeface="Arial"/>
                <a:ea typeface="Arial"/>
                <a:cs typeface="Arial"/>
              </a:defRPr>
            </a:pPr>
            <a:endParaRPr lang="en-US"/>
          </a:p>
        </c:txPr>
        <c:crossAx val="164049984"/>
        <c:crosses val="autoZero"/>
        <c:auto val="1"/>
        <c:lblAlgn val="ctr"/>
        <c:lblOffset val="100"/>
        <c:tickLblSkip val="12"/>
        <c:tickMarkSkip val="1"/>
        <c:noMultiLvlLbl val="0"/>
      </c:catAx>
      <c:valAx>
        <c:axId val="164049984"/>
        <c:scaling>
          <c:orientation val="minMax"/>
          <c:max val="2.8"/>
          <c:min val="1.4"/>
        </c:scaling>
        <c:delete val="0"/>
        <c:axPos val="l"/>
        <c:majorGridlines>
          <c:spPr>
            <a:ln w="3175">
              <a:solidFill>
                <a:srgbClr val="000000"/>
              </a:solidFill>
              <a:prstDash val="solid"/>
            </a:ln>
          </c:spPr>
        </c:majorGridlines>
        <c:title>
          <c:tx>
            <c:rich>
              <a:bodyPr/>
              <a:lstStyle/>
              <a:p>
                <a:pPr>
                  <a:defRPr sz="800" b="1" i="1" u="none" strike="noStrike" baseline="0">
                    <a:solidFill>
                      <a:srgbClr val="000000"/>
                    </a:solidFill>
                    <a:latin typeface="Arial"/>
                    <a:ea typeface="Arial"/>
                    <a:cs typeface="Arial"/>
                  </a:defRPr>
                </a:pPr>
                <a:r>
                  <a:rPr lang="en-GB"/>
                  <a:t>Car output, 000s</a:t>
                </a:r>
              </a:p>
            </c:rich>
          </c:tx>
          <c:layout/>
          <c:overlay val="0"/>
        </c:title>
        <c:numFmt formatCode="#,##0.0" sourceLinked="0"/>
        <c:majorTickMark val="out"/>
        <c:minorTickMark val="none"/>
        <c:tickLblPos val="nextTo"/>
        <c:spPr>
          <a:noFill/>
          <a:ln w="3175">
            <a:solidFill>
              <a:srgbClr val="000000"/>
            </a:solidFill>
            <a:prstDash val="solid"/>
          </a:ln>
        </c:spPr>
        <c:txPr>
          <a:bodyPr rot="-900000" vert="horz"/>
          <a:lstStyle/>
          <a:p>
            <a:pPr>
              <a:defRPr sz="1000" b="0" i="1" u="none" strike="noStrike" baseline="0">
                <a:solidFill>
                  <a:srgbClr val="0D2255"/>
                </a:solidFill>
                <a:latin typeface="Arial"/>
                <a:ea typeface="Arial"/>
                <a:cs typeface="Arial"/>
              </a:defRPr>
            </a:pPr>
            <a:endParaRPr lang="en-US"/>
          </a:p>
        </c:txPr>
        <c:crossAx val="201092608"/>
        <c:crosses val="autoZero"/>
        <c:crossBetween val="between"/>
        <c:majorUnit val="0.2"/>
        <c:minorUnit val="0.1"/>
      </c:valAx>
      <c:spPr>
        <a:noFill/>
        <a:ln w="12700">
          <a:solidFill>
            <a:srgbClr val="808080"/>
          </a:solidFill>
          <a:prstDash val="solid"/>
        </a:ln>
      </c:spPr>
    </c:plotArea>
    <c:legend>
      <c:legendPos val="r"/>
      <c:layout>
        <c:manualLayout>
          <c:xMode val="edge"/>
          <c:yMode val="edge"/>
          <c:x val="0.68873398181461898"/>
          <c:y val="4.3164916885389329E-3"/>
          <c:w val="0.2315313471872113"/>
          <c:h val="9.3017484656523194E-2"/>
        </c:manualLayout>
      </c:layout>
      <c:overlay val="0"/>
      <c:spPr>
        <a:solidFill>
          <a:srgbClr val="FFFFFF"/>
        </a:solidFill>
        <a:ln w="3175">
          <a:solidFill>
            <a:srgbClr val="000000"/>
          </a:solid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lumMod val="60000"/>
                <a:lumOff val="40000"/>
              </a:schemeClr>
            </a:solidFill>
            <a:ln>
              <a:solidFill>
                <a:sysClr val="windowText" lastClr="000000"/>
              </a:solidFill>
            </a:ln>
          </c:spPr>
          <c:invertIfNegative val="0"/>
          <c:cat>
            <c:numRef>
              <c:f>'PR chart 2'!$D$70:$F$70</c:f>
              <c:numCache>
                <c:formatCode>General</c:formatCode>
                <c:ptCount val="3"/>
                <c:pt idx="0">
                  <c:v>2012</c:v>
                </c:pt>
                <c:pt idx="1">
                  <c:v>2013</c:v>
                </c:pt>
                <c:pt idx="2">
                  <c:v>2014</c:v>
                </c:pt>
              </c:numCache>
            </c:numRef>
          </c:cat>
          <c:val>
            <c:numRef>
              <c:f>'PR chart 2'!$D$71:$F$71</c:f>
              <c:numCache>
                <c:formatCode>#,##0</c:formatCode>
                <c:ptCount val="3"/>
                <c:pt idx="0">
                  <c:v>1882303</c:v>
                </c:pt>
                <c:pt idx="1">
                  <c:v>1918295</c:v>
                </c:pt>
                <c:pt idx="2">
                  <c:v>1821941</c:v>
                </c:pt>
              </c:numCache>
            </c:numRef>
          </c:val>
        </c:ser>
        <c:dLbls>
          <c:showLegendKey val="0"/>
          <c:showVal val="0"/>
          <c:showCatName val="0"/>
          <c:showSerName val="0"/>
          <c:showPercent val="0"/>
          <c:showBubbleSize val="0"/>
        </c:dLbls>
        <c:gapWidth val="50"/>
        <c:axId val="223454208"/>
        <c:axId val="164051712"/>
      </c:barChart>
      <c:catAx>
        <c:axId val="223454208"/>
        <c:scaling>
          <c:orientation val="minMax"/>
        </c:scaling>
        <c:delete val="0"/>
        <c:axPos val="b"/>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164051712"/>
        <c:crosses val="autoZero"/>
        <c:auto val="1"/>
        <c:lblAlgn val="ctr"/>
        <c:lblOffset val="100"/>
        <c:noMultiLvlLbl val="0"/>
      </c:catAx>
      <c:valAx>
        <c:axId val="164051712"/>
        <c:scaling>
          <c:orientation val="minMax"/>
          <c:max val="1950000.0000000002"/>
          <c:min val="1800000"/>
        </c:scaling>
        <c:delete val="0"/>
        <c:axPos val="l"/>
        <c:majorGridlines/>
        <c:numFmt formatCode="#,##0.000" sourceLinked="0"/>
        <c:majorTickMark val="out"/>
        <c:minorTickMark val="none"/>
        <c:tickLblPos val="nextTo"/>
        <c:txPr>
          <a:bodyPr/>
          <a:lstStyle/>
          <a:p>
            <a:pPr>
              <a:defRPr>
                <a:latin typeface="Arial" pitchFamily="34" charset="0"/>
                <a:cs typeface="Arial" pitchFamily="34" charset="0"/>
              </a:defRPr>
            </a:pPr>
            <a:endParaRPr lang="en-US"/>
          </a:p>
        </c:txPr>
        <c:crossAx val="223454208"/>
        <c:crosses val="autoZero"/>
        <c:crossBetween val="between"/>
        <c:majorUnit val="50000"/>
        <c:dispUnits>
          <c:builtInUnit val="millions"/>
          <c:dispUnitsLbl>
            <c:layout>
              <c:manualLayout>
                <c:xMode val="edge"/>
                <c:yMode val="edge"/>
                <c:x val="1.3888888888888911E-2"/>
                <c:y val="0.38888888888888995"/>
              </c:manualLayout>
            </c:layout>
            <c:txPr>
              <a:bodyPr/>
              <a:lstStyle/>
              <a:p>
                <a:pPr>
                  <a:defRPr/>
                </a:pPr>
                <a:endParaRPr lang="en-US"/>
              </a:p>
            </c:txPr>
          </c:dispUnitsLbl>
        </c:dispUnits>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0.13517</cdr:x>
      <cdr:y>0.76357</cdr:y>
    </cdr:from>
    <cdr:to>
      <cdr:x>0.6833</cdr:x>
      <cdr:y>0.82664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A56ED-8AA1-4D7E-8D53-C4B775F2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6EBB2C0F</Template>
  <TotalTime>7</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Alex Michaelides</cp:lastModifiedBy>
  <cp:revision>4</cp:revision>
  <cp:lastPrinted>2013-12-16T13:34:00Z</cp:lastPrinted>
  <dcterms:created xsi:type="dcterms:W3CDTF">2014-10-23T07:44:00Z</dcterms:created>
  <dcterms:modified xsi:type="dcterms:W3CDTF">2014-10-23T08:06:00Z</dcterms:modified>
</cp:coreProperties>
</file>