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6368" w14:textId="7D612E4F" w:rsidR="00253213" w:rsidRPr="00297E5B" w:rsidRDefault="00253213" w:rsidP="00B40F45">
      <w:pPr>
        <w:pStyle w:val="Title"/>
        <w:spacing w:line="276" w:lineRule="auto"/>
        <w:rPr>
          <w:rFonts w:ascii="Arial" w:hAnsi="Arial" w:cs="Arial"/>
          <w:color w:val="0D2255"/>
          <w:sz w:val="24"/>
          <w:szCs w:val="28"/>
        </w:rPr>
      </w:pPr>
      <w:r w:rsidRPr="00297E5B">
        <w:rPr>
          <w:rFonts w:ascii="Arial" w:hAnsi="Arial" w:cs="Arial"/>
          <w:color w:val="0D2255"/>
          <w:sz w:val="24"/>
          <w:szCs w:val="28"/>
        </w:rPr>
        <w:t xml:space="preserve">SMMT </w:t>
      </w:r>
      <w:r w:rsidR="00B462AF" w:rsidRPr="00297E5B">
        <w:rPr>
          <w:rFonts w:ascii="Arial" w:hAnsi="Arial" w:cs="Arial"/>
          <w:color w:val="0D2255"/>
          <w:sz w:val="24"/>
          <w:szCs w:val="28"/>
        </w:rPr>
        <w:t xml:space="preserve">UK </w:t>
      </w:r>
      <w:r w:rsidR="00E527A8">
        <w:rPr>
          <w:rFonts w:ascii="Arial" w:hAnsi="Arial" w:cs="Arial"/>
          <w:color w:val="0D2255"/>
          <w:sz w:val="24"/>
          <w:szCs w:val="28"/>
        </w:rPr>
        <w:t>N</w:t>
      </w:r>
      <w:r w:rsidR="00B462AF" w:rsidRPr="00297E5B">
        <w:rPr>
          <w:rFonts w:ascii="Arial" w:hAnsi="Arial" w:cs="Arial"/>
          <w:color w:val="0D2255"/>
          <w:sz w:val="24"/>
          <w:szCs w:val="28"/>
        </w:rPr>
        <w:t xml:space="preserve">ew </w:t>
      </w:r>
      <w:r w:rsidR="00E527A8">
        <w:rPr>
          <w:rFonts w:ascii="Arial" w:hAnsi="Arial" w:cs="Arial"/>
          <w:color w:val="0D2255"/>
          <w:sz w:val="24"/>
          <w:szCs w:val="28"/>
        </w:rPr>
        <w:t>C</w:t>
      </w:r>
      <w:r w:rsidR="00B462AF" w:rsidRPr="00297E5B">
        <w:rPr>
          <w:rFonts w:ascii="Arial" w:hAnsi="Arial" w:cs="Arial"/>
          <w:color w:val="0D2255"/>
          <w:sz w:val="24"/>
          <w:szCs w:val="28"/>
        </w:rPr>
        <w:t>ar and LCV</w:t>
      </w:r>
      <w:r w:rsidRPr="00297E5B">
        <w:rPr>
          <w:rFonts w:ascii="Arial" w:hAnsi="Arial" w:cs="Arial"/>
          <w:color w:val="0D2255"/>
          <w:sz w:val="24"/>
          <w:szCs w:val="28"/>
        </w:rPr>
        <w:t xml:space="preserve"> </w:t>
      </w:r>
      <w:r w:rsidR="00E527A8">
        <w:rPr>
          <w:rFonts w:ascii="Arial" w:hAnsi="Arial" w:cs="Arial"/>
          <w:color w:val="0D2255"/>
          <w:sz w:val="24"/>
          <w:szCs w:val="28"/>
        </w:rPr>
        <w:t>R</w:t>
      </w:r>
      <w:r w:rsidRPr="00297E5B">
        <w:rPr>
          <w:rFonts w:ascii="Arial" w:hAnsi="Arial" w:cs="Arial"/>
          <w:color w:val="0D2255"/>
          <w:sz w:val="24"/>
          <w:szCs w:val="28"/>
        </w:rPr>
        <w:t xml:space="preserve">egistrations </w:t>
      </w:r>
      <w:r w:rsidR="00E527A8">
        <w:rPr>
          <w:rFonts w:ascii="Arial" w:hAnsi="Arial" w:cs="Arial"/>
          <w:color w:val="0D2255"/>
          <w:sz w:val="24"/>
          <w:szCs w:val="28"/>
        </w:rPr>
        <w:t>O</w:t>
      </w:r>
      <w:r w:rsidR="00CC7011" w:rsidRPr="00297E5B">
        <w:rPr>
          <w:rFonts w:ascii="Arial" w:hAnsi="Arial" w:cs="Arial"/>
          <w:color w:val="0D2255"/>
          <w:sz w:val="24"/>
          <w:szCs w:val="28"/>
        </w:rPr>
        <w:t>utlook to 202</w:t>
      </w:r>
      <w:r w:rsidR="003544AF">
        <w:rPr>
          <w:rFonts w:ascii="Arial" w:hAnsi="Arial" w:cs="Arial"/>
          <w:color w:val="0D2255"/>
          <w:sz w:val="24"/>
          <w:szCs w:val="28"/>
        </w:rPr>
        <w:t>4</w:t>
      </w:r>
      <w:r w:rsidR="008645AE">
        <w:rPr>
          <w:rFonts w:ascii="Arial" w:hAnsi="Arial" w:cs="Arial"/>
          <w:color w:val="0D2255"/>
          <w:sz w:val="24"/>
          <w:szCs w:val="28"/>
        </w:rPr>
        <w:t xml:space="preserve"> at </w:t>
      </w:r>
      <w:r w:rsidR="003544AF">
        <w:rPr>
          <w:rFonts w:ascii="Arial" w:hAnsi="Arial" w:cs="Arial"/>
          <w:color w:val="0D2255"/>
          <w:sz w:val="24"/>
          <w:szCs w:val="28"/>
        </w:rPr>
        <w:t>October</w:t>
      </w:r>
      <w:r w:rsidR="008645AE">
        <w:rPr>
          <w:rFonts w:ascii="Arial" w:hAnsi="Arial" w:cs="Arial"/>
          <w:color w:val="0D2255"/>
          <w:sz w:val="24"/>
          <w:szCs w:val="28"/>
        </w:rPr>
        <w:t xml:space="preserve"> 2022</w:t>
      </w:r>
    </w:p>
    <w:p w14:paraId="3F5439D0" w14:textId="77777777" w:rsidR="00E4490E" w:rsidRPr="00BE5B7A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14:paraId="1D3AC0C6" w14:textId="0DC370D2" w:rsidR="000F6796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2"/>
          <w:szCs w:val="24"/>
        </w:rPr>
      </w:pPr>
      <w:r w:rsidRPr="0004009B">
        <w:rPr>
          <w:rFonts w:ascii="Arial" w:hAnsi="Arial" w:cs="Arial"/>
          <w:color w:val="0D2255"/>
          <w:sz w:val="22"/>
          <w:szCs w:val="24"/>
        </w:rPr>
        <w:t>Background</w:t>
      </w:r>
      <w:r w:rsidR="00790C35" w:rsidRPr="0004009B">
        <w:rPr>
          <w:rFonts w:ascii="Arial" w:hAnsi="Arial" w:cs="Arial"/>
          <w:color w:val="0D2255"/>
          <w:sz w:val="22"/>
          <w:szCs w:val="24"/>
        </w:rPr>
        <w:t xml:space="preserve"> and context to panel survey</w:t>
      </w:r>
    </w:p>
    <w:p w14:paraId="48BB5A1A" w14:textId="23414FF5" w:rsidR="00242AA7" w:rsidRPr="00BE5B7A" w:rsidRDefault="00242AA7" w:rsidP="00B24805">
      <w:pPr>
        <w:pStyle w:val="Title"/>
        <w:spacing w:line="276" w:lineRule="auto"/>
        <w:jc w:val="left"/>
        <w:rPr>
          <w:rFonts w:ascii="Arial" w:hAnsi="Arial" w:cs="Arial"/>
          <w:color w:val="FF0000"/>
          <w:sz w:val="12"/>
          <w:szCs w:val="12"/>
        </w:rPr>
      </w:pPr>
    </w:p>
    <w:p w14:paraId="1A10CE7F" w14:textId="7B2E07D8" w:rsidR="00135D72" w:rsidRDefault="008E27F8" w:rsidP="008E27F8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8E27F8">
        <w:rPr>
          <w:rFonts w:ascii="Arial" w:hAnsi="Arial" w:cs="Arial"/>
          <w:bCs/>
          <w:sz w:val="20"/>
        </w:rPr>
        <w:t xml:space="preserve">The </w:t>
      </w:r>
      <w:r w:rsidR="00CF3198" w:rsidRPr="00CF3198">
        <w:rPr>
          <w:rFonts w:ascii="Arial" w:hAnsi="Arial" w:cs="Arial"/>
          <w:bCs/>
          <w:sz w:val="20"/>
        </w:rPr>
        <w:t xml:space="preserve">latest market outlook was set against the </w:t>
      </w:r>
      <w:r w:rsidR="00DC71BE">
        <w:rPr>
          <w:rFonts w:ascii="Arial" w:hAnsi="Arial" w:cs="Arial"/>
          <w:bCs/>
          <w:sz w:val="20"/>
        </w:rPr>
        <w:t xml:space="preserve">ongoing </w:t>
      </w:r>
      <w:r w:rsidR="00F85233" w:rsidRPr="00F85233">
        <w:rPr>
          <w:rFonts w:ascii="Arial" w:hAnsi="Arial" w:cs="Arial"/>
          <w:bCs/>
          <w:sz w:val="20"/>
        </w:rPr>
        <w:t>global supply chain issues</w:t>
      </w:r>
      <w:r w:rsidR="003544AF">
        <w:rPr>
          <w:rFonts w:ascii="Arial" w:hAnsi="Arial" w:cs="Arial"/>
          <w:bCs/>
          <w:sz w:val="20"/>
        </w:rPr>
        <w:t xml:space="preserve"> which have impacted on vehicle production and registration data for several quarters. The economic conditions have become far more challenging, with surging inflation and cost of living crisis, allied with a</w:t>
      </w:r>
      <w:r w:rsidR="00C0273D">
        <w:rPr>
          <w:rFonts w:ascii="Arial" w:hAnsi="Arial" w:cs="Arial"/>
          <w:bCs/>
          <w:sz w:val="20"/>
        </w:rPr>
        <w:t xml:space="preserve"> more</w:t>
      </w:r>
      <w:r w:rsidR="003544AF">
        <w:rPr>
          <w:rFonts w:ascii="Arial" w:hAnsi="Arial" w:cs="Arial"/>
          <w:bCs/>
          <w:sz w:val="20"/>
        </w:rPr>
        <w:t xml:space="preserve"> unstable political setting. </w:t>
      </w:r>
      <w:r w:rsidR="00A66ADB">
        <w:rPr>
          <w:rFonts w:ascii="Arial" w:hAnsi="Arial" w:cs="Arial"/>
          <w:bCs/>
          <w:sz w:val="20"/>
        </w:rPr>
        <w:t xml:space="preserve">The </w:t>
      </w:r>
      <w:r w:rsidR="00040EA1">
        <w:rPr>
          <w:rFonts w:ascii="Arial" w:hAnsi="Arial" w:cs="Arial"/>
          <w:bCs/>
          <w:sz w:val="20"/>
        </w:rPr>
        <w:t xml:space="preserve">overall new car and van </w:t>
      </w:r>
      <w:r w:rsidR="00A66ADB">
        <w:rPr>
          <w:rFonts w:ascii="Arial" w:hAnsi="Arial" w:cs="Arial"/>
          <w:bCs/>
          <w:sz w:val="20"/>
        </w:rPr>
        <w:t>outlook has been revised down in October</w:t>
      </w:r>
      <w:r w:rsidR="00040EA1">
        <w:rPr>
          <w:rFonts w:ascii="Arial" w:hAnsi="Arial" w:cs="Arial"/>
          <w:bCs/>
          <w:sz w:val="20"/>
        </w:rPr>
        <w:t>, compared with our July view</w:t>
      </w:r>
      <w:r w:rsidR="00A66ADB">
        <w:rPr>
          <w:rFonts w:ascii="Arial" w:hAnsi="Arial" w:cs="Arial"/>
          <w:bCs/>
          <w:sz w:val="20"/>
        </w:rPr>
        <w:t xml:space="preserve">. This marks </w:t>
      </w:r>
      <w:r w:rsidR="00040EA1">
        <w:rPr>
          <w:rFonts w:ascii="Arial" w:hAnsi="Arial" w:cs="Arial"/>
          <w:bCs/>
          <w:sz w:val="20"/>
        </w:rPr>
        <w:t>our</w:t>
      </w:r>
      <w:r w:rsidR="00A66ADB">
        <w:rPr>
          <w:rFonts w:ascii="Arial" w:hAnsi="Arial" w:cs="Arial"/>
          <w:bCs/>
          <w:sz w:val="20"/>
        </w:rPr>
        <w:t xml:space="preserve"> first </w:t>
      </w:r>
      <w:r w:rsidR="00040EA1">
        <w:rPr>
          <w:rFonts w:ascii="Arial" w:hAnsi="Arial" w:cs="Arial"/>
          <w:bCs/>
          <w:sz w:val="20"/>
        </w:rPr>
        <w:t xml:space="preserve">outlook </w:t>
      </w:r>
      <w:r w:rsidR="00A66ADB">
        <w:rPr>
          <w:rFonts w:ascii="Arial" w:hAnsi="Arial" w:cs="Arial"/>
          <w:bCs/>
          <w:sz w:val="20"/>
        </w:rPr>
        <w:t xml:space="preserve">on 2024. </w:t>
      </w:r>
      <w:r w:rsidRPr="008E27F8">
        <w:rPr>
          <w:rFonts w:ascii="Arial" w:hAnsi="Arial" w:cs="Arial"/>
          <w:bCs/>
          <w:sz w:val="20"/>
        </w:rPr>
        <w:t>The outlook is revised quarterly in January, April, July and October.</w:t>
      </w:r>
      <w:r w:rsidR="003544AF">
        <w:rPr>
          <w:rFonts w:ascii="Arial" w:hAnsi="Arial" w:cs="Arial"/>
          <w:bCs/>
          <w:sz w:val="20"/>
        </w:rPr>
        <w:t xml:space="preserve"> To note the BEV/PHEV/HEV shares are outlooks for the overall market and should not be confused with levels achievable by each OEM. </w:t>
      </w:r>
    </w:p>
    <w:p w14:paraId="376C699D" w14:textId="77777777" w:rsidR="008E27F8" w:rsidRPr="00213FCC" w:rsidRDefault="008E27F8" w:rsidP="00135D72">
      <w:pPr>
        <w:rPr>
          <w:rFonts w:ascii="Arial" w:hAnsi="Arial" w:cs="Arial"/>
          <w:b/>
          <w:color w:val="1074CB"/>
          <w:sz w:val="8"/>
          <w:szCs w:val="8"/>
        </w:rPr>
      </w:pPr>
    </w:p>
    <w:tbl>
      <w:tblPr>
        <w:tblpPr w:leftFromText="180" w:rightFromText="180" w:vertAnchor="text" w:horzAnchor="margin" w:tblpY="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 w:firstRow="1" w:lastRow="1" w:firstColumn="1" w:lastColumn="1" w:noHBand="0" w:noVBand="0"/>
      </w:tblPr>
      <w:tblGrid>
        <w:gridCol w:w="9918"/>
      </w:tblGrid>
      <w:tr w:rsidR="00CF76A0" w:rsidRPr="006E03C6" w14:paraId="2E04D703" w14:textId="77777777" w:rsidTr="00C70720">
        <w:trPr>
          <w:trHeight w:val="931"/>
        </w:trPr>
        <w:tc>
          <w:tcPr>
            <w:tcW w:w="9918" w:type="dxa"/>
            <w:shd w:val="clear" w:color="auto" w:fill="CCE0F1"/>
            <w:tcMar>
              <w:top w:w="108" w:type="dxa"/>
              <w:bottom w:w="108" w:type="dxa"/>
            </w:tcMar>
          </w:tcPr>
          <w:p w14:paraId="0E0259EB" w14:textId="1773C593" w:rsidR="0038418E" w:rsidRPr="00242AA7" w:rsidRDefault="0038418E" w:rsidP="003544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42AA7">
              <w:rPr>
                <w:rFonts w:ascii="Arial" w:hAnsi="Arial" w:cs="Arial"/>
                <w:b/>
                <w:sz w:val="20"/>
              </w:rPr>
              <w:t xml:space="preserve">UK new </w:t>
            </w:r>
            <w:r w:rsidR="00AA562D" w:rsidRPr="00242AA7">
              <w:rPr>
                <w:rFonts w:ascii="Arial" w:hAnsi="Arial" w:cs="Arial"/>
                <w:b/>
                <w:sz w:val="20"/>
              </w:rPr>
              <w:t xml:space="preserve">car and </w:t>
            </w:r>
            <w:r w:rsidRPr="00242AA7">
              <w:rPr>
                <w:rFonts w:ascii="Arial" w:hAnsi="Arial" w:cs="Arial"/>
                <w:b/>
                <w:sz w:val="20"/>
              </w:rPr>
              <w:t>light vehicle registrations</w:t>
            </w:r>
            <w:r w:rsidR="00CC7011" w:rsidRPr="00242AA7">
              <w:rPr>
                <w:rFonts w:ascii="Arial" w:hAnsi="Arial" w:cs="Arial"/>
                <w:b/>
                <w:sz w:val="20"/>
              </w:rPr>
              <w:t xml:space="preserve"> </w:t>
            </w:r>
            <w:r w:rsidR="00FF34A8">
              <w:rPr>
                <w:rFonts w:ascii="Arial" w:hAnsi="Arial" w:cs="Arial"/>
                <w:b/>
                <w:sz w:val="20"/>
              </w:rPr>
              <w:t xml:space="preserve">outlook </w:t>
            </w:r>
            <w:r w:rsidR="00453A3F">
              <w:rPr>
                <w:rFonts w:ascii="Arial" w:hAnsi="Arial" w:cs="Arial"/>
                <w:b/>
                <w:sz w:val="20"/>
              </w:rPr>
              <w:t>–</w:t>
            </w:r>
            <w:r w:rsidR="00FF34A8">
              <w:rPr>
                <w:rFonts w:ascii="Arial" w:hAnsi="Arial" w:cs="Arial"/>
                <w:b/>
                <w:sz w:val="20"/>
              </w:rPr>
              <w:t xml:space="preserve"> </w:t>
            </w:r>
            <w:r w:rsidR="003544AF">
              <w:rPr>
                <w:rFonts w:ascii="Arial" w:hAnsi="Arial" w:cs="Arial"/>
                <w:b/>
                <w:sz w:val="20"/>
              </w:rPr>
              <w:t>October</w:t>
            </w:r>
            <w:r w:rsidR="00453A3F">
              <w:rPr>
                <w:rFonts w:ascii="Arial" w:hAnsi="Arial" w:cs="Arial"/>
                <w:b/>
                <w:sz w:val="20"/>
              </w:rPr>
              <w:t xml:space="preserve"> 2022</w:t>
            </w:r>
          </w:p>
          <w:p w14:paraId="0B4039EE" w14:textId="77777777" w:rsidR="0038418E" w:rsidRPr="00242AA7" w:rsidRDefault="0038418E" w:rsidP="00805EE1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9863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2048"/>
              <w:gridCol w:w="1116"/>
              <w:gridCol w:w="1116"/>
              <w:gridCol w:w="1116"/>
              <w:gridCol w:w="1116"/>
              <w:gridCol w:w="1119"/>
              <w:gridCol w:w="1116"/>
              <w:gridCol w:w="1116"/>
            </w:tblGrid>
            <w:tr w:rsidR="00453A3F" w:rsidRPr="00242AA7" w14:paraId="7C0B82FA" w14:textId="7792EB5B" w:rsidTr="00C70720">
              <w:trPr>
                <w:trHeight w:val="360"/>
              </w:trPr>
              <w:tc>
                <w:tcPr>
                  <w:tcW w:w="2048" w:type="dxa"/>
                  <w:shd w:val="clear" w:color="auto" w:fill="auto"/>
                </w:tcPr>
                <w:p w14:paraId="39FB23B9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i/>
                      <w:noProof/>
                      <w:sz w:val="20"/>
                    </w:rPr>
                    <w:t>thousands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424AD06D" w14:textId="77777777" w:rsidR="00F6497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All cars</w:t>
                  </w:r>
                </w:p>
                <w:p w14:paraId="729635E3" w14:textId="5A0E4EE8" w:rsidR="00C70720" w:rsidRPr="00242AA7" w:rsidRDefault="00C70720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t>Total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079E42D3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Diesel cars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5D7647C8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BEV cars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1DACA72A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PHEV cars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395B221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HEV</w:t>
                  </w:r>
                </w:p>
                <w:p w14:paraId="20DF547D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cars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32B8F13D" w14:textId="5D263A3F" w:rsidR="00F64977" w:rsidRPr="00242AA7" w:rsidRDefault="00C70720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t xml:space="preserve">All </w:t>
                  </w:r>
                  <w:r w:rsidR="00F64977" w:rsidRPr="00242AA7">
                    <w:rPr>
                      <w:rFonts w:ascii="Arial" w:hAnsi="Arial" w:cs="Arial"/>
                      <w:noProof/>
                      <w:sz w:val="20"/>
                    </w:rPr>
                    <w:t>LCVs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 xml:space="preserve"> total</w:t>
                  </w:r>
                </w:p>
              </w:tc>
              <w:tc>
                <w:tcPr>
                  <w:tcW w:w="1116" w:type="dxa"/>
                </w:tcPr>
                <w:p w14:paraId="5A5BE962" w14:textId="1992D633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t>BEV LCVs</w:t>
                  </w:r>
                </w:p>
              </w:tc>
            </w:tr>
            <w:tr w:rsidR="00453A3F" w:rsidRPr="00242AA7" w14:paraId="130B79BD" w14:textId="2445057C" w:rsidTr="00C70720">
              <w:trPr>
                <w:trHeight w:val="360"/>
              </w:trPr>
              <w:tc>
                <w:tcPr>
                  <w:tcW w:w="2048" w:type="dxa"/>
                  <w:shd w:val="clear" w:color="auto" w:fill="auto"/>
                </w:tcPr>
                <w:p w14:paraId="281E210C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2016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26E68CA6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2,693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75AE7420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1,285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40A9D5D4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10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4E7CF690" w14:textId="5B913A4C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29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B0BD645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50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0027D463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376</w:t>
                  </w:r>
                </w:p>
              </w:tc>
              <w:tc>
                <w:tcPr>
                  <w:tcW w:w="1116" w:type="dxa"/>
                </w:tcPr>
                <w:p w14:paraId="06F01E19" w14:textId="3A84AE10" w:rsidR="00F64977" w:rsidRPr="00242AA7" w:rsidRDefault="00701F16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1</w:t>
                  </w:r>
                </w:p>
              </w:tc>
            </w:tr>
            <w:tr w:rsidR="00453A3F" w:rsidRPr="00242AA7" w14:paraId="59E56B77" w14:textId="44BF5376" w:rsidTr="00C70720">
              <w:trPr>
                <w:trHeight w:val="360"/>
              </w:trPr>
              <w:tc>
                <w:tcPr>
                  <w:tcW w:w="2048" w:type="dxa"/>
                  <w:shd w:val="clear" w:color="auto" w:fill="auto"/>
                </w:tcPr>
                <w:p w14:paraId="13BE8599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2019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0F17F9B4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2,311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25D32DEF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616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3195DE80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38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5D85A293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35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ABAC594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98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1A3AB95A" w14:textId="77777777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366</w:t>
                  </w:r>
                </w:p>
              </w:tc>
              <w:tc>
                <w:tcPr>
                  <w:tcW w:w="1116" w:type="dxa"/>
                </w:tcPr>
                <w:p w14:paraId="7AF1C069" w14:textId="1BF39277" w:rsidR="00F64977" w:rsidRPr="00242AA7" w:rsidRDefault="00701F16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3</w:t>
                  </w:r>
                </w:p>
              </w:tc>
            </w:tr>
            <w:tr w:rsidR="00453A3F" w:rsidRPr="00242AA7" w14:paraId="0373EC1E" w14:textId="276F8797" w:rsidTr="00C70720">
              <w:trPr>
                <w:trHeight w:val="362"/>
              </w:trPr>
              <w:tc>
                <w:tcPr>
                  <w:tcW w:w="2048" w:type="dxa"/>
                  <w:shd w:val="clear" w:color="auto" w:fill="auto"/>
                </w:tcPr>
                <w:p w14:paraId="51588FCB" w14:textId="48378CDA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Cs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iCs/>
                      <w:noProof/>
                      <w:sz w:val="20"/>
                    </w:rPr>
                    <w:t>2020</w:t>
                  </w:r>
                </w:p>
              </w:tc>
              <w:tc>
                <w:tcPr>
                  <w:tcW w:w="1116" w:type="dxa"/>
                </w:tcPr>
                <w:p w14:paraId="4D91373C" w14:textId="3AE71678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1,631</w:t>
                  </w:r>
                </w:p>
              </w:tc>
              <w:tc>
                <w:tcPr>
                  <w:tcW w:w="1116" w:type="dxa"/>
                </w:tcPr>
                <w:p w14:paraId="5700E67E" w14:textId="3895C580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323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5897469D" w14:textId="5DB09978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108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3E7CE2E1" w14:textId="20807684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67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5818B684" w14:textId="07BE75D3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110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14:paraId="471ECB8E" w14:textId="424ECA45" w:rsidR="00F64977" w:rsidRPr="00242AA7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293</w:t>
                  </w:r>
                </w:p>
              </w:tc>
              <w:tc>
                <w:tcPr>
                  <w:tcW w:w="1116" w:type="dxa"/>
                </w:tcPr>
                <w:p w14:paraId="7CB160AD" w14:textId="30239F2D" w:rsidR="00F64977" w:rsidRPr="00242AA7" w:rsidRDefault="00701F16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5</w:t>
                  </w:r>
                </w:p>
              </w:tc>
            </w:tr>
            <w:tr w:rsidR="00453A3F" w:rsidRPr="00242AA7" w14:paraId="70CAC94E" w14:textId="3BD6CF39" w:rsidTr="00C70720">
              <w:trPr>
                <w:trHeight w:val="360"/>
              </w:trPr>
              <w:tc>
                <w:tcPr>
                  <w:tcW w:w="2048" w:type="dxa"/>
                  <w:shd w:val="clear" w:color="auto" w:fill="auto"/>
                </w:tcPr>
                <w:p w14:paraId="1135F319" w14:textId="3254170E" w:rsidR="00F64977" w:rsidRPr="00CF3198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noProof/>
                      <w:sz w:val="20"/>
                    </w:rPr>
                    <w:t>2021</w:t>
                  </w:r>
                </w:p>
              </w:tc>
              <w:tc>
                <w:tcPr>
                  <w:tcW w:w="1116" w:type="dxa"/>
                </w:tcPr>
                <w:p w14:paraId="5DBBC266" w14:textId="31681413" w:rsidR="00F64977" w:rsidRPr="00CF3198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1,647</w:t>
                  </w:r>
                </w:p>
              </w:tc>
              <w:tc>
                <w:tcPr>
                  <w:tcW w:w="1116" w:type="dxa"/>
                </w:tcPr>
                <w:p w14:paraId="071DA55D" w14:textId="4E18B2FC" w:rsidR="00F64977" w:rsidRPr="00CF3198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235</w:t>
                  </w:r>
                </w:p>
              </w:tc>
              <w:tc>
                <w:tcPr>
                  <w:tcW w:w="1116" w:type="dxa"/>
                </w:tcPr>
                <w:p w14:paraId="175DA041" w14:textId="6A89A52C" w:rsidR="00F64977" w:rsidRPr="00CF3198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191</w:t>
                  </w:r>
                </w:p>
              </w:tc>
              <w:tc>
                <w:tcPr>
                  <w:tcW w:w="1116" w:type="dxa"/>
                </w:tcPr>
                <w:p w14:paraId="7DD98B51" w14:textId="4AC32287" w:rsidR="00F64977" w:rsidRPr="00CF3198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115</w:t>
                  </w:r>
                </w:p>
              </w:tc>
              <w:tc>
                <w:tcPr>
                  <w:tcW w:w="1119" w:type="dxa"/>
                </w:tcPr>
                <w:p w14:paraId="1DC29AFD" w14:textId="2A63263B" w:rsidR="00F64977" w:rsidRPr="00CF3198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147</w:t>
                  </w:r>
                </w:p>
              </w:tc>
              <w:tc>
                <w:tcPr>
                  <w:tcW w:w="1116" w:type="dxa"/>
                </w:tcPr>
                <w:p w14:paraId="4DC0996D" w14:textId="67E67D30" w:rsidR="00F64977" w:rsidRPr="00CF3198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355</w:t>
                  </w:r>
                </w:p>
              </w:tc>
              <w:tc>
                <w:tcPr>
                  <w:tcW w:w="1116" w:type="dxa"/>
                </w:tcPr>
                <w:p w14:paraId="3AD899A5" w14:textId="13B56B42" w:rsidR="00F64977" w:rsidRPr="00CF3198" w:rsidRDefault="00701F16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13</w:t>
                  </w:r>
                </w:p>
              </w:tc>
            </w:tr>
            <w:tr w:rsidR="00453A3F" w:rsidRPr="00242AA7" w14:paraId="38A56384" w14:textId="228B23EA" w:rsidTr="00C70720">
              <w:trPr>
                <w:trHeight w:val="360"/>
              </w:trPr>
              <w:tc>
                <w:tcPr>
                  <w:tcW w:w="2048" w:type="dxa"/>
                  <w:shd w:val="clear" w:color="auto" w:fill="auto"/>
                </w:tcPr>
                <w:p w14:paraId="635687E6" w14:textId="74F82C2E" w:rsidR="00F64977" w:rsidRPr="001E647E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</w:pPr>
                  <w:r w:rsidRPr="001E647E"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  <w:t>2022(f)</w:t>
                  </w:r>
                </w:p>
              </w:tc>
              <w:tc>
                <w:tcPr>
                  <w:tcW w:w="1116" w:type="dxa"/>
                </w:tcPr>
                <w:p w14:paraId="09A85F05" w14:textId="2E78F1B6" w:rsidR="00F64977" w:rsidRPr="00CF3198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1,</w:t>
                  </w:r>
                  <w:r w:rsidR="003544AF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566</w:t>
                  </w:r>
                </w:p>
              </w:tc>
              <w:tc>
                <w:tcPr>
                  <w:tcW w:w="1116" w:type="dxa"/>
                </w:tcPr>
                <w:p w14:paraId="1B51FBD7" w14:textId="7100712B" w:rsidR="00F64977" w:rsidRPr="00CF3198" w:rsidRDefault="00921D4E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152</w:t>
                  </w:r>
                </w:p>
              </w:tc>
              <w:tc>
                <w:tcPr>
                  <w:tcW w:w="1116" w:type="dxa"/>
                </w:tcPr>
                <w:p w14:paraId="33372359" w14:textId="5ACC203B" w:rsidR="00F64977" w:rsidRPr="00CF3198" w:rsidRDefault="00921D4E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</w:t>
                  </w:r>
                  <w:r w:rsidR="003544AF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45</w:t>
                  </w:r>
                </w:p>
              </w:tc>
              <w:tc>
                <w:tcPr>
                  <w:tcW w:w="1116" w:type="dxa"/>
                </w:tcPr>
                <w:p w14:paraId="6553E8AB" w14:textId="7851550E" w:rsidR="00F64977" w:rsidRPr="00CF3198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9</w:t>
                  </w:r>
                  <w:r w:rsidR="00C0273D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9</w:t>
                  </w:r>
                </w:p>
              </w:tc>
              <w:tc>
                <w:tcPr>
                  <w:tcW w:w="1119" w:type="dxa"/>
                </w:tcPr>
                <w:p w14:paraId="5F11D211" w14:textId="763EA803" w:rsidR="00F64977" w:rsidRPr="00CF3198" w:rsidRDefault="00921D4E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183</w:t>
                  </w:r>
                </w:p>
              </w:tc>
              <w:tc>
                <w:tcPr>
                  <w:tcW w:w="1116" w:type="dxa"/>
                </w:tcPr>
                <w:p w14:paraId="49B4D03C" w14:textId="051D8679" w:rsidR="00F64977" w:rsidRPr="00CF3198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290</w:t>
                  </w:r>
                </w:p>
              </w:tc>
              <w:tc>
                <w:tcPr>
                  <w:tcW w:w="1116" w:type="dxa"/>
                </w:tcPr>
                <w:p w14:paraId="4EED7ABC" w14:textId="636A45BB" w:rsidR="00F64977" w:rsidRPr="00CF3198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18</w:t>
                  </w:r>
                </w:p>
              </w:tc>
            </w:tr>
            <w:tr w:rsidR="00453A3F" w:rsidRPr="00242AA7" w14:paraId="133824A6" w14:textId="078A5704" w:rsidTr="00C70720">
              <w:trPr>
                <w:trHeight w:val="360"/>
              </w:trPr>
              <w:tc>
                <w:tcPr>
                  <w:tcW w:w="2048" w:type="dxa"/>
                  <w:shd w:val="clear" w:color="auto" w:fill="auto"/>
                </w:tcPr>
                <w:p w14:paraId="39243A7F" w14:textId="0286CA35" w:rsidR="00F64977" w:rsidRPr="001E647E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</w:pPr>
                  <w:r w:rsidRPr="001E647E"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  <w:t>2023(f)</w:t>
                  </w:r>
                </w:p>
              </w:tc>
              <w:tc>
                <w:tcPr>
                  <w:tcW w:w="1116" w:type="dxa"/>
                </w:tcPr>
                <w:p w14:paraId="3DE4E8D0" w14:textId="43C3427A" w:rsidR="00F64977" w:rsidRPr="00CF3198" w:rsidRDefault="00921D4E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1,8</w:t>
                  </w:r>
                  <w:r w:rsidR="003544AF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08</w:t>
                  </w:r>
                </w:p>
              </w:tc>
              <w:tc>
                <w:tcPr>
                  <w:tcW w:w="1116" w:type="dxa"/>
                </w:tcPr>
                <w:p w14:paraId="11C442C4" w14:textId="2DADF1BD" w:rsidR="00F64977" w:rsidRPr="00CF3198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</w:t>
                  </w:r>
                  <w:r w:rsidR="00921D4E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3</w:t>
                  </w:r>
                  <w:r w:rsidR="003544AF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6</w:t>
                  </w:r>
                </w:p>
              </w:tc>
              <w:tc>
                <w:tcPr>
                  <w:tcW w:w="1116" w:type="dxa"/>
                </w:tcPr>
                <w:p w14:paraId="31420C75" w14:textId="2451AC25" w:rsidR="00F64977" w:rsidRPr="00CF3198" w:rsidRDefault="00921D4E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</w:t>
                  </w:r>
                  <w:r w:rsidR="003544AF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53</w:t>
                  </w:r>
                </w:p>
              </w:tc>
              <w:tc>
                <w:tcPr>
                  <w:tcW w:w="1116" w:type="dxa"/>
                </w:tcPr>
                <w:p w14:paraId="4DE4A145" w14:textId="3D96EE7B" w:rsidR="00F64977" w:rsidRPr="00CF3198" w:rsidRDefault="00022C15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1</w:t>
                  </w:r>
                  <w:r w:rsidR="003544AF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30</w:t>
                  </w:r>
                </w:p>
              </w:tc>
              <w:tc>
                <w:tcPr>
                  <w:tcW w:w="1119" w:type="dxa"/>
                </w:tcPr>
                <w:p w14:paraId="570BB9D1" w14:textId="768C4FF5" w:rsidR="00F64977" w:rsidRPr="00CF3198" w:rsidRDefault="00921D4E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21</w:t>
                  </w:r>
                  <w:r w:rsidR="003544AF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5</w:t>
                  </w:r>
                </w:p>
              </w:tc>
              <w:tc>
                <w:tcPr>
                  <w:tcW w:w="1116" w:type="dxa"/>
                </w:tcPr>
                <w:p w14:paraId="77E47A63" w14:textId="15A14F5A" w:rsidR="00F64977" w:rsidRPr="00CF3198" w:rsidRDefault="00F64977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</w:t>
                  </w:r>
                  <w:r w:rsidR="003544AF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30</w:t>
                  </w:r>
                </w:p>
              </w:tc>
              <w:tc>
                <w:tcPr>
                  <w:tcW w:w="1116" w:type="dxa"/>
                </w:tcPr>
                <w:p w14:paraId="6138EA53" w14:textId="732B224C" w:rsidR="00F64977" w:rsidRPr="00CF3198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29</w:t>
                  </w:r>
                </w:p>
              </w:tc>
            </w:tr>
            <w:tr w:rsidR="003544AF" w:rsidRPr="00242AA7" w14:paraId="11EE7BEC" w14:textId="77777777" w:rsidTr="00C70720">
              <w:trPr>
                <w:trHeight w:val="360"/>
              </w:trPr>
              <w:tc>
                <w:tcPr>
                  <w:tcW w:w="2048" w:type="dxa"/>
                  <w:shd w:val="clear" w:color="auto" w:fill="auto"/>
                </w:tcPr>
                <w:p w14:paraId="6A36C031" w14:textId="5E17167F" w:rsidR="003544AF" w:rsidRPr="001E647E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  <w:t>2024 (f)</w:t>
                  </w:r>
                </w:p>
              </w:tc>
              <w:tc>
                <w:tcPr>
                  <w:tcW w:w="1116" w:type="dxa"/>
                </w:tcPr>
                <w:p w14:paraId="51781A66" w14:textId="3F049B0E" w:rsidR="003544AF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1,951</w:t>
                  </w:r>
                </w:p>
              </w:tc>
              <w:tc>
                <w:tcPr>
                  <w:tcW w:w="1116" w:type="dxa"/>
                </w:tcPr>
                <w:p w14:paraId="0799ABE7" w14:textId="281A2EDA" w:rsidR="003544AF" w:rsidRPr="00CF3198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98</w:t>
                  </w:r>
                </w:p>
              </w:tc>
              <w:tc>
                <w:tcPr>
                  <w:tcW w:w="1116" w:type="dxa"/>
                </w:tcPr>
                <w:p w14:paraId="2D645F29" w14:textId="43D2F85C" w:rsidR="003544AF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467</w:t>
                  </w:r>
                </w:p>
              </w:tc>
              <w:tc>
                <w:tcPr>
                  <w:tcW w:w="1116" w:type="dxa"/>
                </w:tcPr>
                <w:p w14:paraId="7EA3821B" w14:textId="1AC15726" w:rsidR="003544AF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157</w:t>
                  </w:r>
                </w:p>
              </w:tc>
              <w:tc>
                <w:tcPr>
                  <w:tcW w:w="1119" w:type="dxa"/>
                </w:tcPr>
                <w:p w14:paraId="61C33A52" w14:textId="2F54120E" w:rsidR="003544AF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262</w:t>
                  </w:r>
                </w:p>
              </w:tc>
              <w:tc>
                <w:tcPr>
                  <w:tcW w:w="1116" w:type="dxa"/>
                </w:tcPr>
                <w:p w14:paraId="19A14704" w14:textId="34B6AE86" w:rsidR="003544AF" w:rsidRPr="00CF3198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351</w:t>
                  </w:r>
                </w:p>
              </w:tc>
              <w:tc>
                <w:tcPr>
                  <w:tcW w:w="1116" w:type="dxa"/>
                </w:tcPr>
                <w:p w14:paraId="5B2E1528" w14:textId="6A4A96C6" w:rsidR="003544AF" w:rsidRDefault="003544AF" w:rsidP="00C70720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39</w:t>
                  </w:r>
                </w:p>
              </w:tc>
            </w:tr>
          </w:tbl>
          <w:p w14:paraId="2E99A5F4" w14:textId="53536A51" w:rsidR="0038418E" w:rsidRDefault="0038418E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^ = annual average for 2007 to 2016. LCVs = light commercial vehicles to 3.5t </w:t>
            </w:r>
            <w:proofErr w:type="spellStart"/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gvw</w:t>
            </w:r>
            <w:proofErr w:type="spellEnd"/>
            <w:r w:rsidR="00C940E8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  <w:r w:rsidR="00C70720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Fuel type split is within the total market data</w:t>
            </w:r>
          </w:p>
          <w:p w14:paraId="57805BC7" w14:textId="2FEFD178" w:rsidR="00CC7011" w:rsidRDefault="000C39D3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Diesel include mild hybrids, </w:t>
            </w:r>
            <w:r w:rsidR="00723BE8">
              <w:rPr>
                <w:rFonts w:ascii="Arial" w:hAnsi="Arial" w:cs="Arial"/>
                <w:b w:val="0"/>
                <w:i/>
                <w:sz w:val="16"/>
                <w:szCs w:val="16"/>
              </w:rPr>
              <w:t>BEV = B</w:t>
            </w:r>
            <w:r w:rsidR="000B048F">
              <w:rPr>
                <w:rFonts w:ascii="Arial" w:hAnsi="Arial" w:cs="Arial"/>
                <w:b w:val="0"/>
                <w:i/>
                <w:sz w:val="16"/>
                <w:szCs w:val="16"/>
              </w:rPr>
              <w:t>a</w:t>
            </w:r>
            <w:r w:rsidR="00723BE8">
              <w:rPr>
                <w:rFonts w:ascii="Arial" w:hAnsi="Arial" w:cs="Arial"/>
                <w:b w:val="0"/>
                <w:i/>
                <w:sz w:val="16"/>
                <w:szCs w:val="16"/>
              </w:rPr>
              <w:t>ttery electric vehicle, PHEV = P</w:t>
            </w:r>
            <w:r w:rsidR="00CC7011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lug-in hybrid </w:t>
            </w:r>
            <w:r w:rsidR="000B048F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electric </w:t>
            </w:r>
            <w:r w:rsidR="00CC7011">
              <w:rPr>
                <w:rFonts w:ascii="Arial" w:hAnsi="Arial" w:cs="Arial"/>
                <w:b w:val="0"/>
                <w:i/>
                <w:sz w:val="16"/>
                <w:szCs w:val="16"/>
              </w:rPr>
              <w:t>vehicle</w:t>
            </w:r>
            <w:r w:rsidR="00723BE8">
              <w:rPr>
                <w:rFonts w:ascii="Arial" w:hAnsi="Arial" w:cs="Arial"/>
                <w:b w:val="0"/>
                <w:i/>
                <w:sz w:val="16"/>
                <w:szCs w:val="16"/>
              </w:rPr>
              <w:t>, HEV = H</w:t>
            </w:r>
            <w:r w:rsidR="00AA562D">
              <w:rPr>
                <w:rFonts w:ascii="Arial" w:hAnsi="Arial" w:cs="Arial"/>
                <w:b w:val="0"/>
                <w:i/>
                <w:sz w:val="16"/>
                <w:szCs w:val="16"/>
              </w:rPr>
              <w:t>ybrid electric vehicles</w:t>
            </w:r>
            <w:r w:rsidR="002C4D20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  <w:p w14:paraId="724DCED6" w14:textId="7B6A5C02" w:rsidR="001848DB" w:rsidRDefault="00AC2434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Note</w:t>
            </w:r>
            <w:r w:rsidR="00AF782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: </w:t>
            </w:r>
            <w:r w:rsidR="00242AA7" w:rsidRPr="00242AA7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There were </w:t>
            </w:r>
            <w:r w:rsidR="008109B0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4E0E5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5 </w:t>
            </w:r>
            <w:r w:rsidR="00242AA7" w:rsidRPr="00242AA7">
              <w:rPr>
                <w:rFonts w:ascii="Arial" w:hAnsi="Arial" w:cs="Arial"/>
                <w:b w:val="0"/>
                <w:i/>
                <w:sz w:val="16"/>
                <w:szCs w:val="16"/>
              </w:rPr>
              <w:t>replies received, 1</w:t>
            </w:r>
            <w:r w:rsidR="00CF3198">
              <w:rPr>
                <w:rFonts w:ascii="Arial" w:hAnsi="Arial" w:cs="Arial"/>
                <w:b w:val="0"/>
                <w:i/>
                <w:sz w:val="16"/>
                <w:szCs w:val="16"/>
              </w:rPr>
              <w:t>5</w:t>
            </w:r>
            <w:r w:rsidR="00242AA7" w:rsidRPr="00242AA7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views for cars and </w:t>
            </w:r>
            <w:r w:rsidR="004E0E54">
              <w:rPr>
                <w:rFonts w:ascii="Arial" w:hAnsi="Arial" w:cs="Arial"/>
                <w:b w:val="0"/>
                <w:i/>
                <w:sz w:val="16"/>
                <w:szCs w:val="16"/>
              </w:rPr>
              <w:t>8</w:t>
            </w:r>
            <w:r w:rsidR="00242AA7" w:rsidRPr="00242AA7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for vans</w:t>
            </w:r>
            <w:r w:rsidR="00242AA7">
              <w:rPr>
                <w:rFonts w:ascii="Arial" w:hAnsi="Arial" w:cs="Arial"/>
                <w:b w:val="0"/>
                <w:i/>
                <w:sz w:val="16"/>
                <w:szCs w:val="16"/>
              </w:rPr>
              <w:t>. T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  <w:r w:rsidR="00CD4664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</w:tc>
      </w:tr>
    </w:tbl>
    <w:p w14:paraId="0AB95DE4" w14:textId="77777777" w:rsidR="00427000" w:rsidRPr="00213FCC" w:rsidRDefault="00427000" w:rsidP="00BA41B2">
      <w:pPr>
        <w:rPr>
          <w:rFonts w:ascii="Arial" w:hAnsi="Arial" w:cs="Arial"/>
          <w:b/>
          <w:color w:val="0D2255"/>
          <w:sz w:val="6"/>
          <w:szCs w:val="6"/>
        </w:rPr>
      </w:pPr>
    </w:p>
    <w:p w14:paraId="0453B877" w14:textId="77777777" w:rsidR="00F70EA9" w:rsidRDefault="00F70EA9" w:rsidP="00BA41B2">
      <w:pPr>
        <w:framePr w:hSpace="180" w:wrap="around" w:vAnchor="text" w:hAnchor="margin" w:y="22"/>
        <w:rPr>
          <w:rFonts w:ascii="Arial" w:hAnsi="Arial" w:cs="Arial"/>
          <w:b/>
          <w:color w:val="0D2255"/>
          <w:szCs w:val="24"/>
        </w:rPr>
      </w:pPr>
    </w:p>
    <w:tbl>
      <w:tblPr>
        <w:tblpPr w:leftFromText="180" w:rightFromText="180" w:vertAnchor="text" w:horzAnchor="margin" w:tblpY="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 w:firstRow="1" w:lastRow="1" w:firstColumn="1" w:lastColumn="1" w:noHBand="0" w:noVBand="0"/>
      </w:tblPr>
      <w:tblGrid>
        <w:gridCol w:w="9918"/>
      </w:tblGrid>
      <w:tr w:rsidR="00427000" w:rsidRPr="007E78EF" w14:paraId="7084F98B" w14:textId="77777777" w:rsidTr="00C70720">
        <w:trPr>
          <w:trHeight w:val="1442"/>
        </w:trPr>
        <w:tc>
          <w:tcPr>
            <w:tcW w:w="9918" w:type="dxa"/>
            <w:shd w:val="clear" w:color="auto" w:fill="CCE0F1"/>
            <w:tcMar>
              <w:top w:w="108" w:type="dxa"/>
              <w:bottom w:w="108" w:type="dxa"/>
            </w:tcMar>
          </w:tcPr>
          <w:p w14:paraId="1AD86F65" w14:textId="745DBB5E" w:rsidR="00427000" w:rsidRPr="00B26FBD" w:rsidRDefault="00387578" w:rsidP="00427000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2"/>
                <w:szCs w:val="22"/>
              </w:rPr>
            </w:pPr>
            <w:r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SMMT </w:t>
            </w:r>
            <w:r w:rsidR="00372476" w:rsidRPr="00B26FBD">
              <w:rPr>
                <w:rFonts w:ascii="Arial" w:hAnsi="Arial" w:cs="Arial"/>
                <w:color w:val="0D2255"/>
                <w:sz w:val="22"/>
                <w:szCs w:val="22"/>
              </w:rPr>
              <w:t>outlook</w:t>
            </w:r>
            <w:r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 for</w:t>
            </w:r>
            <w:r w:rsidR="00CC7011"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5B27A3">
              <w:rPr>
                <w:rFonts w:ascii="Arial" w:hAnsi="Arial" w:cs="Arial"/>
                <w:color w:val="0D2255"/>
                <w:sz w:val="22"/>
                <w:szCs w:val="22"/>
              </w:rPr>
              <w:t>2022</w:t>
            </w:r>
            <w:r w:rsidR="00427000"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3544AF">
              <w:rPr>
                <w:rFonts w:ascii="Arial" w:hAnsi="Arial" w:cs="Arial"/>
                <w:color w:val="0D2255"/>
                <w:sz w:val="22"/>
                <w:szCs w:val="22"/>
              </w:rPr>
              <w:t>to 2024</w:t>
            </w:r>
            <w:r w:rsidR="00701F16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427000" w:rsidRPr="00B26FBD">
              <w:rPr>
                <w:rFonts w:ascii="Arial" w:hAnsi="Arial" w:cs="Arial"/>
                <w:color w:val="0D2255"/>
                <w:sz w:val="22"/>
                <w:szCs w:val="22"/>
              </w:rPr>
              <w:t>– as a</w:t>
            </w:r>
            <w:r w:rsidR="004A0153">
              <w:rPr>
                <w:rFonts w:ascii="Arial" w:hAnsi="Arial" w:cs="Arial"/>
                <w:color w:val="0D2255"/>
                <w:sz w:val="22"/>
                <w:szCs w:val="22"/>
              </w:rPr>
              <w:t xml:space="preserve">t </w:t>
            </w:r>
            <w:r w:rsidR="003544AF">
              <w:rPr>
                <w:rFonts w:ascii="Arial" w:hAnsi="Arial" w:cs="Arial"/>
                <w:color w:val="0D2255"/>
                <w:sz w:val="22"/>
                <w:szCs w:val="22"/>
              </w:rPr>
              <w:t>October</w:t>
            </w:r>
            <w:r w:rsidR="004A0153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4B4C8A" w:rsidRPr="00B26FBD">
              <w:rPr>
                <w:rFonts w:ascii="Arial" w:hAnsi="Arial" w:cs="Arial"/>
                <w:color w:val="0D2255"/>
                <w:sz w:val="22"/>
                <w:szCs w:val="22"/>
              </w:rPr>
              <w:t>20</w:t>
            </w:r>
            <w:r w:rsidR="003F3D48">
              <w:rPr>
                <w:rFonts w:ascii="Arial" w:hAnsi="Arial" w:cs="Arial"/>
                <w:color w:val="0D2255"/>
                <w:sz w:val="22"/>
                <w:szCs w:val="22"/>
              </w:rPr>
              <w:t>2</w:t>
            </w:r>
            <w:r w:rsidR="00CF3198">
              <w:rPr>
                <w:rFonts w:ascii="Arial" w:hAnsi="Arial" w:cs="Arial"/>
                <w:color w:val="0D2255"/>
                <w:sz w:val="22"/>
                <w:szCs w:val="22"/>
              </w:rPr>
              <w:t>2</w:t>
            </w:r>
          </w:p>
          <w:p w14:paraId="7C363813" w14:textId="77777777" w:rsidR="001C37CD" w:rsidRPr="00213FCC" w:rsidRDefault="001C37CD" w:rsidP="003F3D48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683B7A99" w14:textId="1A37CDDE" w:rsidR="00C940E8" w:rsidRPr="0005231B" w:rsidRDefault="00CF3198" w:rsidP="004A0153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</w:p>
          <w:p w14:paraId="28A0F2EB" w14:textId="72AD5886" w:rsidR="00656855" w:rsidRPr="0005231B" w:rsidRDefault="00701F16" w:rsidP="00656855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E5B7A">
              <w:rPr>
                <w:rFonts w:ascii="Arial" w:hAnsi="Arial" w:cs="Arial"/>
                <w:b w:val="0"/>
                <w:sz w:val="20"/>
              </w:rPr>
              <w:t xml:space="preserve">ew </w:t>
            </w:r>
            <w:r>
              <w:rPr>
                <w:rFonts w:ascii="Arial" w:hAnsi="Arial" w:cs="Arial"/>
                <w:b w:val="0"/>
                <w:sz w:val="20"/>
              </w:rPr>
              <w:t xml:space="preserve">car </w:t>
            </w:r>
            <w:r w:rsidR="009D6A89" w:rsidRPr="0005231B">
              <w:rPr>
                <w:rFonts w:ascii="Arial" w:hAnsi="Arial" w:cs="Arial"/>
                <w:b w:val="0"/>
                <w:sz w:val="20"/>
              </w:rPr>
              <w:t>registrations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E5B7A">
              <w:rPr>
                <w:rFonts w:ascii="Arial" w:hAnsi="Arial" w:cs="Arial"/>
                <w:b w:val="0"/>
                <w:sz w:val="20"/>
              </w:rPr>
              <w:t xml:space="preserve">outlook 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>at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61EE1" w:rsidRPr="0005231B">
              <w:rPr>
                <w:rFonts w:ascii="Arial" w:hAnsi="Arial" w:cs="Arial"/>
                <w:b w:val="0"/>
                <w:sz w:val="20"/>
              </w:rPr>
              <w:t>1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>.</w:t>
            </w:r>
            <w:r w:rsidR="003544AF">
              <w:rPr>
                <w:rFonts w:ascii="Arial" w:hAnsi="Arial" w:cs="Arial"/>
                <w:b w:val="0"/>
                <w:sz w:val="20"/>
              </w:rPr>
              <w:t>566</w:t>
            </w:r>
            <w:r w:rsidR="00C61EE1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>m</w:t>
            </w:r>
            <w:r w:rsidR="00A31D2C" w:rsidRPr="0005231B">
              <w:rPr>
                <w:rFonts w:ascii="Arial" w:hAnsi="Arial" w:cs="Arial"/>
                <w:b w:val="0"/>
                <w:sz w:val="20"/>
              </w:rPr>
              <w:t>illion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921D4E">
              <w:rPr>
                <w:rFonts w:ascii="Arial" w:hAnsi="Arial" w:cs="Arial"/>
                <w:b w:val="0"/>
                <w:sz w:val="20"/>
              </w:rPr>
              <w:t xml:space="preserve">represents </w:t>
            </w:r>
            <w:r w:rsidR="00BE5B7A">
              <w:rPr>
                <w:rFonts w:ascii="Arial" w:hAnsi="Arial" w:cs="Arial"/>
                <w:b w:val="0"/>
                <w:sz w:val="20"/>
              </w:rPr>
              <w:t>a</w:t>
            </w:r>
            <w:r w:rsid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21D4E">
              <w:rPr>
                <w:rFonts w:ascii="Arial" w:hAnsi="Arial" w:cs="Arial"/>
                <w:b w:val="0"/>
                <w:sz w:val="20"/>
              </w:rPr>
              <w:t>fall</w:t>
            </w:r>
            <w:r w:rsid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E5B7A">
              <w:rPr>
                <w:rFonts w:ascii="Arial" w:hAnsi="Arial" w:cs="Arial"/>
                <w:b w:val="0"/>
                <w:sz w:val="20"/>
              </w:rPr>
              <w:t>of</w:t>
            </w:r>
            <w:r w:rsid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F28E1">
              <w:rPr>
                <w:rFonts w:ascii="Arial" w:hAnsi="Arial" w:cs="Arial"/>
                <w:b w:val="0"/>
                <w:sz w:val="20"/>
              </w:rPr>
              <w:t>-</w:t>
            </w:r>
            <w:r w:rsidR="003544AF">
              <w:rPr>
                <w:rFonts w:ascii="Arial" w:hAnsi="Arial" w:cs="Arial"/>
                <w:b w:val="0"/>
                <w:sz w:val="20"/>
              </w:rPr>
              <w:t>4.9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>% on the 20</w:t>
            </w:r>
            <w:r w:rsidR="004A0153" w:rsidRPr="0005231B">
              <w:rPr>
                <w:rFonts w:ascii="Arial" w:hAnsi="Arial" w:cs="Arial"/>
                <w:b w:val="0"/>
                <w:sz w:val="20"/>
              </w:rPr>
              <w:t>2</w:t>
            </w:r>
            <w:r w:rsidR="006D3E98">
              <w:rPr>
                <w:rFonts w:ascii="Arial" w:hAnsi="Arial" w:cs="Arial"/>
                <w:b w:val="0"/>
                <w:sz w:val="20"/>
              </w:rPr>
              <w:t>1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>total</w:t>
            </w:r>
          </w:p>
          <w:p w14:paraId="57C33538" w14:textId="7F29EFE2" w:rsidR="003544AF" w:rsidRDefault="000B048F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>BEV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 registrations</w:t>
            </w:r>
            <w:r w:rsidR="00A110E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544AF">
              <w:rPr>
                <w:rFonts w:ascii="Arial" w:hAnsi="Arial" w:cs="Arial"/>
                <w:b w:val="0"/>
                <w:sz w:val="20"/>
              </w:rPr>
              <w:t>outlook is for a 28.4% rise to 245,000 units, a 15.6% market share</w:t>
            </w:r>
          </w:p>
          <w:p w14:paraId="52BFF866" w14:textId="6BD2C7EF" w:rsidR="000B048F" w:rsidRPr="0005231B" w:rsidRDefault="000B048F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PHEV registrations </w:t>
            </w:r>
            <w:r w:rsidR="00A110E2">
              <w:rPr>
                <w:rFonts w:ascii="Arial" w:hAnsi="Arial" w:cs="Arial"/>
                <w:b w:val="0"/>
                <w:sz w:val="20"/>
              </w:rPr>
              <w:t>are expected</w:t>
            </w:r>
            <w:r w:rsid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544AF">
              <w:rPr>
                <w:rFonts w:ascii="Arial" w:hAnsi="Arial" w:cs="Arial"/>
                <w:b w:val="0"/>
                <w:sz w:val="20"/>
              </w:rPr>
              <w:t>to decline -13.9% to 9</w:t>
            </w:r>
            <w:r w:rsidR="00C0273D">
              <w:rPr>
                <w:rFonts w:ascii="Arial" w:hAnsi="Arial" w:cs="Arial"/>
                <w:b w:val="0"/>
                <w:sz w:val="20"/>
              </w:rPr>
              <w:t>9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,000 units, a 6.3% </w:t>
            </w:r>
            <w:r w:rsidRPr="0005231B">
              <w:rPr>
                <w:rFonts w:ascii="Arial" w:hAnsi="Arial" w:cs="Arial"/>
                <w:b w:val="0"/>
                <w:sz w:val="20"/>
              </w:rPr>
              <w:t>market share</w:t>
            </w:r>
          </w:p>
          <w:p w14:paraId="29A9338D" w14:textId="2CAE9DC6" w:rsidR="008431FA" w:rsidRPr="0005231B" w:rsidRDefault="00C61EE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HEV registrations </w:t>
            </w:r>
            <w:r w:rsidR="00A110E2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C0273D">
              <w:rPr>
                <w:rFonts w:ascii="Arial" w:hAnsi="Arial" w:cs="Arial"/>
                <w:b w:val="0"/>
                <w:sz w:val="20"/>
              </w:rPr>
              <w:t>envisag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ed to rise 24.2% to 183,000 units, an 11.7% </w:t>
            </w:r>
            <w:r w:rsidR="008431FA" w:rsidRPr="0005231B">
              <w:rPr>
                <w:rFonts w:ascii="Arial" w:hAnsi="Arial" w:cs="Arial"/>
                <w:b w:val="0"/>
                <w:sz w:val="20"/>
              </w:rPr>
              <w:t>market share</w:t>
            </w:r>
          </w:p>
          <w:p w14:paraId="6836F783" w14:textId="77777777" w:rsidR="003544AF" w:rsidRDefault="00A110E2" w:rsidP="00A110E2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Diesel </w:t>
            </w:r>
            <w:r>
              <w:rPr>
                <w:rFonts w:ascii="Arial" w:hAnsi="Arial" w:cs="Arial"/>
                <w:b w:val="0"/>
                <w:sz w:val="20"/>
              </w:rPr>
              <w:t xml:space="preserve">registrations are expected to fall </w:t>
            </w:r>
            <w:r w:rsidRPr="0005231B">
              <w:rPr>
                <w:rFonts w:ascii="Arial" w:hAnsi="Arial" w:cs="Arial"/>
                <w:b w:val="0"/>
                <w:sz w:val="20"/>
              </w:rPr>
              <w:t>-</w:t>
            </w:r>
            <w:r w:rsidR="00082158">
              <w:rPr>
                <w:rFonts w:ascii="Arial" w:hAnsi="Arial" w:cs="Arial"/>
                <w:b w:val="0"/>
                <w:sz w:val="20"/>
              </w:rPr>
              <w:t>35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3544AF">
              <w:rPr>
                <w:rFonts w:ascii="Arial" w:hAnsi="Arial" w:cs="Arial"/>
                <w:b w:val="0"/>
                <w:sz w:val="20"/>
              </w:rPr>
              <w:t>to 152,000 units, pushing market share down to 9.7%</w:t>
            </w:r>
          </w:p>
          <w:p w14:paraId="5B2B8189" w14:textId="0338974D" w:rsidR="00CC7011" w:rsidRDefault="00CC701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LCV registrations 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outlook 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at 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290,000 </w:t>
            </w:r>
            <w:r w:rsidR="00701F16">
              <w:rPr>
                <w:rFonts w:ascii="Arial" w:hAnsi="Arial" w:cs="Arial"/>
                <w:b w:val="0"/>
                <w:sz w:val="20"/>
              </w:rPr>
              <w:t>units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would be a -18.5% decline on 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>the 20</w:t>
            </w:r>
            <w:r w:rsidR="004A0153" w:rsidRPr="0005231B">
              <w:rPr>
                <w:rFonts w:ascii="Arial" w:hAnsi="Arial" w:cs="Arial"/>
                <w:b w:val="0"/>
                <w:sz w:val="20"/>
              </w:rPr>
              <w:t>2</w:t>
            </w:r>
            <w:r w:rsidR="00D91E7F">
              <w:rPr>
                <w:rFonts w:ascii="Arial" w:hAnsi="Arial" w:cs="Arial"/>
                <w:b w:val="0"/>
                <w:sz w:val="20"/>
              </w:rPr>
              <w:t>1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 xml:space="preserve"> total</w:t>
            </w:r>
          </w:p>
          <w:p w14:paraId="0221AB81" w14:textId="5BB95E66" w:rsidR="00701F16" w:rsidRDefault="00701F16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BEV share of LCV market is expected to </w:t>
            </w:r>
            <w:r w:rsidR="00082158">
              <w:rPr>
                <w:rFonts w:ascii="Arial" w:hAnsi="Arial" w:cs="Arial"/>
                <w:b w:val="0"/>
                <w:sz w:val="20"/>
              </w:rPr>
              <w:t>be 6.</w:t>
            </w:r>
            <w:r w:rsidR="003544AF">
              <w:rPr>
                <w:rFonts w:ascii="Arial" w:hAnsi="Arial" w:cs="Arial"/>
                <w:b w:val="0"/>
                <w:sz w:val="20"/>
              </w:rPr>
              <w:t>1</w:t>
            </w:r>
            <w:r>
              <w:rPr>
                <w:rFonts w:ascii="Arial" w:hAnsi="Arial" w:cs="Arial"/>
                <w:b w:val="0"/>
                <w:sz w:val="20"/>
              </w:rPr>
              <w:t xml:space="preserve">%, at </w:t>
            </w:r>
            <w:r w:rsidR="003544AF">
              <w:rPr>
                <w:rFonts w:ascii="Arial" w:hAnsi="Arial" w:cs="Arial"/>
                <w:b w:val="0"/>
                <w:sz w:val="20"/>
              </w:rPr>
              <w:t>18</w:t>
            </w:r>
            <w:r>
              <w:rPr>
                <w:rFonts w:ascii="Arial" w:hAnsi="Arial" w:cs="Arial"/>
                <w:b w:val="0"/>
                <w:sz w:val="20"/>
              </w:rPr>
              <w:t>,000 units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, a 39.4% </w:t>
            </w:r>
            <w:r w:rsidR="00A110E2">
              <w:rPr>
                <w:rFonts w:ascii="Arial" w:hAnsi="Arial" w:cs="Arial"/>
                <w:b w:val="0"/>
                <w:sz w:val="20"/>
              </w:rPr>
              <w:t>volume rise</w:t>
            </w:r>
          </w:p>
          <w:p w14:paraId="15F492C2" w14:textId="77777777" w:rsidR="00D91E7F" w:rsidRPr="00040EA1" w:rsidRDefault="00D91E7F" w:rsidP="00D91E7F">
            <w:pPr>
              <w:pStyle w:val="Title"/>
              <w:spacing w:line="276" w:lineRule="auto"/>
              <w:ind w:left="72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0069633" w14:textId="08C929C9" w:rsidR="007B5381" w:rsidRPr="00E02E7A" w:rsidRDefault="007B5381" w:rsidP="007B5381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E02E7A">
              <w:rPr>
                <w:rFonts w:ascii="Arial" w:hAnsi="Arial" w:cs="Arial"/>
                <w:sz w:val="20"/>
              </w:rPr>
              <w:t>202</w:t>
            </w:r>
            <w:r w:rsidR="00CF3198">
              <w:rPr>
                <w:rFonts w:ascii="Arial" w:hAnsi="Arial" w:cs="Arial"/>
                <w:sz w:val="20"/>
              </w:rPr>
              <w:t>3</w:t>
            </w:r>
          </w:p>
          <w:p w14:paraId="77BD147D" w14:textId="1E43C6EE" w:rsidR="007B5381" w:rsidRPr="00E02E7A" w:rsidRDefault="007B538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>Car registrations at</w:t>
            </w:r>
            <w:r w:rsidR="00C61EE1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82158">
              <w:rPr>
                <w:rFonts w:ascii="Arial" w:hAnsi="Arial" w:cs="Arial"/>
                <w:b w:val="0"/>
                <w:sz w:val="20"/>
              </w:rPr>
              <w:t>1</w:t>
            </w:r>
            <w:r w:rsidR="008F28E1">
              <w:rPr>
                <w:rFonts w:ascii="Arial" w:hAnsi="Arial" w:cs="Arial"/>
                <w:b w:val="0"/>
                <w:sz w:val="20"/>
              </w:rPr>
              <w:t>.</w:t>
            </w:r>
            <w:r w:rsidR="00082158">
              <w:rPr>
                <w:rFonts w:ascii="Arial" w:hAnsi="Arial" w:cs="Arial"/>
                <w:b w:val="0"/>
                <w:sz w:val="20"/>
              </w:rPr>
              <w:t>8</w:t>
            </w:r>
            <w:r w:rsidR="003544AF">
              <w:rPr>
                <w:rFonts w:ascii="Arial" w:hAnsi="Arial" w:cs="Arial"/>
                <w:b w:val="0"/>
                <w:sz w:val="20"/>
              </w:rPr>
              <w:t>0</w:t>
            </w:r>
            <w:r w:rsidR="00082158">
              <w:rPr>
                <w:rFonts w:ascii="Arial" w:hAnsi="Arial" w:cs="Arial"/>
                <w:b w:val="0"/>
                <w:sz w:val="20"/>
              </w:rPr>
              <w:t>8</w:t>
            </w:r>
            <w:r w:rsidR="0005231B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D75E7" w:rsidRPr="00E02E7A">
              <w:rPr>
                <w:rFonts w:ascii="Arial" w:hAnsi="Arial" w:cs="Arial"/>
                <w:b w:val="0"/>
                <w:sz w:val="20"/>
              </w:rPr>
              <w:t xml:space="preserve">million, </w:t>
            </w:r>
            <w:r w:rsidR="008F28E1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FF34A8" w:rsidRPr="00E02E7A">
              <w:rPr>
                <w:rFonts w:ascii="Arial" w:hAnsi="Arial" w:cs="Arial"/>
                <w:b w:val="0"/>
                <w:sz w:val="20"/>
              </w:rPr>
              <w:t xml:space="preserve">predicted to increase by </w:t>
            </w:r>
            <w:r w:rsidR="00E02E7A" w:rsidRPr="00E02E7A">
              <w:rPr>
                <w:rFonts w:ascii="Arial" w:hAnsi="Arial" w:cs="Arial"/>
                <w:b w:val="0"/>
                <w:sz w:val="20"/>
              </w:rPr>
              <w:t>1</w:t>
            </w:r>
            <w:r w:rsidR="003544AF">
              <w:rPr>
                <w:rFonts w:ascii="Arial" w:hAnsi="Arial" w:cs="Arial"/>
                <w:b w:val="0"/>
                <w:sz w:val="20"/>
              </w:rPr>
              <w:t>5.4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% on </w:t>
            </w:r>
            <w:r w:rsidR="00A110E2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E02E7A">
              <w:rPr>
                <w:rFonts w:ascii="Arial" w:hAnsi="Arial" w:cs="Arial"/>
                <w:b w:val="0"/>
                <w:sz w:val="20"/>
              </w:rPr>
              <w:t>202</w:t>
            </w:r>
            <w:r w:rsidR="00082158">
              <w:rPr>
                <w:rFonts w:ascii="Arial" w:hAnsi="Arial" w:cs="Arial"/>
                <w:b w:val="0"/>
                <w:sz w:val="20"/>
              </w:rPr>
              <w:t>2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outlook</w:t>
            </w:r>
          </w:p>
          <w:p w14:paraId="343B4979" w14:textId="3510EA9D" w:rsidR="007B5381" w:rsidRPr="00E02E7A" w:rsidRDefault="007B538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BEV registrations 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outlook is 353,000 units, a 44.1% rise </w:t>
            </w:r>
            <w:r w:rsidR="00A66ADB">
              <w:rPr>
                <w:rFonts w:ascii="Arial" w:hAnsi="Arial" w:cs="Arial"/>
                <w:b w:val="0"/>
                <w:sz w:val="20"/>
              </w:rPr>
              <w:t xml:space="preserve">on the 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>202</w:t>
            </w:r>
            <w:r w:rsidR="00D91E7F">
              <w:rPr>
                <w:rFonts w:ascii="Arial" w:hAnsi="Arial" w:cs="Arial"/>
                <w:b w:val="0"/>
                <w:sz w:val="20"/>
              </w:rPr>
              <w:t>2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outlook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, market share </w:t>
            </w:r>
            <w:r w:rsidR="00A66ADB">
              <w:rPr>
                <w:rFonts w:ascii="Arial" w:hAnsi="Arial" w:cs="Arial"/>
                <w:b w:val="0"/>
                <w:sz w:val="20"/>
              </w:rPr>
              <w:t>19.5%</w:t>
            </w:r>
          </w:p>
          <w:p w14:paraId="617E7ABA" w14:textId="65056340" w:rsidR="007B5381" w:rsidRPr="00E02E7A" w:rsidRDefault="007B538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PHEV registrations </w:t>
            </w:r>
            <w:r w:rsidR="00A66ADB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567846">
              <w:rPr>
                <w:rFonts w:ascii="Arial" w:hAnsi="Arial" w:cs="Arial"/>
                <w:b w:val="0"/>
                <w:sz w:val="20"/>
              </w:rPr>
              <w:t xml:space="preserve">envisaged to </w:t>
            </w:r>
            <w:r w:rsidR="00567846" w:rsidRPr="00E02E7A">
              <w:rPr>
                <w:rFonts w:ascii="Arial" w:hAnsi="Arial" w:cs="Arial"/>
                <w:b w:val="0"/>
                <w:sz w:val="20"/>
              </w:rPr>
              <w:t>rise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66ADB">
              <w:rPr>
                <w:rFonts w:ascii="Arial" w:hAnsi="Arial" w:cs="Arial"/>
                <w:b w:val="0"/>
                <w:sz w:val="20"/>
              </w:rPr>
              <w:t>31.4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on </w:t>
            </w:r>
            <w:r w:rsidR="008F28E1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>202</w:t>
            </w:r>
            <w:r w:rsidR="00D91E7F">
              <w:rPr>
                <w:rFonts w:ascii="Arial" w:hAnsi="Arial" w:cs="Arial"/>
                <w:b w:val="0"/>
                <w:sz w:val="20"/>
              </w:rPr>
              <w:t>2</w:t>
            </w:r>
            <w:r w:rsidR="0047019C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>outlook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1A7074">
              <w:rPr>
                <w:rFonts w:ascii="Arial" w:hAnsi="Arial" w:cs="Arial"/>
                <w:b w:val="0"/>
                <w:sz w:val="20"/>
              </w:rPr>
              <w:t>taking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market share to</w:t>
            </w:r>
            <w:r w:rsidR="0008215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66ADB">
              <w:rPr>
                <w:rFonts w:ascii="Arial" w:hAnsi="Arial" w:cs="Arial"/>
                <w:b w:val="0"/>
                <w:sz w:val="20"/>
              </w:rPr>
              <w:t>7.2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</w:p>
          <w:p w14:paraId="4C370E42" w14:textId="1ABD67E8" w:rsidR="008431FA" w:rsidRPr="00E02E7A" w:rsidRDefault="008431FA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>HE</w:t>
            </w:r>
            <w:r w:rsidR="00CE002B" w:rsidRPr="00E02E7A">
              <w:rPr>
                <w:rFonts w:ascii="Arial" w:hAnsi="Arial" w:cs="Arial"/>
                <w:b w:val="0"/>
                <w:sz w:val="20"/>
              </w:rPr>
              <w:t xml:space="preserve">V registrations </w:t>
            </w:r>
            <w:r w:rsidR="00567846">
              <w:rPr>
                <w:rFonts w:ascii="Arial" w:hAnsi="Arial" w:cs="Arial"/>
                <w:b w:val="0"/>
                <w:sz w:val="20"/>
              </w:rPr>
              <w:t xml:space="preserve">predicted to </w:t>
            </w:r>
            <w:r w:rsidR="00CE002B" w:rsidRPr="00E02E7A">
              <w:rPr>
                <w:rFonts w:ascii="Arial" w:hAnsi="Arial" w:cs="Arial"/>
                <w:b w:val="0"/>
                <w:sz w:val="20"/>
              </w:rPr>
              <w:t xml:space="preserve">increase </w:t>
            </w:r>
            <w:r w:rsidR="00567846">
              <w:rPr>
                <w:rFonts w:ascii="Arial" w:hAnsi="Arial" w:cs="Arial"/>
                <w:b w:val="0"/>
                <w:sz w:val="20"/>
              </w:rPr>
              <w:t xml:space="preserve">by </w:t>
            </w:r>
            <w:r w:rsidR="00924829">
              <w:rPr>
                <w:rFonts w:ascii="Arial" w:hAnsi="Arial" w:cs="Arial"/>
                <w:b w:val="0"/>
                <w:sz w:val="20"/>
              </w:rPr>
              <w:t>1</w:t>
            </w:r>
            <w:r w:rsidR="00A66ADB">
              <w:rPr>
                <w:rFonts w:ascii="Arial" w:hAnsi="Arial" w:cs="Arial"/>
                <w:b w:val="0"/>
                <w:sz w:val="20"/>
              </w:rPr>
              <w:t>7</w:t>
            </w:r>
            <w:r w:rsidR="00924829">
              <w:rPr>
                <w:rFonts w:ascii="Arial" w:hAnsi="Arial" w:cs="Arial"/>
                <w:b w:val="0"/>
                <w:sz w:val="20"/>
              </w:rPr>
              <w:t>.5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on </w:t>
            </w:r>
            <w:r w:rsidR="008F28E1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>202</w:t>
            </w:r>
            <w:r w:rsidR="00D91E7F">
              <w:rPr>
                <w:rFonts w:ascii="Arial" w:hAnsi="Arial" w:cs="Arial"/>
                <w:b w:val="0"/>
                <w:sz w:val="20"/>
              </w:rPr>
              <w:t>2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outlook</w:t>
            </w:r>
            <w:r w:rsidR="00CE002B" w:rsidRPr="00E02E7A">
              <w:rPr>
                <w:rFonts w:ascii="Arial" w:hAnsi="Arial" w:cs="Arial"/>
                <w:b w:val="0"/>
                <w:sz w:val="20"/>
              </w:rPr>
              <w:t xml:space="preserve">, with market share of </w:t>
            </w:r>
            <w:r w:rsidR="00E02E7A" w:rsidRPr="00E02E7A">
              <w:rPr>
                <w:rFonts w:ascii="Arial" w:hAnsi="Arial" w:cs="Arial"/>
                <w:b w:val="0"/>
                <w:sz w:val="20"/>
              </w:rPr>
              <w:t>1</w:t>
            </w:r>
            <w:r w:rsidR="00D91E7F">
              <w:rPr>
                <w:rFonts w:ascii="Arial" w:hAnsi="Arial" w:cs="Arial"/>
                <w:b w:val="0"/>
                <w:sz w:val="20"/>
              </w:rPr>
              <w:t>1.</w:t>
            </w:r>
            <w:r w:rsidR="00A66ADB">
              <w:rPr>
                <w:rFonts w:ascii="Arial" w:hAnsi="Arial" w:cs="Arial"/>
                <w:b w:val="0"/>
                <w:sz w:val="20"/>
              </w:rPr>
              <w:t>9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% </w:t>
            </w:r>
          </w:p>
          <w:p w14:paraId="0E858581" w14:textId="6B786329" w:rsidR="00A110E2" w:rsidRPr="00E02E7A" w:rsidRDefault="00A110E2" w:rsidP="00A110E2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Diesel 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registrations expected to </w:t>
            </w:r>
            <w:r w:rsidR="00DA4FF2">
              <w:rPr>
                <w:rFonts w:ascii="Arial" w:hAnsi="Arial" w:cs="Arial"/>
                <w:b w:val="0"/>
                <w:sz w:val="20"/>
              </w:rPr>
              <w:t>fall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66ADB">
              <w:rPr>
                <w:rFonts w:ascii="Arial" w:hAnsi="Arial" w:cs="Arial"/>
                <w:b w:val="0"/>
                <w:sz w:val="20"/>
              </w:rPr>
              <w:t>-10.5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A66ADB">
              <w:rPr>
                <w:rFonts w:ascii="Arial" w:hAnsi="Arial" w:cs="Arial"/>
                <w:b w:val="0"/>
                <w:sz w:val="20"/>
              </w:rPr>
              <w:t xml:space="preserve">on 2022, </w:t>
            </w:r>
            <w:r w:rsidR="00924829">
              <w:rPr>
                <w:rFonts w:ascii="Arial" w:hAnsi="Arial" w:cs="Arial"/>
                <w:b w:val="0"/>
                <w:sz w:val="20"/>
              </w:rPr>
              <w:t xml:space="preserve">with 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market share </w:t>
            </w:r>
            <w:r w:rsidR="001C313B">
              <w:rPr>
                <w:rFonts w:ascii="Arial" w:hAnsi="Arial" w:cs="Arial"/>
                <w:b w:val="0"/>
                <w:sz w:val="20"/>
              </w:rPr>
              <w:t xml:space="preserve">falling to </w:t>
            </w:r>
            <w:r w:rsidR="00924829">
              <w:rPr>
                <w:rFonts w:ascii="Arial" w:hAnsi="Arial" w:cs="Arial"/>
                <w:b w:val="0"/>
                <w:sz w:val="20"/>
              </w:rPr>
              <w:t>7.</w:t>
            </w:r>
            <w:r w:rsidR="00A66ADB">
              <w:rPr>
                <w:rFonts w:ascii="Arial" w:hAnsi="Arial" w:cs="Arial"/>
                <w:b w:val="0"/>
                <w:sz w:val="20"/>
              </w:rPr>
              <w:t>5</w:t>
            </w:r>
            <w:r w:rsidR="00924829">
              <w:rPr>
                <w:rFonts w:ascii="Arial" w:hAnsi="Arial" w:cs="Arial"/>
                <w:b w:val="0"/>
                <w:sz w:val="20"/>
              </w:rPr>
              <w:t>%</w:t>
            </w:r>
          </w:p>
          <w:p w14:paraId="3F43BF29" w14:textId="32DEA924" w:rsidR="00427000" w:rsidRDefault="007B5381" w:rsidP="004A0153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LCV registrations </w:t>
            </w:r>
            <w:r w:rsidR="00A66ADB">
              <w:rPr>
                <w:rFonts w:ascii="Arial" w:hAnsi="Arial" w:cs="Arial"/>
                <w:b w:val="0"/>
                <w:sz w:val="20"/>
              </w:rPr>
              <w:t xml:space="preserve">outlook 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at </w:t>
            </w:r>
            <w:r w:rsidR="00924829">
              <w:rPr>
                <w:rFonts w:ascii="Arial" w:hAnsi="Arial" w:cs="Arial"/>
                <w:b w:val="0"/>
                <w:sz w:val="20"/>
              </w:rPr>
              <w:t>3</w:t>
            </w:r>
            <w:r w:rsidR="00A66ADB">
              <w:rPr>
                <w:rFonts w:ascii="Arial" w:hAnsi="Arial" w:cs="Arial"/>
                <w:b w:val="0"/>
                <w:sz w:val="20"/>
              </w:rPr>
              <w:t>30</w:t>
            </w:r>
            <w:r w:rsidR="001A7074">
              <w:rPr>
                <w:rFonts w:ascii="Arial" w:hAnsi="Arial" w:cs="Arial"/>
                <w:b w:val="0"/>
                <w:sz w:val="20"/>
              </w:rPr>
              <w:t>,000 units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A66ADB">
              <w:rPr>
                <w:rFonts w:ascii="Arial" w:hAnsi="Arial" w:cs="Arial"/>
                <w:b w:val="0"/>
                <w:sz w:val="20"/>
              </w:rPr>
              <w:t xml:space="preserve">is an </w:t>
            </w:r>
            <w:r w:rsidR="00C078F5" w:rsidRPr="00E02E7A">
              <w:rPr>
                <w:rFonts w:ascii="Arial" w:hAnsi="Arial" w:cs="Arial"/>
                <w:b w:val="0"/>
                <w:sz w:val="20"/>
              </w:rPr>
              <w:t xml:space="preserve">expected </w:t>
            </w:r>
            <w:r w:rsidR="006B2F15" w:rsidRPr="00E02E7A">
              <w:rPr>
                <w:rFonts w:ascii="Arial" w:hAnsi="Arial" w:cs="Arial"/>
                <w:b w:val="0"/>
                <w:sz w:val="20"/>
              </w:rPr>
              <w:t>rise</w:t>
            </w:r>
            <w:r w:rsidR="00C078F5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66ADB">
              <w:rPr>
                <w:rFonts w:ascii="Arial" w:hAnsi="Arial" w:cs="Arial"/>
                <w:b w:val="0"/>
                <w:sz w:val="20"/>
              </w:rPr>
              <w:t xml:space="preserve">of 13.8% 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on </w:t>
            </w:r>
            <w:r w:rsidR="00BE5B7A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E02E7A">
              <w:rPr>
                <w:rFonts w:ascii="Arial" w:hAnsi="Arial" w:cs="Arial"/>
                <w:b w:val="0"/>
                <w:sz w:val="20"/>
              </w:rPr>
              <w:t>20</w:t>
            </w:r>
            <w:r w:rsidR="001B1488" w:rsidRPr="00E02E7A">
              <w:rPr>
                <w:rFonts w:ascii="Arial" w:hAnsi="Arial" w:cs="Arial"/>
                <w:b w:val="0"/>
                <w:sz w:val="20"/>
              </w:rPr>
              <w:t>2</w:t>
            </w:r>
            <w:r w:rsidR="00D91E7F">
              <w:rPr>
                <w:rFonts w:ascii="Arial" w:hAnsi="Arial" w:cs="Arial"/>
                <w:b w:val="0"/>
                <w:sz w:val="20"/>
              </w:rPr>
              <w:t>2</w:t>
            </w:r>
            <w:r w:rsidR="0047019C" w:rsidRPr="00E02E7A">
              <w:rPr>
                <w:rFonts w:ascii="Arial" w:hAnsi="Arial" w:cs="Arial"/>
                <w:b w:val="0"/>
                <w:sz w:val="20"/>
              </w:rPr>
              <w:t xml:space="preserve"> outlook</w:t>
            </w:r>
          </w:p>
          <w:p w14:paraId="5DFDFD18" w14:textId="230BA891" w:rsidR="00453A3F" w:rsidRPr="00E02E7A" w:rsidRDefault="00453A3F" w:rsidP="004A0153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LCV BEV volumes 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are </w:t>
            </w:r>
            <w:r>
              <w:rPr>
                <w:rFonts w:ascii="Arial" w:hAnsi="Arial" w:cs="Arial"/>
                <w:b w:val="0"/>
                <w:sz w:val="20"/>
              </w:rPr>
              <w:t xml:space="preserve">expected to 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rise </w:t>
            </w:r>
            <w:r w:rsidR="00924829">
              <w:rPr>
                <w:rFonts w:ascii="Arial" w:hAnsi="Arial" w:cs="Arial"/>
                <w:b w:val="0"/>
                <w:sz w:val="20"/>
              </w:rPr>
              <w:t>6</w:t>
            </w:r>
            <w:r w:rsidR="00A66ADB">
              <w:rPr>
                <w:rFonts w:ascii="Arial" w:hAnsi="Arial" w:cs="Arial"/>
                <w:b w:val="0"/>
                <w:sz w:val="20"/>
              </w:rPr>
              <w:t>0.7</w:t>
            </w:r>
            <w:r w:rsidR="001A7074">
              <w:rPr>
                <w:rFonts w:ascii="Arial" w:hAnsi="Arial" w:cs="Arial"/>
                <w:b w:val="0"/>
                <w:sz w:val="20"/>
              </w:rPr>
              <w:t>% on the 202</w:t>
            </w:r>
            <w:r w:rsidR="00924829">
              <w:rPr>
                <w:rFonts w:ascii="Arial" w:hAnsi="Arial" w:cs="Arial"/>
                <w:b w:val="0"/>
                <w:sz w:val="20"/>
              </w:rPr>
              <w:t>2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 view</w:t>
            </w:r>
            <w:r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take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A66ADB">
              <w:rPr>
                <w:rFonts w:ascii="Arial" w:hAnsi="Arial" w:cs="Arial"/>
                <w:b w:val="0"/>
                <w:sz w:val="20"/>
              </w:rPr>
              <w:t>n 8.7</w:t>
            </w:r>
            <w:r>
              <w:rPr>
                <w:rFonts w:ascii="Arial" w:hAnsi="Arial" w:cs="Arial"/>
                <w:b w:val="0"/>
                <w:sz w:val="20"/>
              </w:rPr>
              <w:t>% market share</w:t>
            </w:r>
          </w:p>
          <w:p w14:paraId="1A71617B" w14:textId="77777777" w:rsidR="001E647E" w:rsidRPr="00040EA1" w:rsidRDefault="001E647E" w:rsidP="001E647E">
            <w:pPr>
              <w:pStyle w:val="Title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  <w:p w14:paraId="12E02189" w14:textId="078100F6" w:rsidR="00A66ADB" w:rsidRPr="00E02E7A" w:rsidRDefault="00A66ADB" w:rsidP="00A66ADB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E02E7A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4</w:t>
            </w:r>
          </w:p>
          <w:p w14:paraId="3B7340DD" w14:textId="0480FDD4" w:rsidR="00A66ADB" w:rsidRPr="00E02E7A" w:rsidRDefault="00A66ADB" w:rsidP="00A66ADB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Car registrations </w:t>
            </w:r>
            <w:r>
              <w:rPr>
                <w:rFonts w:ascii="Arial" w:hAnsi="Arial" w:cs="Arial"/>
                <w:b w:val="0"/>
                <w:sz w:val="20"/>
              </w:rPr>
              <w:t>outlook is 1.951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million</w:t>
            </w:r>
            <w:r>
              <w:rPr>
                <w:rFonts w:ascii="Arial" w:hAnsi="Arial" w:cs="Arial"/>
                <w:b w:val="0"/>
                <w:sz w:val="20"/>
              </w:rPr>
              <w:t xml:space="preserve"> units, an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increase </w:t>
            </w:r>
            <w:r>
              <w:rPr>
                <w:rFonts w:ascii="Arial" w:hAnsi="Arial" w:cs="Arial"/>
                <w:b w:val="0"/>
                <w:sz w:val="20"/>
              </w:rPr>
              <w:t>of 7.9% o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n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E02E7A">
              <w:rPr>
                <w:rFonts w:ascii="Arial" w:hAnsi="Arial" w:cs="Arial"/>
                <w:b w:val="0"/>
                <w:sz w:val="20"/>
              </w:rPr>
              <w:t>202</w:t>
            </w:r>
            <w:r>
              <w:rPr>
                <w:rFonts w:ascii="Arial" w:hAnsi="Arial" w:cs="Arial"/>
                <w:b w:val="0"/>
                <w:sz w:val="20"/>
              </w:rPr>
              <w:t>3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outlook</w:t>
            </w:r>
          </w:p>
          <w:p w14:paraId="427A9B2A" w14:textId="6040DC10" w:rsidR="00A66ADB" w:rsidRDefault="00A66ADB" w:rsidP="00A66ADB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BEV registrations </w:t>
            </w:r>
            <w:r>
              <w:rPr>
                <w:rFonts w:ascii="Arial" w:hAnsi="Arial" w:cs="Arial"/>
                <w:b w:val="0"/>
                <w:sz w:val="20"/>
              </w:rPr>
              <w:t>are expected to rise 32.2% to 467,000 units, and reach a 23.9% market share</w:t>
            </w:r>
          </w:p>
          <w:p w14:paraId="4F74CAC4" w14:textId="24BA2FF7" w:rsidR="00A66ADB" w:rsidRPr="00E02E7A" w:rsidRDefault="00A66ADB" w:rsidP="00A66ADB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PHEV registrations </w:t>
            </w:r>
            <w:r>
              <w:rPr>
                <w:rFonts w:ascii="Arial" w:hAnsi="Arial" w:cs="Arial"/>
                <w:b w:val="0"/>
                <w:sz w:val="20"/>
              </w:rPr>
              <w:t xml:space="preserve">are predicted to rise </w:t>
            </w:r>
            <w:r w:rsidR="00C0273D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>1.4% o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n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E02E7A">
              <w:rPr>
                <w:rFonts w:ascii="Arial" w:hAnsi="Arial" w:cs="Arial"/>
                <w:b w:val="0"/>
                <w:sz w:val="20"/>
              </w:rPr>
              <w:t>202</w:t>
            </w:r>
            <w:r w:rsidR="00F62299">
              <w:rPr>
                <w:rFonts w:ascii="Arial" w:hAnsi="Arial" w:cs="Arial"/>
                <w:b w:val="0"/>
                <w:sz w:val="20"/>
              </w:rPr>
              <w:t>3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outlook, </w:t>
            </w:r>
            <w:r>
              <w:rPr>
                <w:rFonts w:ascii="Arial" w:hAnsi="Arial" w:cs="Arial"/>
                <w:b w:val="0"/>
                <w:sz w:val="20"/>
              </w:rPr>
              <w:t>taking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market share to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62299">
              <w:rPr>
                <w:rFonts w:ascii="Arial" w:hAnsi="Arial" w:cs="Arial"/>
                <w:b w:val="0"/>
                <w:sz w:val="20"/>
              </w:rPr>
              <w:t>8.1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</w:p>
          <w:p w14:paraId="54D22592" w14:textId="77777777" w:rsidR="00F62299" w:rsidRDefault="00A66ADB" w:rsidP="00A66ADB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HEV registrations </w:t>
            </w:r>
            <w:r w:rsidR="00F62299">
              <w:rPr>
                <w:rFonts w:ascii="Arial" w:hAnsi="Arial" w:cs="Arial"/>
                <w:b w:val="0"/>
                <w:sz w:val="20"/>
              </w:rPr>
              <w:t>are envisaged to rise 21.8% and take a 13.4% market share</w:t>
            </w:r>
          </w:p>
          <w:p w14:paraId="10290579" w14:textId="10C29552" w:rsidR="00F62299" w:rsidRDefault="00A66ADB" w:rsidP="00A66ADB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lastRenderedPageBreak/>
              <w:t xml:space="preserve">Diesel </w:t>
            </w:r>
            <w:r>
              <w:rPr>
                <w:rFonts w:ascii="Arial" w:hAnsi="Arial" w:cs="Arial"/>
                <w:b w:val="0"/>
                <w:sz w:val="20"/>
              </w:rPr>
              <w:t xml:space="preserve">registrations expected to </w:t>
            </w:r>
            <w:r w:rsidR="00F62299">
              <w:rPr>
                <w:rFonts w:ascii="Arial" w:hAnsi="Arial" w:cs="Arial"/>
                <w:b w:val="0"/>
                <w:sz w:val="20"/>
              </w:rPr>
              <w:t>fall -28.1% and take market share down to 5.0%</w:t>
            </w:r>
          </w:p>
          <w:p w14:paraId="04E4A21C" w14:textId="77777777" w:rsidR="00A81421" w:rsidRDefault="00A66ADB" w:rsidP="00A66ADB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LCV registrations </w:t>
            </w:r>
            <w:r w:rsidR="00F62299">
              <w:rPr>
                <w:rFonts w:ascii="Arial" w:hAnsi="Arial" w:cs="Arial"/>
                <w:b w:val="0"/>
                <w:sz w:val="20"/>
              </w:rPr>
              <w:t xml:space="preserve">outlook is 351,000 units, a 6.4% rise on the </w:t>
            </w:r>
            <w:r w:rsidR="00A81421">
              <w:rPr>
                <w:rFonts w:ascii="Arial" w:hAnsi="Arial" w:cs="Arial"/>
                <w:b w:val="0"/>
                <w:sz w:val="20"/>
              </w:rPr>
              <w:t>expected 2023 outlook</w:t>
            </w:r>
          </w:p>
          <w:p w14:paraId="44175992" w14:textId="104BD0E0" w:rsidR="00A66ADB" w:rsidRDefault="00A81421" w:rsidP="00A66ADB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BEV LCV volumes are expected to rise 35.2% and push market share to 11.0%</w:t>
            </w:r>
          </w:p>
          <w:p w14:paraId="1FD80EB5" w14:textId="77777777" w:rsidR="00A81421" w:rsidRDefault="00A81421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509646F" w14:textId="231B8AED" w:rsidR="00427000" w:rsidRPr="007A4999" w:rsidRDefault="00427000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7A499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Notes: </w:t>
            </w:r>
            <w:r w:rsidR="00BB53F8">
              <w:rPr>
                <w:rFonts w:ascii="Arial" w:hAnsi="Arial" w:cs="Arial"/>
                <w:b w:val="0"/>
                <w:i/>
                <w:sz w:val="16"/>
                <w:szCs w:val="16"/>
              </w:rPr>
              <w:t>outlooks</w:t>
            </w:r>
            <w:r w:rsidRPr="007A499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rounded to nearest 1,000 unit</w:t>
            </w:r>
            <w:r w:rsidR="00BB53F8"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="00A81421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(% changes based on the exact outlook)</w:t>
            </w:r>
            <w:r w:rsidRPr="007A4999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  <w:p w14:paraId="745EB64F" w14:textId="12137708" w:rsidR="00567846" w:rsidRPr="001E647E" w:rsidRDefault="00427000" w:rsidP="0056784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A4999">
              <w:rPr>
                <w:rFonts w:ascii="Arial" w:hAnsi="Arial" w:cs="Arial"/>
                <w:i/>
                <w:color w:val="000000"/>
                <w:sz w:val="16"/>
                <w:szCs w:val="16"/>
              </w:rPr>
              <w:t>Reasonable care has been taken in preparing this information.  It is not an exclusive aid for market analysis, other sources and market intelligence should be reviewed.</w:t>
            </w:r>
          </w:p>
        </w:tc>
      </w:tr>
    </w:tbl>
    <w:p w14:paraId="4770E669" w14:textId="77777777" w:rsidR="00427000" w:rsidRPr="00213FCC" w:rsidRDefault="00427000" w:rsidP="00BA41B2">
      <w:pPr>
        <w:rPr>
          <w:rFonts w:ascii="Arial" w:hAnsi="Arial" w:cs="Arial"/>
          <w:b/>
          <w:color w:val="0D2255"/>
          <w:sz w:val="6"/>
          <w:szCs w:val="6"/>
        </w:rPr>
      </w:pPr>
    </w:p>
    <w:p w14:paraId="5AFFAEA1" w14:textId="7236BB39" w:rsidR="00427000" w:rsidRPr="00B23C16" w:rsidRDefault="007A0010" w:rsidP="00BE5B7A">
      <w:pPr>
        <w:rPr>
          <w:rFonts w:ascii="Arial" w:hAnsi="Arial" w:cs="Arial"/>
          <w:sz w:val="20"/>
        </w:rPr>
      </w:pPr>
      <w:r w:rsidRPr="007A4999">
        <w:rPr>
          <w:rFonts w:ascii="Arial" w:hAnsi="Arial" w:cs="Arial"/>
          <w:b/>
          <w:color w:val="0D2255"/>
          <w:sz w:val="20"/>
        </w:rPr>
        <w:t>Next</w:t>
      </w:r>
      <w:r w:rsidR="006E03C6" w:rsidRPr="007A4999">
        <w:rPr>
          <w:rFonts w:ascii="Arial" w:hAnsi="Arial" w:cs="Arial"/>
          <w:b/>
          <w:color w:val="0D2255"/>
          <w:sz w:val="20"/>
        </w:rPr>
        <w:t xml:space="preserve"> revision</w:t>
      </w:r>
      <w:r w:rsidR="000925EB" w:rsidRPr="007A4999">
        <w:rPr>
          <w:rFonts w:ascii="Arial" w:hAnsi="Arial" w:cs="Arial"/>
          <w:b/>
          <w:color w:val="0D2255"/>
          <w:sz w:val="20"/>
        </w:rPr>
        <w:t xml:space="preserve"> and contact</w:t>
      </w:r>
      <w:r w:rsidR="00BE5B7A">
        <w:rPr>
          <w:rFonts w:ascii="Arial" w:hAnsi="Arial" w:cs="Arial"/>
          <w:b/>
          <w:color w:val="0D2255"/>
          <w:sz w:val="20"/>
        </w:rPr>
        <w:t xml:space="preserve">: </w:t>
      </w:r>
      <w:r w:rsidR="006E03C6" w:rsidRPr="00B23C16">
        <w:rPr>
          <w:rFonts w:ascii="Arial" w:hAnsi="Arial" w:cs="Arial"/>
          <w:sz w:val="20"/>
        </w:rPr>
        <w:t xml:space="preserve">The </w:t>
      </w:r>
      <w:r w:rsidR="00372476" w:rsidRPr="00B23C16">
        <w:rPr>
          <w:rFonts w:ascii="Arial" w:hAnsi="Arial" w:cs="Arial"/>
          <w:sz w:val="20"/>
        </w:rPr>
        <w:t>outlook is</w:t>
      </w:r>
      <w:r w:rsidR="006E03C6" w:rsidRPr="00B23C16">
        <w:rPr>
          <w:rFonts w:ascii="Arial" w:hAnsi="Arial" w:cs="Arial"/>
          <w:sz w:val="20"/>
        </w:rPr>
        <w:t xml:space="preserve"> scheduled to be </w:t>
      </w:r>
      <w:r w:rsidR="007373AF" w:rsidRPr="00B23C16">
        <w:rPr>
          <w:rFonts w:ascii="Arial" w:hAnsi="Arial" w:cs="Arial"/>
          <w:sz w:val="20"/>
        </w:rPr>
        <w:t xml:space="preserve">next </w:t>
      </w:r>
      <w:r w:rsidR="006E03C6" w:rsidRPr="00B23C16">
        <w:rPr>
          <w:rFonts w:ascii="Arial" w:hAnsi="Arial" w:cs="Arial"/>
          <w:sz w:val="20"/>
        </w:rPr>
        <w:t xml:space="preserve">revised </w:t>
      </w:r>
      <w:r w:rsidR="00BF6713" w:rsidRPr="00B23C16">
        <w:rPr>
          <w:rFonts w:ascii="Arial" w:hAnsi="Arial" w:cs="Arial"/>
          <w:sz w:val="20"/>
        </w:rPr>
        <w:t>in</w:t>
      </w:r>
      <w:r w:rsidR="006E03C6" w:rsidRPr="00B23C16">
        <w:rPr>
          <w:rFonts w:ascii="Arial" w:hAnsi="Arial" w:cs="Arial"/>
          <w:sz w:val="20"/>
        </w:rPr>
        <w:t xml:space="preserve"> </w:t>
      </w:r>
      <w:r w:rsidR="00A81421">
        <w:rPr>
          <w:rFonts w:ascii="Arial" w:hAnsi="Arial" w:cs="Arial"/>
          <w:sz w:val="20"/>
        </w:rPr>
        <w:t xml:space="preserve">January 2023 </w:t>
      </w:r>
      <w:r w:rsidR="00216399" w:rsidRPr="00B23C16">
        <w:rPr>
          <w:rFonts w:ascii="Arial" w:hAnsi="Arial" w:cs="Arial"/>
          <w:sz w:val="20"/>
        </w:rPr>
        <w:t xml:space="preserve">and </w:t>
      </w:r>
      <w:r w:rsidR="00A81421">
        <w:rPr>
          <w:rFonts w:ascii="Arial" w:hAnsi="Arial" w:cs="Arial"/>
          <w:sz w:val="20"/>
        </w:rPr>
        <w:t xml:space="preserve">the </w:t>
      </w:r>
      <w:r w:rsidR="00216399" w:rsidRPr="00B23C16">
        <w:rPr>
          <w:rFonts w:ascii="Arial" w:hAnsi="Arial" w:cs="Arial"/>
          <w:sz w:val="20"/>
        </w:rPr>
        <w:t>result</w:t>
      </w:r>
      <w:r w:rsidR="00A81421">
        <w:rPr>
          <w:rFonts w:ascii="Arial" w:hAnsi="Arial" w:cs="Arial"/>
          <w:sz w:val="20"/>
        </w:rPr>
        <w:t>s</w:t>
      </w:r>
      <w:r w:rsidR="00216399" w:rsidRPr="00B23C16">
        <w:rPr>
          <w:rFonts w:ascii="Arial" w:hAnsi="Arial" w:cs="Arial"/>
          <w:sz w:val="20"/>
        </w:rPr>
        <w:t xml:space="preserve"> </w:t>
      </w:r>
      <w:r w:rsidR="004A2131" w:rsidRPr="00B23C16">
        <w:rPr>
          <w:rFonts w:ascii="Arial" w:hAnsi="Arial" w:cs="Arial"/>
          <w:sz w:val="20"/>
        </w:rPr>
        <w:t xml:space="preserve">will be posted </w:t>
      </w:r>
      <w:r w:rsidR="00216399" w:rsidRPr="00B23C16">
        <w:rPr>
          <w:rFonts w:ascii="Arial" w:hAnsi="Arial" w:cs="Arial"/>
          <w:sz w:val="20"/>
        </w:rPr>
        <w:t xml:space="preserve">by </w:t>
      </w:r>
      <w:r w:rsidR="00A81421">
        <w:rPr>
          <w:rFonts w:ascii="Arial" w:hAnsi="Arial" w:cs="Arial"/>
          <w:sz w:val="20"/>
        </w:rPr>
        <w:t>6 February</w:t>
      </w:r>
      <w:r w:rsidR="00216399" w:rsidRPr="00B23C16">
        <w:rPr>
          <w:rFonts w:ascii="Arial" w:hAnsi="Arial" w:cs="Arial"/>
          <w:sz w:val="20"/>
        </w:rPr>
        <w:t>.</w:t>
      </w:r>
      <w:r w:rsidR="00213FCC" w:rsidRPr="00B23C16">
        <w:rPr>
          <w:rFonts w:ascii="Arial" w:hAnsi="Arial" w:cs="Arial"/>
          <w:sz w:val="20"/>
        </w:rPr>
        <w:t xml:space="preserve"> </w:t>
      </w:r>
      <w:r w:rsidR="00253213" w:rsidRPr="00B23C16">
        <w:rPr>
          <w:rFonts w:ascii="Arial" w:hAnsi="Arial" w:cs="Arial"/>
          <w:sz w:val="20"/>
        </w:rPr>
        <w:t xml:space="preserve">The </w:t>
      </w:r>
      <w:r w:rsidR="00342FB4" w:rsidRPr="00B23C16">
        <w:rPr>
          <w:rFonts w:ascii="Arial" w:hAnsi="Arial" w:cs="Arial"/>
          <w:sz w:val="20"/>
        </w:rPr>
        <w:t xml:space="preserve">project </w:t>
      </w:r>
      <w:r w:rsidR="005C37CC" w:rsidRPr="00B23C16">
        <w:rPr>
          <w:rFonts w:ascii="Arial" w:hAnsi="Arial" w:cs="Arial"/>
          <w:sz w:val="20"/>
        </w:rPr>
        <w:t>work</w:t>
      </w:r>
      <w:r w:rsidR="00337618" w:rsidRPr="00B23C16">
        <w:rPr>
          <w:rFonts w:ascii="Arial" w:hAnsi="Arial" w:cs="Arial"/>
          <w:sz w:val="20"/>
        </w:rPr>
        <w:t xml:space="preserve"> is </w:t>
      </w:r>
      <w:r w:rsidR="002B7DBD" w:rsidRPr="00B23C16">
        <w:rPr>
          <w:rFonts w:ascii="Arial" w:hAnsi="Arial" w:cs="Arial"/>
          <w:sz w:val="20"/>
        </w:rPr>
        <w:t xml:space="preserve">managed </w:t>
      </w:r>
      <w:r w:rsidR="00253213" w:rsidRPr="00B23C16">
        <w:rPr>
          <w:rFonts w:ascii="Arial" w:hAnsi="Arial" w:cs="Arial"/>
          <w:sz w:val="20"/>
        </w:rPr>
        <w:t xml:space="preserve">by SMMT’s Economics </w:t>
      </w:r>
      <w:r w:rsidR="00427000" w:rsidRPr="00B23C16">
        <w:rPr>
          <w:rFonts w:ascii="Arial" w:hAnsi="Arial" w:cs="Arial"/>
          <w:sz w:val="20"/>
        </w:rPr>
        <w:t>team</w:t>
      </w:r>
      <w:r w:rsidR="00253213" w:rsidRPr="00B23C16">
        <w:rPr>
          <w:rFonts w:ascii="Arial" w:hAnsi="Arial" w:cs="Arial"/>
          <w:sz w:val="20"/>
        </w:rPr>
        <w:t xml:space="preserve"> </w:t>
      </w:r>
      <w:hyperlink r:id="rId8" w:history="1">
        <w:r w:rsidR="00253213" w:rsidRPr="00B23C16">
          <w:rPr>
            <w:rStyle w:val="Hyperlink"/>
            <w:rFonts w:ascii="Arial" w:hAnsi="Arial" w:cs="Arial"/>
            <w:sz w:val="20"/>
          </w:rPr>
          <w:t>econoweb@smmt.co.uk</w:t>
        </w:r>
      </w:hyperlink>
    </w:p>
    <w:sectPr w:rsidR="00427000" w:rsidRPr="00B23C16" w:rsidSect="0099618B">
      <w:headerReference w:type="first" r:id="rId9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073D" w14:textId="77777777" w:rsidR="00887168" w:rsidRDefault="00887168">
      <w:r>
        <w:separator/>
      </w:r>
    </w:p>
  </w:endnote>
  <w:endnote w:type="continuationSeparator" w:id="0">
    <w:p w14:paraId="0A535679" w14:textId="77777777" w:rsidR="00887168" w:rsidRDefault="0088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DB4D" w14:textId="77777777" w:rsidR="00887168" w:rsidRDefault="00887168">
      <w:r>
        <w:separator/>
      </w:r>
    </w:p>
  </w:footnote>
  <w:footnote w:type="continuationSeparator" w:id="0">
    <w:p w14:paraId="6230D08C" w14:textId="77777777" w:rsidR="00887168" w:rsidRDefault="0088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EFB8" w14:textId="77777777" w:rsidR="000752F6" w:rsidRPr="00BB71CE" w:rsidRDefault="000752F6" w:rsidP="00B40F45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 wp14:anchorId="60725C83" wp14:editId="1E53F1EC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C3BA4"/>
    <w:multiLevelType w:val="hybridMultilevel"/>
    <w:tmpl w:val="963C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 w15:restartNumberingAfterBreak="0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51A39"/>
    <w:multiLevelType w:val="hybridMultilevel"/>
    <w:tmpl w:val="3F7AACD6"/>
    <w:lvl w:ilvl="0" w:tplc="503EDB14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08BF"/>
    <w:multiLevelType w:val="hybridMultilevel"/>
    <w:tmpl w:val="2034D5AA"/>
    <w:lvl w:ilvl="0" w:tplc="A2A2CC2A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39850">
    <w:abstractNumId w:val="9"/>
  </w:num>
  <w:num w:numId="2" w16cid:durableId="1290208185">
    <w:abstractNumId w:val="11"/>
  </w:num>
  <w:num w:numId="3" w16cid:durableId="243032267">
    <w:abstractNumId w:val="3"/>
  </w:num>
  <w:num w:numId="4" w16cid:durableId="1173106614">
    <w:abstractNumId w:val="26"/>
  </w:num>
  <w:num w:numId="5" w16cid:durableId="630403660">
    <w:abstractNumId w:val="6"/>
  </w:num>
  <w:num w:numId="6" w16cid:durableId="5971823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3532185">
    <w:abstractNumId w:val="21"/>
  </w:num>
  <w:num w:numId="8" w16cid:durableId="1292323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2465265">
    <w:abstractNumId w:val="20"/>
  </w:num>
  <w:num w:numId="10" w16cid:durableId="1930771218">
    <w:abstractNumId w:val="23"/>
  </w:num>
  <w:num w:numId="11" w16cid:durableId="1199204541">
    <w:abstractNumId w:val="14"/>
  </w:num>
  <w:num w:numId="12" w16cid:durableId="584652659">
    <w:abstractNumId w:val="13"/>
  </w:num>
  <w:num w:numId="13" w16cid:durableId="1379670579">
    <w:abstractNumId w:val="7"/>
  </w:num>
  <w:num w:numId="14" w16cid:durableId="1826429144">
    <w:abstractNumId w:val="4"/>
  </w:num>
  <w:num w:numId="15" w16cid:durableId="559905260">
    <w:abstractNumId w:val="22"/>
  </w:num>
  <w:num w:numId="16" w16cid:durableId="15542677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738811">
    <w:abstractNumId w:val="8"/>
  </w:num>
  <w:num w:numId="18" w16cid:durableId="378551243">
    <w:abstractNumId w:val="5"/>
  </w:num>
  <w:num w:numId="19" w16cid:durableId="21073368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7773028">
    <w:abstractNumId w:val="1"/>
  </w:num>
  <w:num w:numId="21" w16cid:durableId="793673046">
    <w:abstractNumId w:val="2"/>
  </w:num>
  <w:num w:numId="22" w16cid:durableId="921721153">
    <w:abstractNumId w:val="18"/>
  </w:num>
  <w:num w:numId="23" w16cid:durableId="543249348">
    <w:abstractNumId w:val="16"/>
  </w:num>
  <w:num w:numId="24" w16cid:durableId="1326199534">
    <w:abstractNumId w:val="19"/>
  </w:num>
  <w:num w:numId="25" w16cid:durableId="1155685187">
    <w:abstractNumId w:val="24"/>
  </w:num>
  <w:num w:numId="26" w16cid:durableId="1350713199">
    <w:abstractNumId w:val="0"/>
  </w:num>
  <w:num w:numId="27" w16cid:durableId="1578245756">
    <w:abstractNumId w:val="12"/>
  </w:num>
  <w:num w:numId="28" w16cid:durableId="587732757">
    <w:abstractNumId w:val="25"/>
  </w:num>
  <w:num w:numId="29" w16cid:durableId="17489608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6F"/>
    <w:rsid w:val="00001B7B"/>
    <w:rsid w:val="0000459A"/>
    <w:rsid w:val="000100CD"/>
    <w:rsid w:val="000108C4"/>
    <w:rsid w:val="00016417"/>
    <w:rsid w:val="00022C15"/>
    <w:rsid w:val="00023F7E"/>
    <w:rsid w:val="000265F7"/>
    <w:rsid w:val="00027F49"/>
    <w:rsid w:val="00031407"/>
    <w:rsid w:val="0004009B"/>
    <w:rsid w:val="00040324"/>
    <w:rsid w:val="00040EA1"/>
    <w:rsid w:val="00040FF0"/>
    <w:rsid w:val="0005231B"/>
    <w:rsid w:val="00054E9D"/>
    <w:rsid w:val="0005794C"/>
    <w:rsid w:val="0006135C"/>
    <w:rsid w:val="0006611E"/>
    <w:rsid w:val="000752F6"/>
    <w:rsid w:val="00081F15"/>
    <w:rsid w:val="00082158"/>
    <w:rsid w:val="000828E3"/>
    <w:rsid w:val="000925EB"/>
    <w:rsid w:val="000B048F"/>
    <w:rsid w:val="000B07C5"/>
    <w:rsid w:val="000C39D3"/>
    <w:rsid w:val="000D2AA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498C"/>
    <w:rsid w:val="00116121"/>
    <w:rsid w:val="00116F57"/>
    <w:rsid w:val="00120E51"/>
    <w:rsid w:val="00122D20"/>
    <w:rsid w:val="001263B8"/>
    <w:rsid w:val="001300D7"/>
    <w:rsid w:val="00131D2C"/>
    <w:rsid w:val="00135198"/>
    <w:rsid w:val="00135D72"/>
    <w:rsid w:val="00137105"/>
    <w:rsid w:val="0013797B"/>
    <w:rsid w:val="00141896"/>
    <w:rsid w:val="00142DFC"/>
    <w:rsid w:val="00143C1D"/>
    <w:rsid w:val="00154A73"/>
    <w:rsid w:val="00167393"/>
    <w:rsid w:val="00172CA6"/>
    <w:rsid w:val="001751F5"/>
    <w:rsid w:val="00175778"/>
    <w:rsid w:val="00180913"/>
    <w:rsid w:val="001829F1"/>
    <w:rsid w:val="001848DB"/>
    <w:rsid w:val="00191F2F"/>
    <w:rsid w:val="001A077A"/>
    <w:rsid w:val="001A7074"/>
    <w:rsid w:val="001B1488"/>
    <w:rsid w:val="001B176B"/>
    <w:rsid w:val="001B2117"/>
    <w:rsid w:val="001B3340"/>
    <w:rsid w:val="001C313B"/>
    <w:rsid w:val="001C37CD"/>
    <w:rsid w:val="001C70F6"/>
    <w:rsid w:val="001D3954"/>
    <w:rsid w:val="001D5908"/>
    <w:rsid w:val="001E0BFD"/>
    <w:rsid w:val="001E647E"/>
    <w:rsid w:val="001F5763"/>
    <w:rsid w:val="00200E27"/>
    <w:rsid w:val="002052F4"/>
    <w:rsid w:val="00213FCC"/>
    <w:rsid w:val="00216399"/>
    <w:rsid w:val="00224F26"/>
    <w:rsid w:val="002252B9"/>
    <w:rsid w:val="002300B6"/>
    <w:rsid w:val="002327EF"/>
    <w:rsid w:val="00242AA7"/>
    <w:rsid w:val="00253213"/>
    <w:rsid w:val="00253BEB"/>
    <w:rsid w:val="002565E0"/>
    <w:rsid w:val="00273151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97E5B"/>
    <w:rsid w:val="002A1B18"/>
    <w:rsid w:val="002A2B39"/>
    <w:rsid w:val="002B1979"/>
    <w:rsid w:val="002B795A"/>
    <w:rsid w:val="002B7DBD"/>
    <w:rsid w:val="002C04B7"/>
    <w:rsid w:val="002C3529"/>
    <w:rsid w:val="002C4D20"/>
    <w:rsid w:val="002D09C9"/>
    <w:rsid w:val="002D0CAA"/>
    <w:rsid w:val="002D5E68"/>
    <w:rsid w:val="002E3255"/>
    <w:rsid w:val="002E4236"/>
    <w:rsid w:val="002E4596"/>
    <w:rsid w:val="002E6025"/>
    <w:rsid w:val="002E60F9"/>
    <w:rsid w:val="002F64C8"/>
    <w:rsid w:val="003013A9"/>
    <w:rsid w:val="00301F89"/>
    <w:rsid w:val="003117BF"/>
    <w:rsid w:val="00334A77"/>
    <w:rsid w:val="0033617B"/>
    <w:rsid w:val="00337618"/>
    <w:rsid w:val="00342FB4"/>
    <w:rsid w:val="0034363B"/>
    <w:rsid w:val="003444AD"/>
    <w:rsid w:val="00346381"/>
    <w:rsid w:val="00347688"/>
    <w:rsid w:val="003544AF"/>
    <w:rsid w:val="00364E6F"/>
    <w:rsid w:val="0036511E"/>
    <w:rsid w:val="00372476"/>
    <w:rsid w:val="00372B32"/>
    <w:rsid w:val="003731FE"/>
    <w:rsid w:val="0038204D"/>
    <w:rsid w:val="00382F76"/>
    <w:rsid w:val="0038418E"/>
    <w:rsid w:val="00384E27"/>
    <w:rsid w:val="00387578"/>
    <w:rsid w:val="0038786C"/>
    <w:rsid w:val="00387E51"/>
    <w:rsid w:val="003A2FEC"/>
    <w:rsid w:val="003A4C01"/>
    <w:rsid w:val="003A688E"/>
    <w:rsid w:val="003B1E1F"/>
    <w:rsid w:val="003C43FC"/>
    <w:rsid w:val="003C4E6C"/>
    <w:rsid w:val="003D171A"/>
    <w:rsid w:val="003D50CB"/>
    <w:rsid w:val="003E1E92"/>
    <w:rsid w:val="003F3D48"/>
    <w:rsid w:val="003F66F5"/>
    <w:rsid w:val="00404F0C"/>
    <w:rsid w:val="00404FDA"/>
    <w:rsid w:val="00411C8B"/>
    <w:rsid w:val="00413F0A"/>
    <w:rsid w:val="004151A4"/>
    <w:rsid w:val="00422F94"/>
    <w:rsid w:val="00422FCA"/>
    <w:rsid w:val="00423FB3"/>
    <w:rsid w:val="00426B68"/>
    <w:rsid w:val="00427000"/>
    <w:rsid w:val="004334AD"/>
    <w:rsid w:val="004342B2"/>
    <w:rsid w:val="0044656E"/>
    <w:rsid w:val="0045157A"/>
    <w:rsid w:val="004523D1"/>
    <w:rsid w:val="00453A3F"/>
    <w:rsid w:val="004620B3"/>
    <w:rsid w:val="0047019C"/>
    <w:rsid w:val="00471F7E"/>
    <w:rsid w:val="00484BD9"/>
    <w:rsid w:val="00486D13"/>
    <w:rsid w:val="0049221B"/>
    <w:rsid w:val="00492A71"/>
    <w:rsid w:val="004933D0"/>
    <w:rsid w:val="00495D1E"/>
    <w:rsid w:val="00496F18"/>
    <w:rsid w:val="004A0153"/>
    <w:rsid w:val="004A2131"/>
    <w:rsid w:val="004A214C"/>
    <w:rsid w:val="004A522B"/>
    <w:rsid w:val="004B00C3"/>
    <w:rsid w:val="004B4987"/>
    <w:rsid w:val="004B4C8A"/>
    <w:rsid w:val="004B67E4"/>
    <w:rsid w:val="004C113F"/>
    <w:rsid w:val="004C2828"/>
    <w:rsid w:val="004D43C9"/>
    <w:rsid w:val="004D62DE"/>
    <w:rsid w:val="004E0E54"/>
    <w:rsid w:val="004E1F93"/>
    <w:rsid w:val="004F474C"/>
    <w:rsid w:val="00513040"/>
    <w:rsid w:val="005140AA"/>
    <w:rsid w:val="00514E24"/>
    <w:rsid w:val="005245FD"/>
    <w:rsid w:val="0054032B"/>
    <w:rsid w:val="00540633"/>
    <w:rsid w:val="00540DD4"/>
    <w:rsid w:val="00553ADB"/>
    <w:rsid w:val="00560F7F"/>
    <w:rsid w:val="00561335"/>
    <w:rsid w:val="00565FB7"/>
    <w:rsid w:val="00567846"/>
    <w:rsid w:val="00572F9B"/>
    <w:rsid w:val="0057674C"/>
    <w:rsid w:val="005908CB"/>
    <w:rsid w:val="005A1BB8"/>
    <w:rsid w:val="005A580E"/>
    <w:rsid w:val="005A643D"/>
    <w:rsid w:val="005B0EAF"/>
    <w:rsid w:val="005B1432"/>
    <w:rsid w:val="005B27A3"/>
    <w:rsid w:val="005B749C"/>
    <w:rsid w:val="005C37C3"/>
    <w:rsid w:val="005C37CC"/>
    <w:rsid w:val="005C53A9"/>
    <w:rsid w:val="005C6C60"/>
    <w:rsid w:val="005D1BDC"/>
    <w:rsid w:val="005E6AE8"/>
    <w:rsid w:val="005F1590"/>
    <w:rsid w:val="005F1E82"/>
    <w:rsid w:val="005F4140"/>
    <w:rsid w:val="005F586D"/>
    <w:rsid w:val="0060251D"/>
    <w:rsid w:val="00610E69"/>
    <w:rsid w:val="00615720"/>
    <w:rsid w:val="00615975"/>
    <w:rsid w:val="00621A7C"/>
    <w:rsid w:val="0062281D"/>
    <w:rsid w:val="0062436F"/>
    <w:rsid w:val="00625FE0"/>
    <w:rsid w:val="00626566"/>
    <w:rsid w:val="00626587"/>
    <w:rsid w:val="00631289"/>
    <w:rsid w:val="00644A24"/>
    <w:rsid w:val="006474BD"/>
    <w:rsid w:val="00652A6E"/>
    <w:rsid w:val="00656855"/>
    <w:rsid w:val="00666481"/>
    <w:rsid w:val="006679CE"/>
    <w:rsid w:val="00687C7A"/>
    <w:rsid w:val="00696994"/>
    <w:rsid w:val="006B0A6E"/>
    <w:rsid w:val="006B2F15"/>
    <w:rsid w:val="006C70F9"/>
    <w:rsid w:val="006D2D93"/>
    <w:rsid w:val="006D3E98"/>
    <w:rsid w:val="006D672C"/>
    <w:rsid w:val="006D7345"/>
    <w:rsid w:val="006E03C6"/>
    <w:rsid w:val="006F56F5"/>
    <w:rsid w:val="00701F16"/>
    <w:rsid w:val="00705235"/>
    <w:rsid w:val="00707C87"/>
    <w:rsid w:val="00710765"/>
    <w:rsid w:val="007124D2"/>
    <w:rsid w:val="007164A3"/>
    <w:rsid w:val="00716E93"/>
    <w:rsid w:val="00720BFF"/>
    <w:rsid w:val="00722220"/>
    <w:rsid w:val="00723102"/>
    <w:rsid w:val="00723BE8"/>
    <w:rsid w:val="007253A2"/>
    <w:rsid w:val="007317E6"/>
    <w:rsid w:val="007373AF"/>
    <w:rsid w:val="00741B35"/>
    <w:rsid w:val="00743ADA"/>
    <w:rsid w:val="00754D64"/>
    <w:rsid w:val="00756939"/>
    <w:rsid w:val="00757AA4"/>
    <w:rsid w:val="00760ECB"/>
    <w:rsid w:val="00761008"/>
    <w:rsid w:val="00764B3A"/>
    <w:rsid w:val="00772A7C"/>
    <w:rsid w:val="00780241"/>
    <w:rsid w:val="00781288"/>
    <w:rsid w:val="007818FB"/>
    <w:rsid w:val="00782F4D"/>
    <w:rsid w:val="0078694D"/>
    <w:rsid w:val="00790C35"/>
    <w:rsid w:val="00792361"/>
    <w:rsid w:val="00795AE7"/>
    <w:rsid w:val="007A0010"/>
    <w:rsid w:val="007A0938"/>
    <w:rsid w:val="007A1C90"/>
    <w:rsid w:val="007A340D"/>
    <w:rsid w:val="007A4999"/>
    <w:rsid w:val="007B0E6F"/>
    <w:rsid w:val="007B5381"/>
    <w:rsid w:val="007C2A7D"/>
    <w:rsid w:val="007C4A19"/>
    <w:rsid w:val="007D7DBC"/>
    <w:rsid w:val="007E0891"/>
    <w:rsid w:val="007E1570"/>
    <w:rsid w:val="007E78EF"/>
    <w:rsid w:val="007F57AF"/>
    <w:rsid w:val="007F6734"/>
    <w:rsid w:val="007F7773"/>
    <w:rsid w:val="00800791"/>
    <w:rsid w:val="00800F29"/>
    <w:rsid w:val="00802A4A"/>
    <w:rsid w:val="00805EE1"/>
    <w:rsid w:val="008109B0"/>
    <w:rsid w:val="00810E7A"/>
    <w:rsid w:val="00820370"/>
    <w:rsid w:val="00820950"/>
    <w:rsid w:val="00830B76"/>
    <w:rsid w:val="00830CEE"/>
    <w:rsid w:val="00840449"/>
    <w:rsid w:val="008431FA"/>
    <w:rsid w:val="0084549D"/>
    <w:rsid w:val="008460FB"/>
    <w:rsid w:val="00852CF9"/>
    <w:rsid w:val="008645AE"/>
    <w:rsid w:val="0087052C"/>
    <w:rsid w:val="00872DD6"/>
    <w:rsid w:val="00875577"/>
    <w:rsid w:val="00880E69"/>
    <w:rsid w:val="00886635"/>
    <w:rsid w:val="00887168"/>
    <w:rsid w:val="0089316E"/>
    <w:rsid w:val="008A1B44"/>
    <w:rsid w:val="008A206E"/>
    <w:rsid w:val="008A3829"/>
    <w:rsid w:val="008A4E52"/>
    <w:rsid w:val="008B1A7C"/>
    <w:rsid w:val="008C5E0D"/>
    <w:rsid w:val="008C63A0"/>
    <w:rsid w:val="008C670B"/>
    <w:rsid w:val="008D2010"/>
    <w:rsid w:val="008D3B57"/>
    <w:rsid w:val="008E12E7"/>
    <w:rsid w:val="008E27F8"/>
    <w:rsid w:val="008E778A"/>
    <w:rsid w:val="008F14F8"/>
    <w:rsid w:val="008F28E1"/>
    <w:rsid w:val="008F69CE"/>
    <w:rsid w:val="008F7D82"/>
    <w:rsid w:val="00900BA1"/>
    <w:rsid w:val="009054AD"/>
    <w:rsid w:val="00910889"/>
    <w:rsid w:val="00910969"/>
    <w:rsid w:val="00912C0F"/>
    <w:rsid w:val="00920555"/>
    <w:rsid w:val="00921D4E"/>
    <w:rsid w:val="00924829"/>
    <w:rsid w:val="00924F09"/>
    <w:rsid w:val="009269B4"/>
    <w:rsid w:val="00933D99"/>
    <w:rsid w:val="00936508"/>
    <w:rsid w:val="009374AB"/>
    <w:rsid w:val="0094426D"/>
    <w:rsid w:val="00947C47"/>
    <w:rsid w:val="009524F0"/>
    <w:rsid w:val="00953915"/>
    <w:rsid w:val="00956166"/>
    <w:rsid w:val="00956796"/>
    <w:rsid w:val="009575D8"/>
    <w:rsid w:val="00961FB5"/>
    <w:rsid w:val="00963946"/>
    <w:rsid w:val="0096536E"/>
    <w:rsid w:val="00967DAB"/>
    <w:rsid w:val="009730F8"/>
    <w:rsid w:val="00977E9A"/>
    <w:rsid w:val="00981C8D"/>
    <w:rsid w:val="00984766"/>
    <w:rsid w:val="0099066D"/>
    <w:rsid w:val="00992974"/>
    <w:rsid w:val="0099618B"/>
    <w:rsid w:val="009965D9"/>
    <w:rsid w:val="009A57DD"/>
    <w:rsid w:val="009A7CB2"/>
    <w:rsid w:val="009B7640"/>
    <w:rsid w:val="009D6A89"/>
    <w:rsid w:val="009E501F"/>
    <w:rsid w:val="009F25C6"/>
    <w:rsid w:val="00A01F4E"/>
    <w:rsid w:val="00A068C7"/>
    <w:rsid w:val="00A110E2"/>
    <w:rsid w:val="00A162EF"/>
    <w:rsid w:val="00A17444"/>
    <w:rsid w:val="00A31D2C"/>
    <w:rsid w:val="00A32271"/>
    <w:rsid w:val="00A32492"/>
    <w:rsid w:val="00A3462A"/>
    <w:rsid w:val="00A37476"/>
    <w:rsid w:val="00A41BCB"/>
    <w:rsid w:val="00A42171"/>
    <w:rsid w:val="00A47118"/>
    <w:rsid w:val="00A50502"/>
    <w:rsid w:val="00A54E0F"/>
    <w:rsid w:val="00A56FFF"/>
    <w:rsid w:val="00A60DF0"/>
    <w:rsid w:val="00A65706"/>
    <w:rsid w:val="00A659A9"/>
    <w:rsid w:val="00A66ADB"/>
    <w:rsid w:val="00A71B51"/>
    <w:rsid w:val="00A729D3"/>
    <w:rsid w:val="00A74CC3"/>
    <w:rsid w:val="00A7511A"/>
    <w:rsid w:val="00A81421"/>
    <w:rsid w:val="00A90521"/>
    <w:rsid w:val="00A92800"/>
    <w:rsid w:val="00A945F0"/>
    <w:rsid w:val="00A96AA1"/>
    <w:rsid w:val="00AA562D"/>
    <w:rsid w:val="00AA578A"/>
    <w:rsid w:val="00AA6EFE"/>
    <w:rsid w:val="00AB0FD1"/>
    <w:rsid w:val="00AB1782"/>
    <w:rsid w:val="00AB205B"/>
    <w:rsid w:val="00AC2434"/>
    <w:rsid w:val="00AC3DAC"/>
    <w:rsid w:val="00AC796D"/>
    <w:rsid w:val="00AD0123"/>
    <w:rsid w:val="00AD2230"/>
    <w:rsid w:val="00AD75E7"/>
    <w:rsid w:val="00AE1A6C"/>
    <w:rsid w:val="00AF0153"/>
    <w:rsid w:val="00AF10EF"/>
    <w:rsid w:val="00AF4544"/>
    <w:rsid w:val="00AF7532"/>
    <w:rsid w:val="00AF7823"/>
    <w:rsid w:val="00AF7BA4"/>
    <w:rsid w:val="00B02DF9"/>
    <w:rsid w:val="00B051C7"/>
    <w:rsid w:val="00B1759E"/>
    <w:rsid w:val="00B22325"/>
    <w:rsid w:val="00B23C16"/>
    <w:rsid w:val="00B24805"/>
    <w:rsid w:val="00B26FBD"/>
    <w:rsid w:val="00B32130"/>
    <w:rsid w:val="00B339F5"/>
    <w:rsid w:val="00B33BE4"/>
    <w:rsid w:val="00B40F45"/>
    <w:rsid w:val="00B44252"/>
    <w:rsid w:val="00B45B81"/>
    <w:rsid w:val="00B462AF"/>
    <w:rsid w:val="00B55151"/>
    <w:rsid w:val="00B5665D"/>
    <w:rsid w:val="00B6415B"/>
    <w:rsid w:val="00B6597D"/>
    <w:rsid w:val="00B838CC"/>
    <w:rsid w:val="00B85A88"/>
    <w:rsid w:val="00B86F9A"/>
    <w:rsid w:val="00BA2DE1"/>
    <w:rsid w:val="00BA41B2"/>
    <w:rsid w:val="00BA662F"/>
    <w:rsid w:val="00BB4404"/>
    <w:rsid w:val="00BB4F66"/>
    <w:rsid w:val="00BB53F8"/>
    <w:rsid w:val="00BB71CE"/>
    <w:rsid w:val="00BC724C"/>
    <w:rsid w:val="00BD3D2E"/>
    <w:rsid w:val="00BE48DE"/>
    <w:rsid w:val="00BE55E0"/>
    <w:rsid w:val="00BE5B7A"/>
    <w:rsid w:val="00BF6713"/>
    <w:rsid w:val="00C0273D"/>
    <w:rsid w:val="00C049B5"/>
    <w:rsid w:val="00C04A39"/>
    <w:rsid w:val="00C04A3D"/>
    <w:rsid w:val="00C0657B"/>
    <w:rsid w:val="00C078F5"/>
    <w:rsid w:val="00C164D5"/>
    <w:rsid w:val="00C17495"/>
    <w:rsid w:val="00C210F3"/>
    <w:rsid w:val="00C24D24"/>
    <w:rsid w:val="00C26252"/>
    <w:rsid w:val="00C31342"/>
    <w:rsid w:val="00C33CFF"/>
    <w:rsid w:val="00C35F1F"/>
    <w:rsid w:val="00C362E8"/>
    <w:rsid w:val="00C407D9"/>
    <w:rsid w:val="00C41423"/>
    <w:rsid w:val="00C50D57"/>
    <w:rsid w:val="00C5374B"/>
    <w:rsid w:val="00C573CF"/>
    <w:rsid w:val="00C61C1E"/>
    <w:rsid w:val="00C61EE1"/>
    <w:rsid w:val="00C70720"/>
    <w:rsid w:val="00C8158D"/>
    <w:rsid w:val="00C90CD6"/>
    <w:rsid w:val="00C93D2E"/>
    <w:rsid w:val="00C940E8"/>
    <w:rsid w:val="00CA1CDA"/>
    <w:rsid w:val="00CC056F"/>
    <w:rsid w:val="00CC221F"/>
    <w:rsid w:val="00CC3E33"/>
    <w:rsid w:val="00CC7011"/>
    <w:rsid w:val="00CD4664"/>
    <w:rsid w:val="00CD749B"/>
    <w:rsid w:val="00CE002B"/>
    <w:rsid w:val="00CE7A5D"/>
    <w:rsid w:val="00CF102C"/>
    <w:rsid w:val="00CF1675"/>
    <w:rsid w:val="00CF292E"/>
    <w:rsid w:val="00CF2D38"/>
    <w:rsid w:val="00CF3198"/>
    <w:rsid w:val="00CF6356"/>
    <w:rsid w:val="00CF7486"/>
    <w:rsid w:val="00CF76A0"/>
    <w:rsid w:val="00D00863"/>
    <w:rsid w:val="00D02564"/>
    <w:rsid w:val="00D04B3E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8A1"/>
    <w:rsid w:val="00D67B16"/>
    <w:rsid w:val="00D70937"/>
    <w:rsid w:val="00D770AF"/>
    <w:rsid w:val="00D82DFA"/>
    <w:rsid w:val="00D905AE"/>
    <w:rsid w:val="00D90E00"/>
    <w:rsid w:val="00D91E7F"/>
    <w:rsid w:val="00D936A9"/>
    <w:rsid w:val="00D96B5C"/>
    <w:rsid w:val="00DA4256"/>
    <w:rsid w:val="00DA447B"/>
    <w:rsid w:val="00DA4FF2"/>
    <w:rsid w:val="00DA62BD"/>
    <w:rsid w:val="00DB1B08"/>
    <w:rsid w:val="00DB40DC"/>
    <w:rsid w:val="00DB5226"/>
    <w:rsid w:val="00DB7FFA"/>
    <w:rsid w:val="00DC31E4"/>
    <w:rsid w:val="00DC6E8D"/>
    <w:rsid w:val="00DC71BE"/>
    <w:rsid w:val="00DD11AA"/>
    <w:rsid w:val="00DD3F67"/>
    <w:rsid w:val="00DD5B18"/>
    <w:rsid w:val="00DD6BA2"/>
    <w:rsid w:val="00DD7CDF"/>
    <w:rsid w:val="00DE11A0"/>
    <w:rsid w:val="00DE2FB1"/>
    <w:rsid w:val="00DE30F0"/>
    <w:rsid w:val="00DE438E"/>
    <w:rsid w:val="00DE5526"/>
    <w:rsid w:val="00DF0B35"/>
    <w:rsid w:val="00DF1E62"/>
    <w:rsid w:val="00DF4108"/>
    <w:rsid w:val="00DF4842"/>
    <w:rsid w:val="00DF6847"/>
    <w:rsid w:val="00DF72BF"/>
    <w:rsid w:val="00E00AF3"/>
    <w:rsid w:val="00E0108E"/>
    <w:rsid w:val="00E02E7A"/>
    <w:rsid w:val="00E0430D"/>
    <w:rsid w:val="00E05C4D"/>
    <w:rsid w:val="00E1304A"/>
    <w:rsid w:val="00E14B26"/>
    <w:rsid w:val="00E16C74"/>
    <w:rsid w:val="00E321B6"/>
    <w:rsid w:val="00E3411A"/>
    <w:rsid w:val="00E4062C"/>
    <w:rsid w:val="00E4490E"/>
    <w:rsid w:val="00E469E0"/>
    <w:rsid w:val="00E47E29"/>
    <w:rsid w:val="00E527A8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1DD7"/>
    <w:rsid w:val="00EA30B3"/>
    <w:rsid w:val="00EA3FB5"/>
    <w:rsid w:val="00EA41FD"/>
    <w:rsid w:val="00EA6334"/>
    <w:rsid w:val="00EA6CC7"/>
    <w:rsid w:val="00EA76E6"/>
    <w:rsid w:val="00EB25A1"/>
    <w:rsid w:val="00EB7ACD"/>
    <w:rsid w:val="00EC3273"/>
    <w:rsid w:val="00ED5373"/>
    <w:rsid w:val="00ED5767"/>
    <w:rsid w:val="00ED7112"/>
    <w:rsid w:val="00EE11C1"/>
    <w:rsid w:val="00EE5634"/>
    <w:rsid w:val="00F105ED"/>
    <w:rsid w:val="00F20197"/>
    <w:rsid w:val="00F23666"/>
    <w:rsid w:val="00F26EA9"/>
    <w:rsid w:val="00F50E30"/>
    <w:rsid w:val="00F53BC2"/>
    <w:rsid w:val="00F564AC"/>
    <w:rsid w:val="00F57153"/>
    <w:rsid w:val="00F61000"/>
    <w:rsid w:val="00F62299"/>
    <w:rsid w:val="00F64977"/>
    <w:rsid w:val="00F701DA"/>
    <w:rsid w:val="00F703A3"/>
    <w:rsid w:val="00F70858"/>
    <w:rsid w:val="00F70EA9"/>
    <w:rsid w:val="00F71643"/>
    <w:rsid w:val="00F83AC0"/>
    <w:rsid w:val="00F85233"/>
    <w:rsid w:val="00F85768"/>
    <w:rsid w:val="00F8689B"/>
    <w:rsid w:val="00F912A7"/>
    <w:rsid w:val="00F920B1"/>
    <w:rsid w:val="00F9235F"/>
    <w:rsid w:val="00F94714"/>
    <w:rsid w:val="00FA32EE"/>
    <w:rsid w:val="00FA42E3"/>
    <w:rsid w:val="00FC5BFB"/>
    <w:rsid w:val="00FD51A9"/>
    <w:rsid w:val="00FE04F3"/>
    <w:rsid w:val="00FE1F17"/>
    <w:rsid w:val="00FE2A05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560EF"/>
  <w15:docId w15:val="{CD42BC7B-6C2E-471D-B254-3824DDA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  <w:style w:type="table" w:styleId="TableGrid">
    <w:name w:val="Table Grid"/>
    <w:basedOn w:val="TableNormal"/>
    <w:rsid w:val="0038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EE41-80EB-485C-BC51-4FCECBAF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subject/>
  <dc:creator>visscj</dc:creator>
  <cp:keywords/>
  <dc:description/>
  <cp:lastModifiedBy>Matthew Croucher</cp:lastModifiedBy>
  <cp:revision>6</cp:revision>
  <cp:lastPrinted>2022-11-02T11:31:00Z</cp:lastPrinted>
  <dcterms:created xsi:type="dcterms:W3CDTF">2022-10-26T11:48:00Z</dcterms:created>
  <dcterms:modified xsi:type="dcterms:W3CDTF">2022-11-15T10:31:00Z</dcterms:modified>
</cp:coreProperties>
</file>