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A152E9" w:rsidRPr="00A02FA3" w:rsidTr="004A6461">
        <w:trPr>
          <w:trHeight w:val="1080"/>
        </w:trPr>
        <w:tc>
          <w:tcPr>
            <w:tcW w:w="10314" w:type="dxa"/>
            <w:tcBorders>
              <w:top w:val="nil"/>
              <w:left w:val="nil"/>
              <w:bottom w:val="nil"/>
              <w:right w:val="nil"/>
            </w:tcBorders>
          </w:tcPr>
          <w:p w:rsidR="00A152E9" w:rsidRPr="004A6461" w:rsidRDefault="00A152E9" w:rsidP="004A6461">
            <w:pPr>
              <w:pStyle w:val="Heading1"/>
              <w:ind w:left="-81" w:firstLine="0"/>
              <w:rPr>
                <w:rFonts w:ascii="Arial" w:hAnsi="Arial" w:cs="Arial"/>
                <w:color w:val="1074CB"/>
                <w:sz w:val="44"/>
              </w:rPr>
            </w:pPr>
            <w:r w:rsidRPr="004A6461">
              <w:rPr>
                <w:rFonts w:ascii="Arial" w:hAnsi="Arial" w:cs="Arial"/>
                <w:color w:val="1074CB"/>
                <w:sz w:val="44"/>
              </w:rPr>
              <w:t xml:space="preserve">SMMT AUTOMOTIVE </w:t>
            </w:r>
            <w:r w:rsidR="00090CA0">
              <w:rPr>
                <w:rFonts w:ascii="Arial" w:hAnsi="Arial" w:cs="Arial"/>
                <w:color w:val="1074CB"/>
                <w:sz w:val="44"/>
              </w:rPr>
              <w:t>MANUFACTURING</w:t>
            </w:r>
          </w:p>
          <w:p w:rsidR="00A152E9" w:rsidRPr="00A02FA3" w:rsidRDefault="002E1576" w:rsidP="00695DD4">
            <w:pPr>
              <w:ind w:left="-81"/>
              <w:rPr>
                <w:color w:val="1074CB"/>
                <w:sz w:val="40"/>
              </w:rPr>
            </w:pPr>
            <w:r>
              <w:rPr>
                <w:rFonts w:ascii="Arial" w:hAnsi="Arial" w:cs="Arial"/>
                <w:color w:val="1074CB"/>
                <w:sz w:val="44"/>
              </w:rPr>
              <w:t>1</w:t>
            </w:r>
            <w:r w:rsidR="00695DD4">
              <w:rPr>
                <w:rFonts w:ascii="Arial" w:hAnsi="Arial" w:cs="Arial"/>
                <w:color w:val="1074CB"/>
                <w:sz w:val="44"/>
              </w:rPr>
              <w:t>9</w:t>
            </w:r>
            <w:r>
              <w:rPr>
                <w:rFonts w:ascii="Arial" w:hAnsi="Arial" w:cs="Arial"/>
                <w:color w:val="1074CB"/>
                <w:sz w:val="44"/>
              </w:rPr>
              <w:t xml:space="preserve"> </w:t>
            </w:r>
            <w:r w:rsidR="00695DD4">
              <w:rPr>
                <w:rFonts w:ascii="Arial" w:hAnsi="Arial" w:cs="Arial"/>
                <w:color w:val="1074CB"/>
                <w:sz w:val="44"/>
              </w:rPr>
              <w:t>May</w:t>
            </w:r>
            <w:r>
              <w:rPr>
                <w:rFonts w:ascii="Arial" w:hAnsi="Arial" w:cs="Arial"/>
                <w:color w:val="1074CB"/>
                <w:sz w:val="44"/>
              </w:rPr>
              <w:t xml:space="preserve"> </w:t>
            </w:r>
            <w:r w:rsidR="00A152E9" w:rsidRPr="004A6461">
              <w:rPr>
                <w:rFonts w:ascii="Arial" w:hAnsi="Arial" w:cs="Arial"/>
                <w:color w:val="1074CB"/>
                <w:sz w:val="44"/>
              </w:rPr>
              <w:t>201</w:t>
            </w:r>
            <w:r w:rsidR="005D22CA">
              <w:rPr>
                <w:rFonts w:ascii="Arial" w:hAnsi="Arial" w:cs="Arial"/>
                <w:color w:val="1074CB"/>
                <w:sz w:val="44"/>
              </w:rPr>
              <w:t>1</w:t>
            </w:r>
            <w:r w:rsidR="00695DD4">
              <w:rPr>
                <w:rFonts w:ascii="Arial" w:hAnsi="Arial" w:cs="Arial"/>
                <w:color w:val="1074CB"/>
                <w:sz w:val="44"/>
              </w:rPr>
              <w:t xml:space="preserve"> </w:t>
            </w:r>
            <w:r w:rsidR="00695DD4" w:rsidRPr="00B6758E">
              <w:rPr>
                <w:rFonts w:ascii="Arial" w:hAnsi="Arial" w:cs="Arial"/>
                <w:color w:val="1074CB"/>
                <w:sz w:val="32"/>
                <w:szCs w:val="32"/>
              </w:rPr>
              <w:t>(data for April</w:t>
            </w:r>
            <w:r w:rsidR="00124A11">
              <w:rPr>
                <w:rFonts w:ascii="Arial" w:hAnsi="Arial" w:cs="Arial"/>
                <w:color w:val="1074CB"/>
                <w:sz w:val="32"/>
                <w:szCs w:val="32"/>
              </w:rPr>
              <w:t xml:space="preserve"> 2011</w:t>
            </w:r>
            <w:r w:rsidR="00695DD4" w:rsidRPr="00B6758E">
              <w:rPr>
                <w:rFonts w:ascii="Arial" w:hAnsi="Arial" w:cs="Arial"/>
                <w:color w:val="1074CB"/>
                <w:sz w:val="32"/>
                <w:szCs w:val="32"/>
              </w:rPr>
              <w:t>)</w:t>
            </w:r>
          </w:p>
        </w:tc>
      </w:tr>
    </w:tbl>
    <w:p w:rsidR="005F33F2" w:rsidRPr="002C3D6F" w:rsidRDefault="005F33F2">
      <w:pPr>
        <w:pStyle w:val="Heading1"/>
        <w:ind w:left="0" w:firstLine="0"/>
        <w:rPr>
          <w:rFonts w:ascii="Arial" w:hAnsi="Arial" w:cs="Arial"/>
          <w:b w:val="0"/>
          <w:color w:val="1074CB"/>
          <w:sz w:val="22"/>
        </w:rPr>
      </w:pPr>
    </w:p>
    <w:tbl>
      <w:tblPr>
        <w:tblW w:w="0" w:type="auto"/>
        <w:tblLook w:val="01E0"/>
      </w:tblPr>
      <w:tblGrid>
        <w:gridCol w:w="2794"/>
        <w:gridCol w:w="858"/>
        <w:gridCol w:w="1985"/>
        <w:gridCol w:w="3260"/>
      </w:tblGrid>
      <w:tr w:rsidR="005F33F2" w:rsidRPr="00A02FA3" w:rsidTr="00027809">
        <w:tc>
          <w:tcPr>
            <w:tcW w:w="2794" w:type="dxa"/>
            <w:tcBorders>
              <w:top w:val="nil"/>
            </w:tcBorders>
          </w:tcPr>
          <w:p w:rsidR="005F33F2" w:rsidRPr="004A6461" w:rsidRDefault="00090CA0">
            <w:pPr>
              <w:tabs>
                <w:tab w:val="left" w:pos="1418"/>
                <w:tab w:val="left" w:pos="4253"/>
                <w:tab w:val="left" w:pos="6521"/>
              </w:tabs>
              <w:ind w:right="-1"/>
              <w:rPr>
                <w:rFonts w:ascii="Arial" w:hAnsi="Arial" w:cs="Arial"/>
                <w:color w:val="1074CB"/>
                <w:sz w:val="18"/>
              </w:rPr>
            </w:pPr>
            <w:r>
              <w:rPr>
                <w:rFonts w:ascii="Arial" w:hAnsi="Arial" w:cs="Arial"/>
                <w:color w:val="1074CB"/>
                <w:sz w:val="18"/>
              </w:rPr>
              <w:t>NEWS</w:t>
            </w:r>
            <w:r w:rsidRPr="004A6461">
              <w:rPr>
                <w:rFonts w:ascii="Arial" w:hAnsi="Arial" w:cs="Arial"/>
                <w:color w:val="1074CB"/>
                <w:sz w:val="18"/>
              </w:rPr>
              <w:t xml:space="preserve"> </w:t>
            </w:r>
            <w:r w:rsidR="005F33F2" w:rsidRPr="004A6461">
              <w:rPr>
                <w:rFonts w:ascii="Arial" w:hAnsi="Arial" w:cs="Arial"/>
                <w:color w:val="1074CB"/>
                <w:sz w:val="18"/>
              </w:rPr>
              <w:t>RELEASE NUMBER</w:t>
            </w:r>
          </w:p>
        </w:tc>
        <w:tc>
          <w:tcPr>
            <w:tcW w:w="858" w:type="dxa"/>
          </w:tcPr>
          <w:p w:rsidR="005F33F2" w:rsidRPr="004A6461" w:rsidRDefault="008B233B" w:rsidP="00EE653B">
            <w:pPr>
              <w:tabs>
                <w:tab w:val="left" w:pos="1418"/>
                <w:tab w:val="left" w:pos="4253"/>
                <w:tab w:val="left" w:pos="6521"/>
              </w:tabs>
              <w:ind w:right="-1"/>
              <w:rPr>
                <w:rFonts w:ascii="Arial" w:hAnsi="Arial" w:cs="Arial"/>
                <w:color w:val="1074CB"/>
                <w:sz w:val="18"/>
              </w:rPr>
            </w:pPr>
            <w:r w:rsidRPr="009334DB">
              <w:rPr>
                <w:rFonts w:ascii="Arial" w:hAnsi="Arial" w:cs="Arial"/>
                <w:color w:val="1074CB"/>
                <w:sz w:val="18"/>
              </w:rPr>
              <w:t>4</w:t>
            </w:r>
            <w:r w:rsidR="004863DC" w:rsidRPr="009334DB">
              <w:rPr>
                <w:rFonts w:ascii="Arial" w:hAnsi="Arial" w:cs="Arial"/>
                <w:color w:val="1074CB"/>
                <w:sz w:val="18"/>
              </w:rPr>
              <w:t>904</w:t>
            </w:r>
          </w:p>
        </w:tc>
        <w:tc>
          <w:tcPr>
            <w:tcW w:w="1985"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FOR RELEASE</w:t>
            </w:r>
          </w:p>
        </w:tc>
        <w:tc>
          <w:tcPr>
            <w:tcW w:w="3260" w:type="dxa"/>
          </w:tcPr>
          <w:p w:rsidR="005F33F2" w:rsidRPr="004A6461" w:rsidRDefault="005F33F2">
            <w:pPr>
              <w:tabs>
                <w:tab w:val="left" w:pos="1418"/>
                <w:tab w:val="left" w:pos="4253"/>
                <w:tab w:val="left" w:pos="6521"/>
              </w:tabs>
              <w:ind w:right="-1"/>
              <w:rPr>
                <w:rFonts w:ascii="Arial" w:hAnsi="Arial" w:cs="Arial"/>
                <w:color w:val="1074CB"/>
                <w:sz w:val="18"/>
              </w:rPr>
            </w:pPr>
            <w:r w:rsidRPr="004A6461">
              <w:rPr>
                <w:rFonts w:ascii="Arial" w:hAnsi="Arial" w:cs="Arial"/>
                <w:color w:val="1074CB"/>
                <w:sz w:val="18"/>
              </w:rPr>
              <w:t>IMMEDIATE</w:t>
            </w:r>
          </w:p>
        </w:tc>
      </w:tr>
    </w:tbl>
    <w:p w:rsidR="00027C48" w:rsidRPr="002D7ED3" w:rsidRDefault="003D4598" w:rsidP="002D7ED3">
      <w:pPr>
        <w:pStyle w:val="Heading1"/>
        <w:ind w:left="0" w:firstLine="0"/>
        <w:rPr>
          <w:rFonts w:ascii="Arial" w:hAnsi="Arial" w:cs="Arial"/>
          <w:color w:val="1074CB"/>
          <w:sz w:val="28"/>
          <w:szCs w:val="28"/>
        </w:rPr>
      </w:pPr>
      <w:r>
        <w:rPr>
          <w:rFonts w:ascii="Arial" w:hAnsi="Arial" w:cs="Arial"/>
          <w:noProof/>
          <w:color w:val="1074CB"/>
          <w:sz w:val="28"/>
          <w:szCs w:val="28"/>
        </w:rPr>
        <w:pict>
          <v:line id="_x0000_s1027" style="position:absolute;z-index:251658240;mso-position-horizontal-relative:text;mso-position-vertical-relative:text" from="-.3pt,4pt" to="440.7pt,4pt" strokecolor="#1074cb"/>
        </w:pict>
      </w:r>
    </w:p>
    <w:tbl>
      <w:tblPr>
        <w:tblW w:w="9047" w:type="dxa"/>
        <w:tblLook w:val="04A0"/>
      </w:tblPr>
      <w:tblGrid>
        <w:gridCol w:w="1086"/>
        <w:gridCol w:w="795"/>
        <w:gridCol w:w="876"/>
        <w:gridCol w:w="1032"/>
        <w:gridCol w:w="1284"/>
        <w:gridCol w:w="795"/>
        <w:gridCol w:w="876"/>
        <w:gridCol w:w="884"/>
        <w:gridCol w:w="1419"/>
      </w:tblGrid>
      <w:tr w:rsidR="00ED393B" w:rsidRPr="00307829" w:rsidTr="00A23D4A">
        <w:trPr>
          <w:trHeight w:val="288"/>
        </w:trPr>
        <w:tc>
          <w:tcPr>
            <w:tcW w:w="0" w:type="auto"/>
            <w:shd w:val="clear" w:color="auto" w:fill="auto"/>
            <w:noWrap/>
            <w:hideMark/>
          </w:tcPr>
          <w:p w:rsidR="00ED393B" w:rsidRPr="00BE2914" w:rsidRDefault="00BE2914" w:rsidP="00886036">
            <w:pPr>
              <w:rPr>
                <w:rFonts w:ascii="Arial" w:hAnsi="Arial" w:cs="Arial"/>
                <w:b/>
                <w:bCs/>
                <w:color w:val="1074CB"/>
                <w:sz w:val="18"/>
                <w:szCs w:val="18"/>
              </w:rPr>
            </w:pPr>
            <w:r>
              <w:rPr>
                <w:rFonts w:ascii="Arial" w:hAnsi="Arial" w:cs="Arial"/>
                <w:b/>
                <w:bCs/>
                <w:color w:val="1074CB"/>
                <w:sz w:val="18"/>
                <w:szCs w:val="18"/>
              </w:rPr>
              <w:t>SMMT Ltd</w:t>
            </w:r>
          </w:p>
        </w:tc>
        <w:tc>
          <w:tcPr>
            <w:tcW w:w="0" w:type="auto"/>
            <w:gridSpan w:val="2"/>
            <w:shd w:val="clear" w:color="auto" w:fill="auto"/>
            <w:noWrap/>
            <w:hideMark/>
          </w:tcPr>
          <w:p w:rsidR="00ED393B" w:rsidRPr="00BE2914" w:rsidRDefault="003D4598" w:rsidP="00886036">
            <w:pPr>
              <w:jc w:val="center"/>
              <w:rPr>
                <w:rFonts w:ascii="Arial" w:hAnsi="Arial" w:cs="Arial"/>
                <w:b/>
                <w:bCs/>
                <w:color w:val="1074CB"/>
                <w:sz w:val="18"/>
                <w:szCs w:val="18"/>
              </w:rPr>
            </w:pPr>
            <w:r w:rsidRPr="003D4598">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5.4pt;margin-top:.9pt;width:0;height:2in;z-index:251663360;mso-position-horizontal-relative:text;mso-position-vertical-relative:text" o:connectortype="straight" strokecolor="#1074cb"/>
              </w:pict>
            </w:r>
            <w:r w:rsidR="00ED393B" w:rsidRPr="00BE2914">
              <w:rPr>
                <w:rFonts w:ascii="Arial" w:hAnsi="Arial" w:cs="Arial"/>
                <w:b/>
                <w:bCs/>
                <w:color w:val="1074CB"/>
                <w:sz w:val="18"/>
                <w:szCs w:val="18"/>
              </w:rPr>
              <w:t>Cars</w:t>
            </w:r>
          </w:p>
        </w:tc>
        <w:tc>
          <w:tcPr>
            <w:tcW w:w="2316" w:type="dxa"/>
            <w:gridSpan w:val="2"/>
            <w:shd w:val="clear" w:color="auto" w:fill="auto"/>
            <w:noWrap/>
            <w:hideMark/>
          </w:tcPr>
          <w:p w:rsidR="00ED393B" w:rsidRPr="00BE2914" w:rsidRDefault="003D4598" w:rsidP="00886036">
            <w:pPr>
              <w:jc w:val="center"/>
              <w:rPr>
                <w:rFonts w:ascii="Arial" w:hAnsi="Arial" w:cs="Arial"/>
                <w:b/>
                <w:bCs/>
                <w:color w:val="1074CB"/>
                <w:sz w:val="18"/>
                <w:szCs w:val="18"/>
              </w:rPr>
            </w:pPr>
            <w:r w:rsidRPr="003D4598">
              <w:rPr>
                <w:rFonts w:ascii="Arial" w:hAnsi="Arial" w:cs="Arial"/>
                <w:noProof/>
                <w:color w:val="1074CB"/>
                <w:sz w:val="18"/>
                <w:szCs w:val="18"/>
              </w:rPr>
              <w:pict>
                <v:shape id="_x0000_s1030" type="#_x0000_t32" style="position:absolute;left:0;text-align:left;margin-left:-5.4pt;margin-top:.05pt;width:0;height:2in;z-index:251662336;mso-position-horizontal-relative:text;mso-position-vertical-relative:text" o:connectortype="straight" strokecolor="#1074cb"/>
              </w:pict>
            </w:r>
            <w:r w:rsidR="00ED393B" w:rsidRPr="00BE2914">
              <w:rPr>
                <w:rFonts w:ascii="Arial" w:hAnsi="Arial" w:cs="Arial"/>
                <w:b/>
                <w:bCs/>
                <w:color w:val="1074CB"/>
                <w:sz w:val="18"/>
                <w:szCs w:val="18"/>
              </w:rPr>
              <w:t>Commercial Vehicles</w:t>
            </w:r>
          </w:p>
        </w:tc>
        <w:tc>
          <w:tcPr>
            <w:tcW w:w="0" w:type="auto"/>
            <w:gridSpan w:val="2"/>
            <w:shd w:val="clear" w:color="auto" w:fill="auto"/>
            <w:noWrap/>
            <w:hideMark/>
          </w:tcPr>
          <w:p w:rsidR="00ED393B" w:rsidRPr="00BE2914" w:rsidRDefault="003D4598" w:rsidP="00886036">
            <w:pPr>
              <w:jc w:val="center"/>
              <w:rPr>
                <w:rFonts w:ascii="Arial" w:hAnsi="Arial" w:cs="Arial"/>
                <w:b/>
                <w:bCs/>
                <w:color w:val="1074CB"/>
                <w:sz w:val="18"/>
                <w:szCs w:val="18"/>
              </w:rPr>
            </w:pPr>
            <w:r w:rsidRPr="003D4598">
              <w:rPr>
                <w:rFonts w:ascii="Arial" w:hAnsi="Arial" w:cs="Arial"/>
                <w:i/>
                <w:iCs/>
                <w:noProof/>
                <w:color w:val="1074CB"/>
                <w:sz w:val="18"/>
                <w:szCs w:val="18"/>
              </w:rPr>
              <w:pict>
                <v:shape id="_x0000_s1029" type="#_x0000_t32" style="position:absolute;left:0;text-align:left;margin-left:-5.4pt;margin-top:-1pt;width:0;height:2in;z-index:251661312;mso-position-horizontal-relative:text;mso-position-vertical-relative:text" o:connectortype="straight" strokecolor="#1074cb"/>
              </w:pict>
            </w:r>
            <w:r w:rsidR="00ED393B" w:rsidRPr="00BE2914">
              <w:rPr>
                <w:rFonts w:ascii="Arial" w:hAnsi="Arial" w:cs="Arial"/>
                <w:b/>
                <w:bCs/>
                <w:color w:val="1074CB"/>
                <w:sz w:val="18"/>
                <w:szCs w:val="18"/>
              </w:rPr>
              <w:t>Total Vehicles</w:t>
            </w:r>
          </w:p>
        </w:tc>
        <w:tc>
          <w:tcPr>
            <w:tcW w:w="2294" w:type="dxa"/>
            <w:gridSpan w:val="2"/>
            <w:shd w:val="clear" w:color="auto" w:fill="auto"/>
          </w:tcPr>
          <w:p w:rsidR="00ED393B" w:rsidRPr="00BE2914" w:rsidRDefault="003D4598" w:rsidP="00BE2914">
            <w:pPr>
              <w:jc w:val="center"/>
              <w:rPr>
                <w:rFonts w:ascii="Arial" w:hAnsi="Arial" w:cs="Arial"/>
                <w:b/>
                <w:bCs/>
                <w:color w:val="1074CB"/>
                <w:sz w:val="18"/>
                <w:szCs w:val="18"/>
              </w:rPr>
            </w:pPr>
            <w:r w:rsidRPr="003D4598">
              <w:rPr>
                <w:rFonts w:ascii="Arial" w:hAnsi="Arial" w:cs="Arial"/>
                <w:noProof/>
                <w:color w:val="1074CB"/>
                <w:sz w:val="18"/>
                <w:szCs w:val="18"/>
              </w:rPr>
              <w:pict>
                <v:shape id="_x0000_s1028" type="#_x0000_t32" style="position:absolute;left:0;text-align:left;margin-left:-4.8pt;margin-top:-2.65pt;width:0;height:2in;z-index:251660288;mso-position-horizontal-relative:text;mso-position-vertical-relative:text" o:connectortype="straight" strokecolor="#1074cb"/>
              </w:pict>
            </w:r>
            <w:r w:rsidR="00ED393B" w:rsidRPr="00BE2914">
              <w:rPr>
                <w:rFonts w:ascii="Arial" w:hAnsi="Arial" w:cs="Arial"/>
                <w:b/>
                <w:bCs/>
                <w:color w:val="1074CB"/>
                <w:sz w:val="18"/>
                <w:szCs w:val="18"/>
              </w:rPr>
              <w:t>Total Engines</w:t>
            </w:r>
          </w:p>
        </w:tc>
      </w:tr>
      <w:tr w:rsidR="00A23D4A" w:rsidRPr="00307829" w:rsidTr="00A23D4A">
        <w:trPr>
          <w:trHeight w:val="288"/>
        </w:trPr>
        <w:tc>
          <w:tcPr>
            <w:tcW w:w="0" w:type="auto"/>
            <w:shd w:val="clear" w:color="auto" w:fill="auto"/>
            <w:noWrap/>
            <w:hideMark/>
          </w:tcPr>
          <w:p w:rsidR="00A23D4A" w:rsidRPr="00BE2914" w:rsidRDefault="00A23D4A" w:rsidP="00BE2914">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Apr-11</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YTD-11</w:t>
            </w:r>
          </w:p>
        </w:tc>
        <w:tc>
          <w:tcPr>
            <w:tcW w:w="1032"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Apr-11</w:t>
            </w:r>
          </w:p>
        </w:tc>
        <w:tc>
          <w:tcPr>
            <w:tcW w:w="1284"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Apr-11</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Apr-11</w:t>
            </w:r>
          </w:p>
        </w:tc>
        <w:tc>
          <w:tcPr>
            <w:tcW w:w="1405" w:type="dxa"/>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YTD-11</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86,306</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443,536</w:t>
            </w:r>
          </w:p>
        </w:tc>
        <w:tc>
          <w:tcPr>
            <w:tcW w:w="1032"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8,633</w:t>
            </w:r>
          </w:p>
        </w:tc>
        <w:tc>
          <w:tcPr>
            <w:tcW w:w="1284"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40,790</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94,939</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484,326</w:t>
            </w:r>
          </w:p>
        </w:tc>
        <w:tc>
          <w:tcPr>
            <w:tcW w:w="0" w:type="auto"/>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190,131</w:t>
            </w:r>
          </w:p>
        </w:tc>
        <w:tc>
          <w:tcPr>
            <w:tcW w:w="1405" w:type="dxa"/>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875,362</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-12.2%</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7.0%</w:t>
            </w:r>
          </w:p>
        </w:tc>
        <w:tc>
          <w:tcPr>
            <w:tcW w:w="1032" w:type="dxa"/>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-19.9%</w:t>
            </w:r>
          </w:p>
        </w:tc>
        <w:tc>
          <w:tcPr>
            <w:tcW w:w="1284" w:type="dxa"/>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-5.6%</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-13.0%</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5.8%</w:t>
            </w:r>
          </w:p>
        </w:tc>
        <w:tc>
          <w:tcPr>
            <w:tcW w:w="0" w:type="auto"/>
            <w:shd w:val="clear" w:color="auto" w:fill="auto"/>
            <w:vAlign w:val="bottom"/>
          </w:tcPr>
          <w:p w:rsidR="00A23D4A" w:rsidRDefault="00A23D4A">
            <w:pPr>
              <w:jc w:val="center"/>
              <w:rPr>
                <w:rFonts w:ascii="Arial" w:hAnsi="Arial" w:cs="Arial"/>
                <w:color w:val="0070C0"/>
                <w:sz w:val="18"/>
                <w:szCs w:val="18"/>
              </w:rPr>
            </w:pPr>
            <w:r>
              <w:rPr>
                <w:rFonts w:ascii="Arial" w:hAnsi="Arial" w:cs="Arial"/>
                <w:color w:val="0070C0"/>
                <w:sz w:val="18"/>
                <w:szCs w:val="18"/>
              </w:rPr>
              <w:t>-4.7%</w:t>
            </w:r>
          </w:p>
        </w:tc>
        <w:tc>
          <w:tcPr>
            <w:tcW w:w="1405" w:type="dxa"/>
            <w:shd w:val="clear" w:color="auto" w:fill="auto"/>
            <w:vAlign w:val="bottom"/>
          </w:tcPr>
          <w:p w:rsidR="00A23D4A" w:rsidRDefault="00A23D4A">
            <w:pPr>
              <w:jc w:val="center"/>
              <w:rPr>
                <w:rFonts w:ascii="Arial" w:hAnsi="Arial" w:cs="Arial"/>
                <w:color w:val="0070C0"/>
                <w:sz w:val="18"/>
                <w:szCs w:val="18"/>
              </w:rPr>
            </w:pPr>
            <w:r>
              <w:rPr>
                <w:rFonts w:ascii="Arial" w:hAnsi="Arial" w:cs="Arial"/>
                <w:color w:val="0070C0"/>
                <w:sz w:val="18"/>
                <w:szCs w:val="18"/>
              </w:rPr>
              <w:t>6.0%</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73,628</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370,502</w:t>
            </w:r>
          </w:p>
        </w:tc>
        <w:tc>
          <w:tcPr>
            <w:tcW w:w="1032"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5,366</w:t>
            </w:r>
          </w:p>
        </w:tc>
        <w:tc>
          <w:tcPr>
            <w:tcW w:w="1284"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25,456</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78,994</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395,958</w:t>
            </w:r>
          </w:p>
        </w:tc>
        <w:tc>
          <w:tcPr>
            <w:tcW w:w="0" w:type="auto"/>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151,225</w:t>
            </w:r>
          </w:p>
        </w:tc>
        <w:tc>
          <w:tcPr>
            <w:tcW w:w="1405" w:type="dxa"/>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636,726</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1.7%</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23.0%</w:t>
            </w:r>
          </w:p>
        </w:tc>
        <w:tc>
          <w:tcPr>
            <w:tcW w:w="1032" w:type="dxa"/>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-22.0%</w:t>
            </w:r>
          </w:p>
        </w:tc>
        <w:tc>
          <w:tcPr>
            <w:tcW w:w="1284" w:type="dxa"/>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-16.1%</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-0.4%</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19.4%</w:t>
            </w:r>
          </w:p>
        </w:tc>
        <w:tc>
          <w:tcPr>
            <w:tcW w:w="0" w:type="auto"/>
            <w:shd w:val="clear" w:color="auto" w:fill="auto"/>
            <w:vAlign w:val="bottom"/>
          </w:tcPr>
          <w:p w:rsidR="00A23D4A" w:rsidRDefault="00A23D4A">
            <w:pPr>
              <w:jc w:val="center"/>
              <w:rPr>
                <w:rFonts w:ascii="Arial" w:hAnsi="Arial" w:cs="Arial"/>
                <w:color w:val="0070C0"/>
                <w:sz w:val="18"/>
                <w:szCs w:val="18"/>
              </w:rPr>
            </w:pPr>
            <w:r>
              <w:rPr>
                <w:rFonts w:ascii="Arial" w:hAnsi="Arial" w:cs="Arial"/>
                <w:color w:val="0070C0"/>
                <w:sz w:val="18"/>
                <w:szCs w:val="18"/>
              </w:rPr>
              <w:t>2.4%</w:t>
            </w:r>
          </w:p>
        </w:tc>
        <w:tc>
          <w:tcPr>
            <w:tcW w:w="1405" w:type="dxa"/>
            <w:shd w:val="clear" w:color="auto" w:fill="auto"/>
            <w:vAlign w:val="bottom"/>
          </w:tcPr>
          <w:p w:rsidR="00A23D4A" w:rsidRDefault="00A23D4A">
            <w:pPr>
              <w:jc w:val="center"/>
              <w:rPr>
                <w:rFonts w:ascii="Arial" w:hAnsi="Arial" w:cs="Arial"/>
                <w:color w:val="0070C0"/>
                <w:sz w:val="18"/>
                <w:szCs w:val="18"/>
              </w:rPr>
            </w:pPr>
            <w:r>
              <w:rPr>
                <w:rFonts w:ascii="Arial" w:hAnsi="Arial" w:cs="Arial"/>
                <w:color w:val="0070C0"/>
                <w:sz w:val="18"/>
                <w:szCs w:val="18"/>
              </w:rPr>
              <w:t>4.5%</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85.3%</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83.5%</w:t>
            </w:r>
          </w:p>
        </w:tc>
        <w:tc>
          <w:tcPr>
            <w:tcW w:w="1032" w:type="dxa"/>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62.2%</w:t>
            </w:r>
          </w:p>
        </w:tc>
        <w:tc>
          <w:tcPr>
            <w:tcW w:w="1284" w:type="dxa"/>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62.4%</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83.2%</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81.8%</w:t>
            </w:r>
          </w:p>
        </w:tc>
        <w:tc>
          <w:tcPr>
            <w:tcW w:w="0" w:type="auto"/>
            <w:shd w:val="clear" w:color="auto" w:fill="auto"/>
            <w:vAlign w:val="bottom"/>
          </w:tcPr>
          <w:p w:rsidR="00A23D4A" w:rsidRDefault="00A23D4A">
            <w:pPr>
              <w:jc w:val="center"/>
              <w:rPr>
                <w:rFonts w:ascii="Arial" w:hAnsi="Arial" w:cs="Arial"/>
                <w:i/>
                <w:iCs/>
                <w:color w:val="0070C0"/>
                <w:sz w:val="18"/>
                <w:szCs w:val="18"/>
              </w:rPr>
            </w:pPr>
            <w:r>
              <w:rPr>
                <w:rFonts w:ascii="Arial" w:hAnsi="Arial" w:cs="Arial"/>
                <w:i/>
                <w:iCs/>
                <w:color w:val="0070C0"/>
                <w:sz w:val="18"/>
                <w:szCs w:val="18"/>
              </w:rPr>
              <w:t>79.5%</w:t>
            </w:r>
          </w:p>
        </w:tc>
        <w:tc>
          <w:tcPr>
            <w:tcW w:w="1405" w:type="dxa"/>
            <w:shd w:val="clear" w:color="auto" w:fill="auto"/>
            <w:vAlign w:val="bottom"/>
          </w:tcPr>
          <w:p w:rsidR="00A23D4A" w:rsidRDefault="00A23D4A">
            <w:pPr>
              <w:jc w:val="center"/>
              <w:rPr>
                <w:rFonts w:ascii="Arial" w:hAnsi="Arial" w:cs="Arial"/>
                <w:i/>
                <w:iCs/>
                <w:color w:val="0070C0"/>
                <w:sz w:val="18"/>
                <w:szCs w:val="18"/>
              </w:rPr>
            </w:pPr>
            <w:r>
              <w:rPr>
                <w:rFonts w:ascii="Arial" w:hAnsi="Arial" w:cs="Arial"/>
                <w:i/>
                <w:iCs/>
                <w:color w:val="0070C0"/>
                <w:sz w:val="18"/>
                <w:szCs w:val="18"/>
              </w:rPr>
              <w:t>72.7%</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12,678</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73,034</w:t>
            </w:r>
          </w:p>
        </w:tc>
        <w:tc>
          <w:tcPr>
            <w:tcW w:w="1032"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3,267</w:t>
            </w:r>
          </w:p>
        </w:tc>
        <w:tc>
          <w:tcPr>
            <w:tcW w:w="1284" w:type="dxa"/>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15,334</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15,945</w:t>
            </w:r>
          </w:p>
        </w:tc>
        <w:tc>
          <w:tcPr>
            <w:tcW w:w="0" w:type="auto"/>
            <w:shd w:val="clear" w:color="auto" w:fill="auto"/>
            <w:noWrap/>
            <w:vAlign w:val="bottom"/>
            <w:hideMark/>
          </w:tcPr>
          <w:p w:rsidR="00A23D4A" w:rsidRDefault="00A23D4A">
            <w:pPr>
              <w:jc w:val="center"/>
              <w:rPr>
                <w:rFonts w:ascii="Arial" w:hAnsi="Arial" w:cs="Arial"/>
                <w:b/>
                <w:bCs/>
                <w:color w:val="0070C0"/>
                <w:sz w:val="18"/>
                <w:szCs w:val="18"/>
              </w:rPr>
            </w:pPr>
            <w:r>
              <w:rPr>
                <w:rFonts w:ascii="Arial" w:hAnsi="Arial" w:cs="Arial"/>
                <w:b/>
                <w:bCs/>
                <w:color w:val="0070C0"/>
                <w:sz w:val="18"/>
                <w:szCs w:val="18"/>
              </w:rPr>
              <w:t>88,368</w:t>
            </w:r>
          </w:p>
        </w:tc>
        <w:tc>
          <w:tcPr>
            <w:tcW w:w="0" w:type="auto"/>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38,906</w:t>
            </w:r>
          </w:p>
        </w:tc>
        <w:tc>
          <w:tcPr>
            <w:tcW w:w="1405" w:type="dxa"/>
            <w:shd w:val="clear" w:color="auto" w:fill="auto"/>
            <w:vAlign w:val="bottom"/>
          </w:tcPr>
          <w:p w:rsidR="00A23D4A" w:rsidRDefault="00A23D4A">
            <w:pPr>
              <w:jc w:val="center"/>
              <w:rPr>
                <w:rFonts w:ascii="Arial" w:hAnsi="Arial" w:cs="Arial"/>
                <w:b/>
                <w:bCs/>
                <w:color w:val="0070C0"/>
                <w:sz w:val="18"/>
                <w:szCs w:val="18"/>
              </w:rPr>
            </w:pPr>
            <w:r>
              <w:rPr>
                <w:rFonts w:ascii="Arial" w:hAnsi="Arial" w:cs="Arial"/>
                <w:b/>
                <w:bCs/>
                <w:color w:val="0070C0"/>
                <w:sz w:val="18"/>
                <w:szCs w:val="18"/>
              </w:rPr>
              <w:t>238,636</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-51.0%</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-35.4%</w:t>
            </w:r>
          </w:p>
        </w:tc>
        <w:tc>
          <w:tcPr>
            <w:tcW w:w="1032" w:type="dxa"/>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-16.1%</w:t>
            </w:r>
          </w:p>
        </w:tc>
        <w:tc>
          <w:tcPr>
            <w:tcW w:w="1284" w:type="dxa"/>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19.1%</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-46.4%</w:t>
            </w:r>
          </w:p>
        </w:tc>
        <w:tc>
          <w:tcPr>
            <w:tcW w:w="0" w:type="auto"/>
            <w:shd w:val="clear" w:color="auto" w:fill="auto"/>
            <w:noWrap/>
            <w:vAlign w:val="bottom"/>
            <w:hideMark/>
          </w:tcPr>
          <w:p w:rsidR="00A23D4A" w:rsidRDefault="00A23D4A">
            <w:pPr>
              <w:jc w:val="center"/>
              <w:rPr>
                <w:rFonts w:ascii="Arial" w:hAnsi="Arial" w:cs="Arial"/>
                <w:color w:val="0070C0"/>
                <w:sz w:val="18"/>
                <w:szCs w:val="18"/>
              </w:rPr>
            </w:pPr>
            <w:r>
              <w:rPr>
                <w:rFonts w:ascii="Arial" w:hAnsi="Arial" w:cs="Arial"/>
                <w:color w:val="0070C0"/>
                <w:sz w:val="18"/>
                <w:szCs w:val="18"/>
              </w:rPr>
              <w:t>-29.8%</w:t>
            </w:r>
          </w:p>
        </w:tc>
        <w:tc>
          <w:tcPr>
            <w:tcW w:w="0" w:type="auto"/>
            <w:shd w:val="clear" w:color="auto" w:fill="auto"/>
            <w:vAlign w:val="bottom"/>
          </w:tcPr>
          <w:p w:rsidR="00A23D4A" w:rsidRDefault="00A23D4A">
            <w:pPr>
              <w:jc w:val="center"/>
              <w:rPr>
                <w:rFonts w:ascii="Arial" w:hAnsi="Arial" w:cs="Arial"/>
                <w:color w:val="0070C0"/>
                <w:sz w:val="18"/>
                <w:szCs w:val="18"/>
              </w:rPr>
            </w:pPr>
            <w:r>
              <w:rPr>
                <w:rFonts w:ascii="Arial" w:hAnsi="Arial" w:cs="Arial"/>
                <w:color w:val="0070C0"/>
                <w:sz w:val="18"/>
                <w:szCs w:val="18"/>
              </w:rPr>
              <w:t>-25.0%</w:t>
            </w:r>
          </w:p>
        </w:tc>
        <w:tc>
          <w:tcPr>
            <w:tcW w:w="1405" w:type="dxa"/>
            <w:shd w:val="clear" w:color="auto" w:fill="auto"/>
            <w:vAlign w:val="bottom"/>
          </w:tcPr>
          <w:p w:rsidR="00A23D4A" w:rsidRDefault="00A23D4A">
            <w:pPr>
              <w:jc w:val="center"/>
              <w:rPr>
                <w:rFonts w:ascii="Arial" w:hAnsi="Arial" w:cs="Arial"/>
                <w:color w:val="0070C0"/>
                <w:sz w:val="18"/>
                <w:szCs w:val="18"/>
              </w:rPr>
            </w:pPr>
            <w:r>
              <w:rPr>
                <w:rFonts w:ascii="Arial" w:hAnsi="Arial" w:cs="Arial"/>
                <w:color w:val="0070C0"/>
                <w:sz w:val="18"/>
                <w:szCs w:val="18"/>
              </w:rPr>
              <w:t>10.0%</w:t>
            </w:r>
          </w:p>
        </w:tc>
      </w:tr>
      <w:tr w:rsidR="00A23D4A" w:rsidRPr="00307829" w:rsidTr="00A23D4A">
        <w:trPr>
          <w:trHeight w:val="288"/>
        </w:trPr>
        <w:tc>
          <w:tcPr>
            <w:tcW w:w="0" w:type="auto"/>
            <w:shd w:val="clear" w:color="auto" w:fill="auto"/>
            <w:noWrap/>
            <w:vAlign w:val="center"/>
            <w:hideMark/>
          </w:tcPr>
          <w:p w:rsidR="00A23D4A" w:rsidRPr="00BE2914" w:rsidRDefault="00A23D4A" w:rsidP="00BE2914">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14.7%</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16.5%</w:t>
            </w:r>
          </w:p>
        </w:tc>
        <w:tc>
          <w:tcPr>
            <w:tcW w:w="1032" w:type="dxa"/>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37.8%</w:t>
            </w:r>
          </w:p>
        </w:tc>
        <w:tc>
          <w:tcPr>
            <w:tcW w:w="1284" w:type="dxa"/>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37.6%</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16.8%</w:t>
            </w:r>
          </w:p>
        </w:tc>
        <w:tc>
          <w:tcPr>
            <w:tcW w:w="0" w:type="auto"/>
            <w:shd w:val="clear" w:color="auto" w:fill="auto"/>
            <w:noWrap/>
            <w:vAlign w:val="bottom"/>
            <w:hideMark/>
          </w:tcPr>
          <w:p w:rsidR="00A23D4A" w:rsidRDefault="00A23D4A">
            <w:pPr>
              <w:jc w:val="center"/>
              <w:rPr>
                <w:rFonts w:ascii="Arial" w:hAnsi="Arial" w:cs="Arial"/>
                <w:i/>
                <w:iCs/>
                <w:color w:val="0070C0"/>
                <w:sz w:val="18"/>
                <w:szCs w:val="18"/>
              </w:rPr>
            </w:pPr>
            <w:r>
              <w:rPr>
                <w:rFonts w:ascii="Arial" w:hAnsi="Arial" w:cs="Arial"/>
                <w:i/>
                <w:iCs/>
                <w:color w:val="0070C0"/>
                <w:sz w:val="18"/>
                <w:szCs w:val="18"/>
              </w:rPr>
              <w:t>18.2%</w:t>
            </w:r>
          </w:p>
        </w:tc>
        <w:tc>
          <w:tcPr>
            <w:tcW w:w="0" w:type="auto"/>
            <w:shd w:val="clear" w:color="auto" w:fill="auto"/>
            <w:vAlign w:val="bottom"/>
          </w:tcPr>
          <w:p w:rsidR="00A23D4A" w:rsidRDefault="00A23D4A">
            <w:pPr>
              <w:jc w:val="center"/>
              <w:rPr>
                <w:rFonts w:ascii="Arial" w:hAnsi="Arial" w:cs="Arial"/>
                <w:i/>
                <w:iCs/>
                <w:color w:val="0070C0"/>
                <w:sz w:val="18"/>
                <w:szCs w:val="18"/>
              </w:rPr>
            </w:pPr>
            <w:r>
              <w:rPr>
                <w:rFonts w:ascii="Arial" w:hAnsi="Arial" w:cs="Arial"/>
                <w:i/>
                <w:iCs/>
                <w:color w:val="0070C0"/>
                <w:sz w:val="18"/>
                <w:szCs w:val="18"/>
              </w:rPr>
              <w:t>20.5%</w:t>
            </w:r>
          </w:p>
        </w:tc>
        <w:tc>
          <w:tcPr>
            <w:tcW w:w="1405" w:type="dxa"/>
            <w:shd w:val="clear" w:color="auto" w:fill="auto"/>
            <w:vAlign w:val="bottom"/>
          </w:tcPr>
          <w:p w:rsidR="00A23D4A" w:rsidRDefault="00A23D4A">
            <w:pPr>
              <w:jc w:val="center"/>
              <w:rPr>
                <w:rFonts w:ascii="Arial" w:hAnsi="Arial" w:cs="Arial"/>
                <w:i/>
                <w:iCs/>
                <w:color w:val="0070C0"/>
                <w:sz w:val="18"/>
                <w:szCs w:val="18"/>
              </w:rPr>
            </w:pPr>
            <w:r>
              <w:rPr>
                <w:rFonts w:ascii="Arial" w:hAnsi="Arial" w:cs="Arial"/>
                <w:i/>
                <w:iCs/>
                <w:color w:val="0070C0"/>
                <w:sz w:val="18"/>
                <w:szCs w:val="18"/>
              </w:rPr>
              <w:t>27.3%</w:t>
            </w:r>
          </w:p>
        </w:tc>
      </w:tr>
    </w:tbl>
    <w:p w:rsidR="003517A2" w:rsidRDefault="003517A2" w:rsidP="00506954">
      <w:pPr>
        <w:spacing w:line="120" w:lineRule="auto"/>
        <w:ind w:left="357"/>
        <w:rPr>
          <w:rFonts w:ascii="Verdana" w:hAnsi="Verdana"/>
          <w:sz w:val="20"/>
        </w:rPr>
      </w:pPr>
    </w:p>
    <w:p w:rsidR="00CB5253" w:rsidRPr="00CB5253" w:rsidRDefault="00CB5253" w:rsidP="00CB5253">
      <w:pPr>
        <w:numPr>
          <w:ilvl w:val="0"/>
          <w:numId w:val="10"/>
        </w:numPr>
        <w:spacing w:line="288" w:lineRule="auto"/>
        <w:rPr>
          <w:rFonts w:ascii="Arial" w:hAnsi="Arial" w:cs="Arial"/>
          <w:sz w:val="20"/>
        </w:rPr>
      </w:pPr>
      <w:r w:rsidRPr="00CB5253">
        <w:rPr>
          <w:rFonts w:ascii="Arial" w:hAnsi="Arial" w:cs="Arial"/>
          <w:sz w:val="20"/>
        </w:rPr>
        <w:t xml:space="preserve">Car output </w:t>
      </w:r>
      <w:r w:rsidR="00695DD4">
        <w:rPr>
          <w:rFonts w:ascii="Arial" w:hAnsi="Arial" w:cs="Arial"/>
          <w:sz w:val="20"/>
        </w:rPr>
        <w:t>was up 7.0% over the first four months of 2011, but fell by 12.2% in April</w:t>
      </w:r>
      <w:r w:rsidR="00027809">
        <w:rPr>
          <w:rFonts w:ascii="Arial" w:hAnsi="Arial" w:cs="Arial"/>
          <w:sz w:val="20"/>
        </w:rPr>
        <w:t>.</w:t>
      </w:r>
      <w:r w:rsidRPr="00CB5253">
        <w:rPr>
          <w:rFonts w:ascii="Arial" w:hAnsi="Arial" w:cs="Arial"/>
          <w:sz w:val="20"/>
        </w:rPr>
        <w:t xml:space="preserve">  </w:t>
      </w:r>
    </w:p>
    <w:p w:rsidR="00CB5253" w:rsidRPr="00CB5253" w:rsidRDefault="00C05E17" w:rsidP="00CB5253">
      <w:pPr>
        <w:numPr>
          <w:ilvl w:val="0"/>
          <w:numId w:val="10"/>
        </w:numPr>
        <w:spacing w:line="288" w:lineRule="auto"/>
        <w:rPr>
          <w:rFonts w:ascii="Arial" w:hAnsi="Arial" w:cs="Arial"/>
          <w:sz w:val="20"/>
        </w:rPr>
      </w:pPr>
      <w:r>
        <w:rPr>
          <w:rFonts w:ascii="Arial" w:hAnsi="Arial" w:cs="Arial"/>
          <w:sz w:val="20"/>
        </w:rPr>
        <w:t xml:space="preserve">CV output </w:t>
      </w:r>
      <w:r w:rsidR="004F2308">
        <w:rPr>
          <w:rFonts w:ascii="Arial" w:hAnsi="Arial" w:cs="Arial"/>
          <w:sz w:val="20"/>
        </w:rPr>
        <w:t xml:space="preserve">fell by </w:t>
      </w:r>
      <w:r w:rsidR="00695DD4">
        <w:rPr>
          <w:rFonts w:ascii="Arial" w:hAnsi="Arial" w:cs="Arial"/>
          <w:sz w:val="20"/>
        </w:rPr>
        <w:t>19.9</w:t>
      </w:r>
      <w:r w:rsidR="004F2308">
        <w:rPr>
          <w:rFonts w:ascii="Arial" w:hAnsi="Arial" w:cs="Arial"/>
          <w:sz w:val="20"/>
        </w:rPr>
        <w:t xml:space="preserve">% in </w:t>
      </w:r>
      <w:r w:rsidR="00695DD4">
        <w:rPr>
          <w:rFonts w:ascii="Arial" w:hAnsi="Arial" w:cs="Arial"/>
          <w:sz w:val="20"/>
        </w:rPr>
        <w:t>April</w:t>
      </w:r>
      <w:r w:rsidR="002E1576">
        <w:rPr>
          <w:rFonts w:ascii="Arial" w:hAnsi="Arial" w:cs="Arial"/>
          <w:sz w:val="20"/>
        </w:rPr>
        <w:t xml:space="preserve"> and was down </w:t>
      </w:r>
      <w:r w:rsidR="00695DD4">
        <w:rPr>
          <w:rFonts w:ascii="Arial" w:hAnsi="Arial" w:cs="Arial"/>
          <w:sz w:val="20"/>
        </w:rPr>
        <w:t>5.6</w:t>
      </w:r>
      <w:r w:rsidR="004F2308">
        <w:rPr>
          <w:rFonts w:ascii="Arial" w:hAnsi="Arial" w:cs="Arial"/>
          <w:sz w:val="20"/>
        </w:rPr>
        <w:t xml:space="preserve">% over the first </w:t>
      </w:r>
      <w:r w:rsidR="00695DD4">
        <w:rPr>
          <w:rFonts w:ascii="Arial" w:hAnsi="Arial" w:cs="Arial"/>
          <w:sz w:val="20"/>
        </w:rPr>
        <w:t>four</w:t>
      </w:r>
      <w:r w:rsidR="002E1576">
        <w:rPr>
          <w:rFonts w:ascii="Arial" w:hAnsi="Arial" w:cs="Arial"/>
          <w:sz w:val="20"/>
        </w:rPr>
        <w:t xml:space="preserve"> </w:t>
      </w:r>
      <w:r w:rsidR="004F2308">
        <w:rPr>
          <w:rFonts w:ascii="Arial" w:hAnsi="Arial" w:cs="Arial"/>
          <w:sz w:val="20"/>
        </w:rPr>
        <w:t xml:space="preserve">months of </w:t>
      </w:r>
      <w:r w:rsidR="002E1576">
        <w:rPr>
          <w:rFonts w:ascii="Arial" w:hAnsi="Arial" w:cs="Arial"/>
          <w:sz w:val="20"/>
        </w:rPr>
        <w:t>the year</w:t>
      </w:r>
      <w:r w:rsidR="00CB5253" w:rsidRPr="00CB5253">
        <w:rPr>
          <w:rFonts w:ascii="Arial" w:hAnsi="Arial" w:cs="Arial"/>
          <w:sz w:val="20"/>
        </w:rPr>
        <w:t>.</w:t>
      </w:r>
    </w:p>
    <w:p w:rsidR="00CB5253" w:rsidRPr="00090CA0" w:rsidRDefault="00CB5253" w:rsidP="00090CA0">
      <w:pPr>
        <w:numPr>
          <w:ilvl w:val="0"/>
          <w:numId w:val="10"/>
        </w:numPr>
        <w:rPr>
          <w:rFonts w:ascii="Arial" w:hAnsi="Arial" w:cs="Arial"/>
          <w:sz w:val="20"/>
        </w:rPr>
      </w:pPr>
      <w:r w:rsidRPr="00090CA0">
        <w:rPr>
          <w:rFonts w:ascii="Arial" w:hAnsi="Arial" w:cs="Arial"/>
          <w:sz w:val="20"/>
        </w:rPr>
        <w:t>UK</w:t>
      </w:r>
      <w:r w:rsidR="00C05E17" w:rsidRPr="00090CA0">
        <w:rPr>
          <w:rFonts w:ascii="Arial" w:hAnsi="Arial" w:cs="Arial"/>
          <w:sz w:val="20"/>
        </w:rPr>
        <w:t xml:space="preserve"> engine </w:t>
      </w:r>
      <w:r w:rsidR="00366EEE" w:rsidRPr="00090CA0">
        <w:rPr>
          <w:rFonts w:ascii="Arial" w:hAnsi="Arial" w:cs="Arial"/>
          <w:sz w:val="20"/>
        </w:rPr>
        <w:t xml:space="preserve">production </w:t>
      </w:r>
      <w:r w:rsidR="00695DD4">
        <w:rPr>
          <w:rFonts w:ascii="Arial" w:hAnsi="Arial" w:cs="Arial"/>
          <w:sz w:val="20"/>
        </w:rPr>
        <w:t>fell by 4.7</w:t>
      </w:r>
      <w:r w:rsidR="00366EEE" w:rsidRPr="00090CA0">
        <w:rPr>
          <w:rFonts w:ascii="Arial" w:hAnsi="Arial" w:cs="Arial"/>
          <w:sz w:val="20"/>
        </w:rPr>
        <w:t xml:space="preserve">% in </w:t>
      </w:r>
      <w:r w:rsidR="00695DD4">
        <w:rPr>
          <w:rFonts w:ascii="Arial" w:hAnsi="Arial" w:cs="Arial"/>
          <w:sz w:val="20"/>
        </w:rPr>
        <w:t>April, but remained up 6.0% over the first four months</w:t>
      </w:r>
      <w:r w:rsidRPr="00090CA0">
        <w:rPr>
          <w:rFonts w:ascii="Arial" w:hAnsi="Arial" w:cs="Arial"/>
          <w:sz w:val="20"/>
        </w:rPr>
        <w:t>.</w:t>
      </w:r>
    </w:p>
    <w:p w:rsidR="00090CA0" w:rsidRPr="00090CA0" w:rsidRDefault="00090CA0" w:rsidP="00090CA0">
      <w:pPr>
        <w:rPr>
          <w:rFonts w:ascii="Arial" w:hAnsi="Arial" w:cs="Arial"/>
          <w:sz w:val="20"/>
        </w:rPr>
      </w:pPr>
    </w:p>
    <w:p w:rsidR="00005D31" w:rsidRDefault="00D2461C" w:rsidP="00005D31">
      <w:pPr>
        <w:spacing w:line="276" w:lineRule="auto"/>
        <w:rPr>
          <w:rFonts w:ascii="Arial" w:hAnsi="Arial" w:cs="Arial"/>
          <w:sz w:val="20"/>
        </w:rPr>
      </w:pPr>
      <w:r w:rsidRPr="009334DB">
        <w:rPr>
          <w:rFonts w:ascii="Arial" w:hAnsi="Arial" w:cs="Arial"/>
          <w:sz w:val="20"/>
        </w:rPr>
        <w:t>“</w:t>
      </w:r>
      <w:r w:rsidR="00092A9D" w:rsidRPr="00092A9D">
        <w:rPr>
          <w:rFonts w:ascii="Arial" w:hAnsi="Arial" w:cs="Arial"/>
          <w:sz w:val="20"/>
        </w:rPr>
        <w:t>April’s vehicle and engine production figures reflect the global production challenges resulting from the Japanese earthquake. Output was down across the car, commercial vehicle and engine sectors as parts shortages interrupted regular manufacturing schedules,” said Paul Everitt, SMMT Chief Executive. “All manufacturers are working hard to overcome supply shortages and we expect any downturn to be short</w:t>
      </w:r>
      <w:r w:rsidR="000A546C">
        <w:rPr>
          <w:rFonts w:ascii="Arial" w:hAnsi="Arial" w:cs="Arial"/>
          <w:sz w:val="20"/>
        </w:rPr>
        <w:t xml:space="preserve"> </w:t>
      </w:r>
      <w:r w:rsidR="00092A9D" w:rsidRPr="00092A9D">
        <w:rPr>
          <w:rFonts w:ascii="Arial" w:hAnsi="Arial" w:cs="Arial"/>
          <w:sz w:val="20"/>
        </w:rPr>
        <w:t>lived. The outlook for the UK motor industry is</w:t>
      </w:r>
      <w:r w:rsidR="0075051B">
        <w:rPr>
          <w:rFonts w:ascii="Arial" w:hAnsi="Arial" w:cs="Arial"/>
          <w:sz w:val="20"/>
        </w:rPr>
        <w:t xml:space="preserve"> extremely good and this should </w:t>
      </w:r>
      <w:r w:rsidR="00092A9D" w:rsidRPr="00092A9D">
        <w:rPr>
          <w:rFonts w:ascii="Arial" w:hAnsi="Arial" w:cs="Arial"/>
          <w:sz w:val="20"/>
        </w:rPr>
        <w:t>generate new opportunities for vehicle manufacturers and suppliers.”</w:t>
      </w:r>
      <w:r w:rsidR="00005D31">
        <w:rPr>
          <w:rFonts w:ascii="Arial" w:hAnsi="Arial" w:cs="Arial"/>
          <w:sz w:val="20"/>
        </w:rPr>
        <w:t xml:space="preserve"> </w:t>
      </w:r>
    </w:p>
    <w:p w:rsidR="00EC6E09" w:rsidRDefault="00EC6E09" w:rsidP="00A50B89">
      <w:pPr>
        <w:spacing w:line="276" w:lineRule="auto"/>
        <w:rPr>
          <w:rFonts w:ascii="Arial" w:hAnsi="Arial" w:cs="Arial"/>
          <w:sz w:val="20"/>
        </w:rPr>
        <w:sectPr w:rsidR="00EC6E09" w:rsidSect="007F5CAD">
          <w:headerReference w:type="default" r:id="rId8"/>
          <w:footerReference w:type="default" r:id="rId9"/>
          <w:pgSz w:w="11906" w:h="16838"/>
          <w:pgMar w:top="828" w:right="170" w:bottom="1134" w:left="1418" w:header="170" w:footer="227" w:gutter="0"/>
          <w:cols w:space="720" w:equalWidth="0">
            <w:col w:w="8802"/>
          </w:cols>
          <w:docGrid w:linePitch="360"/>
        </w:sectPr>
      </w:pPr>
    </w:p>
    <w:p w:rsidR="009C6850" w:rsidRDefault="009C6850" w:rsidP="00EC6E09">
      <w:pPr>
        <w:spacing w:line="288" w:lineRule="auto"/>
        <w:rPr>
          <w:rFonts w:ascii="Arial" w:hAnsi="Arial" w:cs="Arial"/>
          <w:b/>
          <w:color w:val="0D2255"/>
          <w:sz w:val="20"/>
        </w:rPr>
      </w:pPr>
    </w:p>
    <w:p w:rsidR="00894317" w:rsidRDefault="00894317" w:rsidP="00EC6E09">
      <w:pPr>
        <w:spacing w:line="288" w:lineRule="auto"/>
        <w:rPr>
          <w:rFonts w:ascii="Arial" w:hAnsi="Arial" w:cs="Arial"/>
          <w:b/>
          <w:color w:val="0D2255"/>
          <w:sz w:val="20"/>
        </w:rPr>
        <w:sectPr w:rsidR="00894317" w:rsidSect="00EC6E09">
          <w:type w:val="continuous"/>
          <w:pgSz w:w="11906" w:h="16838"/>
          <w:pgMar w:top="830" w:right="282" w:bottom="1134" w:left="1416" w:header="170" w:footer="227" w:gutter="0"/>
          <w:cols w:num="2" w:space="720"/>
          <w:docGrid w:linePitch="360"/>
        </w:sectPr>
      </w:pPr>
    </w:p>
    <w:p w:rsidR="004B3772" w:rsidRDefault="00EC6E09" w:rsidP="004B3772">
      <w:pPr>
        <w:spacing w:line="288" w:lineRule="auto"/>
        <w:rPr>
          <w:rFonts w:ascii="Arial" w:hAnsi="Arial" w:cs="Arial"/>
          <w:b/>
          <w:color w:val="0D2255"/>
          <w:sz w:val="20"/>
        </w:rPr>
      </w:pPr>
      <w:r w:rsidRPr="00A61DB9">
        <w:rPr>
          <w:rFonts w:ascii="Arial" w:hAnsi="Arial" w:cs="Arial"/>
          <w:b/>
          <w:color w:val="0D2255"/>
          <w:sz w:val="20"/>
        </w:rPr>
        <w:lastRenderedPageBreak/>
        <w:t>Car production – rolling year total</w:t>
      </w:r>
    </w:p>
    <w:p w:rsidR="004B3772" w:rsidRDefault="00695DD4" w:rsidP="004B3772">
      <w:pPr>
        <w:spacing w:line="288" w:lineRule="auto"/>
        <w:rPr>
          <w:rFonts w:ascii="Arial" w:hAnsi="Arial" w:cs="Arial"/>
          <w:b/>
          <w:color w:val="0D2255"/>
          <w:sz w:val="20"/>
        </w:rPr>
      </w:pPr>
      <w:r>
        <w:rPr>
          <w:rFonts w:ascii="Arial" w:hAnsi="Arial" w:cs="Arial"/>
          <w:b/>
          <w:noProof/>
          <w:color w:val="0D2255"/>
          <w:sz w:val="20"/>
        </w:rPr>
        <w:drawing>
          <wp:inline distT="0" distB="0" distL="0" distR="0">
            <wp:extent cx="2768041" cy="245059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771171" cy="2453363"/>
                    </a:xfrm>
                    <a:prstGeom prst="rect">
                      <a:avLst/>
                    </a:prstGeom>
                    <a:noFill/>
                  </pic:spPr>
                </pic:pic>
              </a:graphicData>
            </a:graphic>
          </wp:inline>
        </w:drawing>
      </w:r>
    </w:p>
    <w:p w:rsidR="001944FF" w:rsidRDefault="001944FF" w:rsidP="004B3772">
      <w:pPr>
        <w:spacing w:line="288" w:lineRule="auto"/>
        <w:rPr>
          <w:rFonts w:ascii="Arial" w:hAnsi="Arial" w:cs="Arial"/>
          <w:b/>
          <w:color w:val="0D2255"/>
          <w:sz w:val="20"/>
        </w:rPr>
      </w:pPr>
    </w:p>
    <w:p w:rsidR="008321E6" w:rsidRDefault="00894317" w:rsidP="004B3772">
      <w:pPr>
        <w:spacing w:line="288" w:lineRule="auto"/>
        <w:rPr>
          <w:noProof/>
        </w:rPr>
      </w:pPr>
      <w:r>
        <w:rPr>
          <w:rFonts w:ascii="Arial" w:hAnsi="Arial" w:cs="Arial"/>
          <w:b/>
          <w:color w:val="0D2255"/>
          <w:sz w:val="20"/>
        </w:rPr>
        <w:lastRenderedPageBreak/>
        <w:t>CV production – rolling year total</w:t>
      </w:r>
      <w:r w:rsidR="00D502CB" w:rsidRPr="00D502CB">
        <w:rPr>
          <w:noProof/>
        </w:rPr>
        <w:t xml:space="preserve"> </w:t>
      </w:r>
    </w:p>
    <w:p w:rsidR="004B3772" w:rsidRDefault="00695DD4" w:rsidP="004B3772">
      <w:pPr>
        <w:spacing w:line="288" w:lineRule="auto"/>
        <w:rPr>
          <w:rFonts w:ascii="Arial" w:hAnsi="Arial" w:cs="Arial"/>
          <w:sz w:val="20"/>
        </w:rPr>
      </w:pPr>
      <w:r>
        <w:rPr>
          <w:rFonts w:ascii="Arial" w:hAnsi="Arial" w:cs="Arial"/>
          <w:noProof/>
          <w:sz w:val="20"/>
        </w:rPr>
        <w:drawing>
          <wp:inline distT="0" distB="0" distL="0" distR="0">
            <wp:extent cx="2665629" cy="2401852"/>
            <wp:effectExtent l="19050" t="0" r="137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68296" cy="2404255"/>
                    </a:xfrm>
                    <a:prstGeom prst="rect">
                      <a:avLst/>
                    </a:prstGeom>
                    <a:noFill/>
                  </pic:spPr>
                </pic:pic>
              </a:graphicData>
            </a:graphic>
          </wp:inline>
        </w:drawing>
      </w:r>
    </w:p>
    <w:sectPr w:rsidR="004B3772" w:rsidSect="008321E6">
      <w:headerReference w:type="default" r:id="rId12"/>
      <w:footerReference w:type="default" r:id="rId13"/>
      <w:type w:val="continuous"/>
      <w:pgSz w:w="11906" w:h="16838"/>
      <w:pgMar w:top="830" w:right="282" w:bottom="1134" w:left="1416" w:header="170" w:footer="227"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08" w:rsidRDefault="00AF2308">
      <w:r>
        <w:separator/>
      </w:r>
    </w:p>
  </w:endnote>
  <w:endnote w:type="continuationSeparator" w:id="0">
    <w:p w:rsidR="00AF2308" w:rsidRDefault="00AF2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Pr="00E450D6" w:rsidRDefault="008B233B" w:rsidP="00E450D6">
    <w:pPr>
      <w:rPr>
        <w:rFonts w:ascii="Arial" w:hAnsi="Arial" w:cs="Arial"/>
        <w:b/>
        <w:color w:val="1074CB"/>
        <w:sz w:val="16"/>
        <w:szCs w:val="16"/>
      </w:rPr>
    </w:pPr>
    <w:r w:rsidRPr="00E450D6">
      <w:rPr>
        <w:rFonts w:ascii="Arial" w:hAnsi="Arial" w:cs="Arial"/>
        <w:b/>
        <w:color w:val="1074CB"/>
        <w:sz w:val="16"/>
        <w:szCs w:val="16"/>
      </w:rPr>
      <w:t>Notes:</w:t>
    </w:r>
  </w:p>
  <w:p w:rsidR="00A50B89" w:rsidRPr="00F26FC5" w:rsidRDefault="00A50B89" w:rsidP="00A50B89">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7F0CD1" w:rsidRDefault="00A50B89" w:rsidP="00A50B89">
    <w:pPr>
      <w:rPr>
        <w:rFonts w:ascii="Arial" w:hAnsi="Arial" w:cs="Arial"/>
        <w:color w:val="1074CB"/>
        <w:sz w:val="16"/>
        <w:szCs w:val="16"/>
      </w:rPr>
    </w:pPr>
    <w:r w:rsidRPr="00F26FC5">
      <w:rPr>
        <w:rFonts w:ascii="Arial" w:hAnsi="Arial" w:cs="Arial"/>
        <w:color w:val="1074CB"/>
        <w:sz w:val="16"/>
        <w:szCs w:val="16"/>
      </w:rPr>
      <w:t xml:space="preserve">The automotive industry is a vital part of the UK economy accounting for £40 billion turnover and £8.5 billion value added. </w:t>
    </w:r>
  </w:p>
  <w:p w:rsidR="007F0CD1" w:rsidRDefault="00A50B89" w:rsidP="00A50B89">
    <w:pPr>
      <w:rPr>
        <w:rFonts w:ascii="Arial" w:hAnsi="Arial" w:cs="Arial"/>
        <w:color w:val="1074CB"/>
        <w:sz w:val="16"/>
        <w:szCs w:val="16"/>
      </w:rPr>
    </w:pPr>
    <w:r w:rsidRPr="00F26FC5">
      <w:rPr>
        <w:rFonts w:ascii="Arial" w:hAnsi="Arial" w:cs="Arial"/>
        <w:color w:val="1074CB"/>
        <w:sz w:val="16"/>
        <w:szCs w:val="16"/>
      </w:rPr>
      <w:t>With over 700,000</w:t>
    </w:r>
    <w:r w:rsidR="007F0CD1">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w:t>
    </w:r>
  </w:p>
  <w:p w:rsidR="00A50B89" w:rsidRPr="00F26FC5" w:rsidRDefault="00A50B89" w:rsidP="00A50B89">
    <w:pPr>
      <w:rPr>
        <w:rFonts w:ascii="Arial" w:hAnsi="Arial" w:cs="Arial"/>
        <w:color w:val="1074CB"/>
        <w:sz w:val="16"/>
        <w:szCs w:val="16"/>
      </w:rPr>
    </w:pPr>
    <w:r w:rsidRPr="00F26FC5">
      <w:rPr>
        <w:rFonts w:ascii="Arial" w:hAnsi="Arial" w:cs="Arial"/>
        <w:color w:val="1074CB"/>
        <w:sz w:val="16"/>
        <w:szCs w:val="16"/>
      </w:rPr>
      <w:t xml:space="preserve">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8B233B" w:rsidRPr="00AD730E" w:rsidRDefault="008B233B" w:rsidP="0040241C">
    <w:pPr>
      <w:pStyle w:val="BodyText3"/>
      <w:rPr>
        <w:rFonts w:ascii="Arial" w:hAnsi="Arial" w:cs="Arial"/>
        <w:color w:val="1074CB"/>
        <w:sz w:val="12"/>
        <w:szCs w:val="12"/>
      </w:rPr>
    </w:pPr>
  </w:p>
  <w:p w:rsidR="008B233B" w:rsidRPr="00333348" w:rsidRDefault="008B233B" w:rsidP="0040241C">
    <w:pPr>
      <w:pStyle w:val="BodyText3"/>
      <w:rPr>
        <w:rFonts w:ascii="Arial" w:hAnsi="Arial" w:cs="Arial"/>
        <w:b/>
        <w:color w:val="1074CB"/>
        <w:sz w:val="16"/>
        <w:szCs w:val="16"/>
      </w:rPr>
    </w:pPr>
    <w:r w:rsidRPr="00333348">
      <w:rPr>
        <w:rFonts w:ascii="Arial" w:hAnsi="Arial" w:cs="Arial"/>
        <w:b/>
        <w:color w:val="1074CB"/>
        <w:sz w:val="16"/>
        <w:szCs w:val="16"/>
      </w:rPr>
      <w:t>Media contacts:</w:t>
    </w:r>
  </w:p>
  <w:p w:rsidR="008B233B" w:rsidRPr="00333348" w:rsidRDefault="008B233B" w:rsidP="0040241C">
    <w:pPr>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8B233B" w:rsidRDefault="008B233B" w:rsidP="0040241C">
    <w:pPr>
      <w:pStyle w:val="BodyText3"/>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1944FF" w:rsidRPr="001944FF" w:rsidRDefault="001944FF" w:rsidP="001944FF">
    <w:pPr>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887669">
        <w:rPr>
          <w:rStyle w:val="Hyperlink"/>
          <w:rFonts w:ascii="Arial" w:hAnsi="Arial" w:cs="Arial"/>
          <w:sz w:val="16"/>
          <w:szCs w:val="16"/>
        </w:rPr>
        <w:t>kowen@smmt.co.uk</w:t>
      </w:r>
    </w:hyperlink>
  </w:p>
  <w:p w:rsidR="008B233B" w:rsidRDefault="008B233B">
    <w:pPr>
      <w:pStyle w:val="Footer"/>
      <w:ind w:right="-1"/>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Default="008B233B">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08" w:rsidRDefault="00AF2308">
      <w:r>
        <w:separator/>
      </w:r>
    </w:p>
  </w:footnote>
  <w:footnote w:type="continuationSeparator" w:id="0">
    <w:p w:rsidR="00AF2308" w:rsidRDefault="00AF2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Default="008B233B" w:rsidP="003517A2">
    <w:pPr>
      <w:pStyle w:val="Header"/>
      <w:jc w:val="right"/>
    </w:pPr>
    <w:r w:rsidRPr="0040241C">
      <w:rPr>
        <w:noProof/>
      </w:rPr>
      <w:drawing>
        <wp:inline distT="0" distB="0" distL="0" distR="0">
          <wp:extent cx="2269490" cy="867656"/>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269490" cy="867656"/>
                  </a:xfrm>
                  <a:prstGeom prst="rect">
                    <a:avLst/>
                  </a:prstGeom>
                  <a:noFill/>
                  <a:ln w="9525">
                    <a:noFill/>
                    <a:miter lim="800000"/>
                    <a:headEnd/>
                    <a:tailEnd/>
                  </a:ln>
                </pic:spPr>
              </pic:pic>
            </a:graphicData>
          </a:graphic>
        </wp:inline>
      </w:drawing>
    </w:r>
  </w:p>
  <w:p w:rsidR="008B233B" w:rsidRDefault="008B233B" w:rsidP="00F33832">
    <w:pPr>
      <w:rPr>
        <w:rStyle w:val="Strong"/>
        <w:rFonts w:ascii="Arial" w:hAnsi="Arial" w:cs="Arial"/>
        <w:color w:val="1074CB"/>
        <w:sz w:val="20"/>
      </w:rPr>
    </w:pPr>
    <w:r>
      <w:rPr>
        <w:rStyle w:val="Strong"/>
        <w:rFonts w:ascii="Arial" w:hAnsi="Arial" w:cs="Arial"/>
        <w:color w:val="1074CB"/>
        <w:sz w:val="20"/>
      </w:rPr>
      <w:t xml:space="preserve">                                                                                                   Note to broadcasters: SMMT has an ISDN studio</w:t>
    </w:r>
  </w:p>
  <w:p w:rsidR="008B233B" w:rsidRPr="002C3D6F" w:rsidRDefault="008B233B" w:rsidP="0040241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3B" w:rsidRPr="003517A2" w:rsidRDefault="008B233B" w:rsidP="003517A2">
    <w:pPr>
      <w:pStyle w:val="Header"/>
    </w:pPr>
    <w:r>
      <w:t xml:space="preserve">                                                                                                                   </w:t>
    </w:r>
    <w:r w:rsidRPr="00232792">
      <w:rPr>
        <w:noProof/>
      </w:rPr>
      <w:drawing>
        <wp:inline distT="0" distB="0" distL="0" distR="0">
          <wp:extent cx="2047875" cy="866685"/>
          <wp:effectExtent l="19050" t="0" r="9525" b="0"/>
          <wp:docPr id="10"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050169" cy="8676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0"/>
  <w:displayVerticalDrawingGridEvery w:val="0"/>
  <w:noPunctuationKerning/>
  <w:characterSpacingControl w:val="doNotCompress"/>
  <w:hdrShapeDefaults>
    <o:shapedefaults v:ext="edit" spidmax="96257">
      <o:colormru v:ext="edit" colors="#1074cb"/>
      <o:colormenu v:ext="edit" strokecolor="#1074cb"/>
    </o:shapedefaults>
  </w:hdrShapeDefaults>
  <w:footnotePr>
    <w:footnote w:id="-1"/>
    <w:footnote w:id="0"/>
  </w:footnotePr>
  <w:endnotePr>
    <w:endnote w:id="-1"/>
    <w:endnote w:id="0"/>
  </w:endnotePr>
  <w:compat/>
  <w:rsids>
    <w:rsidRoot w:val="005F33F2"/>
    <w:rsid w:val="00005D31"/>
    <w:rsid w:val="00027809"/>
    <w:rsid w:val="00027C48"/>
    <w:rsid w:val="00075678"/>
    <w:rsid w:val="00076ACE"/>
    <w:rsid w:val="000805B0"/>
    <w:rsid w:val="00090CA0"/>
    <w:rsid w:val="00092A9D"/>
    <w:rsid w:val="000A546C"/>
    <w:rsid w:val="000B7B11"/>
    <w:rsid w:val="000C2FE1"/>
    <w:rsid w:val="000C5CE4"/>
    <w:rsid w:val="000F7BA1"/>
    <w:rsid w:val="00111673"/>
    <w:rsid w:val="00124A11"/>
    <w:rsid w:val="00180BCF"/>
    <w:rsid w:val="00185340"/>
    <w:rsid w:val="001944FF"/>
    <w:rsid w:val="00194814"/>
    <w:rsid w:val="001C0A2D"/>
    <w:rsid w:val="001C2867"/>
    <w:rsid w:val="001D6FA4"/>
    <w:rsid w:val="001F63ED"/>
    <w:rsid w:val="001F6C3E"/>
    <w:rsid w:val="00226668"/>
    <w:rsid w:val="00232792"/>
    <w:rsid w:val="002426FE"/>
    <w:rsid w:val="00245D1D"/>
    <w:rsid w:val="00256DBE"/>
    <w:rsid w:val="0027504A"/>
    <w:rsid w:val="002C3D6F"/>
    <w:rsid w:val="002D7ED3"/>
    <w:rsid w:val="002E1576"/>
    <w:rsid w:val="00321043"/>
    <w:rsid w:val="00323E45"/>
    <w:rsid w:val="003316E0"/>
    <w:rsid w:val="00333348"/>
    <w:rsid w:val="003413C6"/>
    <w:rsid w:val="003427FE"/>
    <w:rsid w:val="003517A2"/>
    <w:rsid w:val="003558AE"/>
    <w:rsid w:val="00361103"/>
    <w:rsid w:val="00366EEE"/>
    <w:rsid w:val="003833C4"/>
    <w:rsid w:val="0039211B"/>
    <w:rsid w:val="003C36E0"/>
    <w:rsid w:val="003D4598"/>
    <w:rsid w:val="003E0EDD"/>
    <w:rsid w:val="003F1036"/>
    <w:rsid w:val="003F5418"/>
    <w:rsid w:val="0040178B"/>
    <w:rsid w:val="0040241C"/>
    <w:rsid w:val="00421001"/>
    <w:rsid w:val="00447343"/>
    <w:rsid w:val="004504E9"/>
    <w:rsid w:val="004863DC"/>
    <w:rsid w:val="00487D67"/>
    <w:rsid w:val="004A6461"/>
    <w:rsid w:val="004A7C46"/>
    <w:rsid w:val="004B3772"/>
    <w:rsid w:val="004B4ECE"/>
    <w:rsid w:val="004C6D62"/>
    <w:rsid w:val="004D6C03"/>
    <w:rsid w:val="004F012E"/>
    <w:rsid w:val="004F2308"/>
    <w:rsid w:val="00506954"/>
    <w:rsid w:val="0053668F"/>
    <w:rsid w:val="00536818"/>
    <w:rsid w:val="0054725E"/>
    <w:rsid w:val="00550518"/>
    <w:rsid w:val="00573FCC"/>
    <w:rsid w:val="0057404C"/>
    <w:rsid w:val="0058382F"/>
    <w:rsid w:val="00583956"/>
    <w:rsid w:val="005C0FEC"/>
    <w:rsid w:val="005C594A"/>
    <w:rsid w:val="005C5B7A"/>
    <w:rsid w:val="005D00EB"/>
    <w:rsid w:val="005D22CA"/>
    <w:rsid w:val="005F33F2"/>
    <w:rsid w:val="006048B1"/>
    <w:rsid w:val="00626BE0"/>
    <w:rsid w:val="00627CAE"/>
    <w:rsid w:val="00634E11"/>
    <w:rsid w:val="00636581"/>
    <w:rsid w:val="0064439B"/>
    <w:rsid w:val="00673F85"/>
    <w:rsid w:val="00680092"/>
    <w:rsid w:val="00680E78"/>
    <w:rsid w:val="00695DD4"/>
    <w:rsid w:val="006A46AA"/>
    <w:rsid w:val="006B390A"/>
    <w:rsid w:val="006C5808"/>
    <w:rsid w:val="006D5EF5"/>
    <w:rsid w:val="007071AF"/>
    <w:rsid w:val="00743F57"/>
    <w:rsid w:val="0075051B"/>
    <w:rsid w:val="00777063"/>
    <w:rsid w:val="0078700B"/>
    <w:rsid w:val="007874FF"/>
    <w:rsid w:val="00791579"/>
    <w:rsid w:val="007A4F88"/>
    <w:rsid w:val="007B2BC8"/>
    <w:rsid w:val="007B5441"/>
    <w:rsid w:val="007C2DC3"/>
    <w:rsid w:val="007C5357"/>
    <w:rsid w:val="007D366E"/>
    <w:rsid w:val="007D6CB9"/>
    <w:rsid w:val="007E5459"/>
    <w:rsid w:val="007F0CD1"/>
    <w:rsid w:val="007F5CAD"/>
    <w:rsid w:val="00800947"/>
    <w:rsid w:val="008025E1"/>
    <w:rsid w:val="00815BF4"/>
    <w:rsid w:val="008321E6"/>
    <w:rsid w:val="0083241B"/>
    <w:rsid w:val="0086468E"/>
    <w:rsid w:val="00870427"/>
    <w:rsid w:val="00886036"/>
    <w:rsid w:val="00894317"/>
    <w:rsid w:val="0089584A"/>
    <w:rsid w:val="008B233B"/>
    <w:rsid w:val="008C3204"/>
    <w:rsid w:val="008C4226"/>
    <w:rsid w:val="008E0467"/>
    <w:rsid w:val="009074DA"/>
    <w:rsid w:val="0091684C"/>
    <w:rsid w:val="009334DB"/>
    <w:rsid w:val="009368E1"/>
    <w:rsid w:val="00955F85"/>
    <w:rsid w:val="009670F8"/>
    <w:rsid w:val="00985B3D"/>
    <w:rsid w:val="009864CF"/>
    <w:rsid w:val="00991B0F"/>
    <w:rsid w:val="009936BA"/>
    <w:rsid w:val="0099479C"/>
    <w:rsid w:val="009B4633"/>
    <w:rsid w:val="009C6850"/>
    <w:rsid w:val="009D652F"/>
    <w:rsid w:val="009E368E"/>
    <w:rsid w:val="00A02FA3"/>
    <w:rsid w:val="00A152E9"/>
    <w:rsid w:val="00A23D4A"/>
    <w:rsid w:val="00A50B89"/>
    <w:rsid w:val="00A61DB9"/>
    <w:rsid w:val="00A62FAF"/>
    <w:rsid w:val="00A65DF5"/>
    <w:rsid w:val="00A739D3"/>
    <w:rsid w:val="00A76708"/>
    <w:rsid w:val="00A7791D"/>
    <w:rsid w:val="00A8507D"/>
    <w:rsid w:val="00A91D88"/>
    <w:rsid w:val="00A9297A"/>
    <w:rsid w:val="00AA5537"/>
    <w:rsid w:val="00AB1AD8"/>
    <w:rsid w:val="00AB7E93"/>
    <w:rsid w:val="00AC203E"/>
    <w:rsid w:val="00AC512F"/>
    <w:rsid w:val="00AD56C6"/>
    <w:rsid w:val="00AD730E"/>
    <w:rsid w:val="00AE0A27"/>
    <w:rsid w:val="00AE0CAF"/>
    <w:rsid w:val="00AE2F3E"/>
    <w:rsid w:val="00AE3014"/>
    <w:rsid w:val="00AF0BD8"/>
    <w:rsid w:val="00AF2308"/>
    <w:rsid w:val="00B036DF"/>
    <w:rsid w:val="00B060C5"/>
    <w:rsid w:val="00B1187E"/>
    <w:rsid w:val="00B25EEA"/>
    <w:rsid w:val="00B31AFF"/>
    <w:rsid w:val="00B57D89"/>
    <w:rsid w:val="00B6758E"/>
    <w:rsid w:val="00B856B8"/>
    <w:rsid w:val="00B9297E"/>
    <w:rsid w:val="00B961FF"/>
    <w:rsid w:val="00BA7796"/>
    <w:rsid w:val="00BE1842"/>
    <w:rsid w:val="00BE2914"/>
    <w:rsid w:val="00C05E17"/>
    <w:rsid w:val="00C133C6"/>
    <w:rsid w:val="00C138A9"/>
    <w:rsid w:val="00C27801"/>
    <w:rsid w:val="00C34440"/>
    <w:rsid w:val="00C35196"/>
    <w:rsid w:val="00C6464E"/>
    <w:rsid w:val="00C8081D"/>
    <w:rsid w:val="00C8444D"/>
    <w:rsid w:val="00C932B2"/>
    <w:rsid w:val="00C933FF"/>
    <w:rsid w:val="00CA41FF"/>
    <w:rsid w:val="00CA5948"/>
    <w:rsid w:val="00CB5253"/>
    <w:rsid w:val="00CD5FD1"/>
    <w:rsid w:val="00CF22E6"/>
    <w:rsid w:val="00D028B7"/>
    <w:rsid w:val="00D13496"/>
    <w:rsid w:val="00D166BE"/>
    <w:rsid w:val="00D2461C"/>
    <w:rsid w:val="00D40639"/>
    <w:rsid w:val="00D46D8B"/>
    <w:rsid w:val="00D502CB"/>
    <w:rsid w:val="00D63CE1"/>
    <w:rsid w:val="00D64425"/>
    <w:rsid w:val="00D74E0B"/>
    <w:rsid w:val="00D83C77"/>
    <w:rsid w:val="00DA6323"/>
    <w:rsid w:val="00DB1C97"/>
    <w:rsid w:val="00DC4DAD"/>
    <w:rsid w:val="00DC5456"/>
    <w:rsid w:val="00DF5009"/>
    <w:rsid w:val="00E14379"/>
    <w:rsid w:val="00E22985"/>
    <w:rsid w:val="00E26A2E"/>
    <w:rsid w:val="00E450D6"/>
    <w:rsid w:val="00E7588C"/>
    <w:rsid w:val="00E84F2D"/>
    <w:rsid w:val="00E879C8"/>
    <w:rsid w:val="00E91DEB"/>
    <w:rsid w:val="00EB12C2"/>
    <w:rsid w:val="00EC6E09"/>
    <w:rsid w:val="00ED393B"/>
    <w:rsid w:val="00EE49BE"/>
    <w:rsid w:val="00EE653B"/>
    <w:rsid w:val="00EF614F"/>
    <w:rsid w:val="00F02A2C"/>
    <w:rsid w:val="00F27D61"/>
    <w:rsid w:val="00F32BBE"/>
    <w:rsid w:val="00F33832"/>
    <w:rsid w:val="00F46621"/>
    <w:rsid w:val="00F608C9"/>
    <w:rsid w:val="00F645B8"/>
    <w:rsid w:val="00F6500F"/>
    <w:rsid w:val="00F72A49"/>
    <w:rsid w:val="00FA6453"/>
    <w:rsid w:val="00FB57C9"/>
    <w:rsid w:val="00FB645A"/>
    <w:rsid w:val="00FC1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1074cb"/>
      <o:colormenu v:ext="edit" strokecolor="#1074cb"/>
    </o:shapedefaults>
    <o:shapelayout v:ext="edit">
      <o:idmap v:ext="edit" data="1"/>
      <o:rules v:ext="edit">
        <o:r id="V:Rule5" type="connector" idref="#_x0000_s1028"/>
        <o:r id="V:Rule6" type="connector" idref="#_x0000_s1030"/>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s>
</file>

<file path=word/webSettings.xml><?xml version="1.0" encoding="utf-8"?>
<w:webSettings xmlns:r="http://schemas.openxmlformats.org/officeDocument/2006/relationships" xmlns:w="http://schemas.openxmlformats.org/wordprocessingml/2006/main">
  <w:divs>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6C5F-EFD2-4615-9870-C8CE7561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1650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4</cp:revision>
  <cp:lastPrinted>2011-05-18T14:59:00Z</cp:lastPrinted>
  <dcterms:created xsi:type="dcterms:W3CDTF">2011-05-18T14:01:00Z</dcterms:created>
  <dcterms:modified xsi:type="dcterms:W3CDTF">2011-05-18T15:23:00Z</dcterms:modified>
</cp:coreProperties>
</file>