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E2" w:rsidRPr="00176BC5" w:rsidRDefault="00C078E2" w:rsidP="00C078E2">
      <w:pPr>
        <w:pStyle w:val="Heading1"/>
        <w:ind w:right="142"/>
        <w:rPr>
          <w:rFonts w:ascii="Arial" w:eastAsiaTheme="minorEastAsia" w:hAnsi="Arial" w:cs="Arial"/>
          <w:bCs/>
          <w:color w:val="1074CB"/>
          <w:sz w:val="44"/>
          <w:szCs w:val="44"/>
        </w:rPr>
      </w:pPr>
      <w:r w:rsidRPr="005C2E16">
        <w:rPr>
          <w:rFonts w:ascii="Arial" w:eastAsiaTheme="minorEastAsia" w:hAnsi="Arial" w:cs="Arial"/>
          <w:bCs/>
          <w:color w:val="1074CB"/>
          <w:sz w:val="44"/>
          <w:szCs w:val="44"/>
        </w:rPr>
        <w:t>SMMT AUTOMOTIVE MANUFACTURING</w:t>
      </w:r>
    </w:p>
    <w:p w:rsidR="00C078E2" w:rsidRDefault="004E5D68" w:rsidP="00C078E2">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1</w:t>
      </w:r>
      <w:r w:rsidR="00BD092A">
        <w:rPr>
          <w:rFonts w:ascii="Arial" w:eastAsiaTheme="minorEastAsia" w:hAnsi="Arial" w:cs="Arial"/>
          <w:b w:val="0"/>
          <w:bCs/>
          <w:color w:val="1074CB"/>
          <w:sz w:val="44"/>
          <w:szCs w:val="44"/>
        </w:rPr>
        <w:t>3</w:t>
      </w:r>
      <w:r>
        <w:rPr>
          <w:rFonts w:ascii="Arial" w:eastAsiaTheme="minorEastAsia" w:hAnsi="Arial" w:cs="Arial"/>
          <w:b w:val="0"/>
          <w:bCs/>
          <w:color w:val="1074CB"/>
          <w:sz w:val="44"/>
          <w:szCs w:val="44"/>
        </w:rPr>
        <w:t xml:space="preserve"> </w:t>
      </w:r>
      <w:r w:rsidR="00BD092A">
        <w:rPr>
          <w:rFonts w:ascii="Arial" w:eastAsiaTheme="minorEastAsia" w:hAnsi="Arial" w:cs="Arial"/>
          <w:b w:val="0"/>
          <w:bCs/>
          <w:color w:val="1074CB"/>
          <w:sz w:val="44"/>
          <w:szCs w:val="44"/>
        </w:rPr>
        <w:t>Decemb</w:t>
      </w:r>
      <w:r w:rsidR="00AA635D">
        <w:rPr>
          <w:rFonts w:ascii="Arial" w:eastAsiaTheme="minorEastAsia" w:hAnsi="Arial" w:cs="Arial"/>
          <w:b w:val="0"/>
          <w:bCs/>
          <w:color w:val="1074CB"/>
          <w:sz w:val="44"/>
          <w:szCs w:val="44"/>
        </w:rPr>
        <w:t>er</w:t>
      </w:r>
      <w:r w:rsidR="00C078E2">
        <w:rPr>
          <w:rFonts w:ascii="Arial" w:eastAsiaTheme="minorEastAsia" w:hAnsi="Arial" w:cs="Arial"/>
          <w:b w:val="0"/>
          <w:bCs/>
          <w:color w:val="1074CB"/>
          <w:sz w:val="44"/>
          <w:szCs w:val="44"/>
        </w:rPr>
        <w:t xml:space="preserve"> </w:t>
      </w:r>
      <w:r w:rsidR="00C078E2" w:rsidRPr="00176BC5">
        <w:rPr>
          <w:rFonts w:ascii="Arial" w:eastAsiaTheme="minorEastAsia" w:hAnsi="Arial" w:cs="Arial"/>
          <w:b w:val="0"/>
          <w:bCs/>
          <w:color w:val="1074CB"/>
          <w:sz w:val="44"/>
          <w:szCs w:val="44"/>
        </w:rPr>
        <w:t>201</w:t>
      </w:r>
      <w:r w:rsidR="00C078E2">
        <w:rPr>
          <w:rFonts w:ascii="Arial" w:eastAsiaTheme="minorEastAsia" w:hAnsi="Arial" w:cs="Arial"/>
          <w:b w:val="0"/>
          <w:bCs/>
          <w:color w:val="1074CB"/>
          <w:sz w:val="44"/>
          <w:szCs w:val="44"/>
        </w:rPr>
        <w:t>2</w:t>
      </w:r>
      <w:r w:rsidR="00C078E2" w:rsidRPr="00176BC5">
        <w:rPr>
          <w:rFonts w:ascii="Arial" w:eastAsiaTheme="minorEastAsia" w:hAnsi="Arial" w:cs="Arial"/>
          <w:b w:val="0"/>
          <w:bCs/>
          <w:color w:val="1074CB"/>
          <w:sz w:val="44"/>
          <w:szCs w:val="44"/>
        </w:rPr>
        <w:t xml:space="preserve"> </w:t>
      </w:r>
      <w:r w:rsidR="00C078E2" w:rsidRPr="00176BC5">
        <w:rPr>
          <w:rFonts w:ascii="Arial" w:eastAsiaTheme="minorEastAsia" w:hAnsi="Arial" w:cs="Arial"/>
          <w:b w:val="0"/>
          <w:bCs/>
          <w:color w:val="1074CB"/>
          <w:sz w:val="32"/>
          <w:szCs w:val="32"/>
        </w:rPr>
        <w:t xml:space="preserve">(data for </w:t>
      </w:r>
      <w:r w:rsidR="00BD092A">
        <w:rPr>
          <w:rFonts w:ascii="Arial" w:eastAsiaTheme="minorEastAsia" w:hAnsi="Arial" w:cs="Arial"/>
          <w:b w:val="0"/>
          <w:bCs/>
          <w:color w:val="1074CB"/>
          <w:sz w:val="32"/>
          <w:szCs w:val="32"/>
        </w:rPr>
        <w:t>Novemb</w:t>
      </w:r>
      <w:r w:rsidR="00AA635D">
        <w:rPr>
          <w:rFonts w:ascii="Arial" w:eastAsiaTheme="minorEastAsia" w:hAnsi="Arial" w:cs="Arial"/>
          <w:b w:val="0"/>
          <w:bCs/>
          <w:color w:val="1074CB"/>
          <w:sz w:val="32"/>
          <w:szCs w:val="32"/>
        </w:rPr>
        <w:t>er</w:t>
      </w:r>
      <w:r w:rsidR="00C078E2">
        <w:rPr>
          <w:rFonts w:ascii="Arial" w:eastAsiaTheme="minorEastAsia" w:hAnsi="Arial" w:cs="Arial"/>
          <w:b w:val="0"/>
          <w:bCs/>
          <w:color w:val="1074CB"/>
          <w:sz w:val="32"/>
          <w:szCs w:val="32"/>
        </w:rPr>
        <w:t xml:space="preserve"> 2012</w:t>
      </w:r>
      <w:r w:rsidR="00C078E2" w:rsidRPr="00176BC5">
        <w:rPr>
          <w:rFonts w:ascii="Arial" w:eastAsiaTheme="minorEastAsia" w:hAnsi="Arial" w:cs="Arial"/>
          <w:b w:val="0"/>
          <w:bCs/>
          <w:color w:val="1074CB"/>
          <w:sz w:val="32"/>
          <w:szCs w:val="32"/>
        </w:rPr>
        <w:t>)</w:t>
      </w:r>
    </w:p>
    <w:p w:rsidR="00C078E2" w:rsidRPr="009F32FF" w:rsidRDefault="00C078E2" w:rsidP="00C078E2">
      <w:pPr>
        <w:rPr>
          <w:sz w:val="8"/>
          <w:szCs w:val="8"/>
        </w:rPr>
      </w:pPr>
    </w:p>
    <w:p w:rsidR="00C078E2" w:rsidRPr="001A5B1A" w:rsidRDefault="00C078E2" w:rsidP="00C078E2">
      <w:pPr>
        <w:pStyle w:val="Heading1"/>
        <w:ind w:left="0" w:right="142" w:firstLine="0"/>
        <w:rPr>
          <w:rFonts w:ascii="Arial" w:eastAsiaTheme="minorEastAsia" w:hAnsi="Arial" w:cs="Arial"/>
          <w:b w:val="0"/>
          <w:bCs/>
          <w:color w:val="1074CB"/>
        </w:rPr>
      </w:pPr>
      <w:r w:rsidRPr="001A5B1A">
        <w:rPr>
          <w:rFonts w:ascii="Arial" w:eastAsiaTheme="minorEastAsia" w:hAnsi="Arial" w:cs="Arial"/>
          <w:b w:val="0"/>
          <w:bCs/>
          <w:color w:val="1074CB"/>
        </w:rPr>
        <w:t>NEWS RELEASE NUMBER</w:t>
      </w:r>
      <w:r>
        <w:rPr>
          <w:rFonts w:ascii="Arial" w:eastAsiaTheme="minorEastAsia" w:hAnsi="Arial" w:cs="Arial"/>
          <w:b w:val="0"/>
          <w:bCs/>
          <w:color w:val="1074CB"/>
        </w:rPr>
        <w:t>:</w:t>
      </w:r>
      <w:r w:rsidRPr="001A5B1A">
        <w:rPr>
          <w:rFonts w:ascii="Arial" w:eastAsiaTheme="minorEastAsia" w:hAnsi="Arial" w:cs="Arial"/>
          <w:b w:val="0"/>
          <w:bCs/>
          <w:color w:val="1074CB"/>
        </w:rPr>
        <w:t xml:space="preserve"> </w:t>
      </w:r>
      <w:r w:rsidR="007B34F7">
        <w:rPr>
          <w:rFonts w:ascii="Arial" w:eastAsiaTheme="minorEastAsia" w:hAnsi="Arial" w:cs="Arial"/>
          <w:b w:val="0"/>
          <w:bCs/>
          <w:color w:val="1074CB"/>
        </w:rPr>
        <w:t>5091</w:t>
      </w:r>
      <w:r w:rsidRPr="001A5B1A">
        <w:rPr>
          <w:rFonts w:ascii="Arial" w:eastAsiaTheme="minorEastAsia" w:hAnsi="Arial" w:cs="Arial"/>
          <w:b w:val="0"/>
          <w:bCs/>
          <w:color w:val="1074CB"/>
        </w:rPr>
        <w:t xml:space="preserve">                                                           FOR RELEASE</w:t>
      </w:r>
      <w:r>
        <w:rPr>
          <w:rFonts w:ascii="Arial" w:eastAsiaTheme="minorEastAsia" w:hAnsi="Arial" w:cs="Arial"/>
          <w:b w:val="0"/>
          <w:bCs/>
          <w:color w:val="1074CB"/>
        </w:rPr>
        <w:t>:</w:t>
      </w:r>
      <w:r w:rsidRPr="001A5B1A">
        <w:rPr>
          <w:rFonts w:ascii="Arial" w:eastAsiaTheme="minorEastAsia" w:hAnsi="Arial" w:cs="Arial"/>
          <w:b w:val="0"/>
          <w:bCs/>
          <w:color w:val="1074CB"/>
        </w:rPr>
        <w:t xml:space="preserve"> IMMEDIATE</w:t>
      </w:r>
    </w:p>
    <w:p w:rsidR="00C078E2" w:rsidRPr="00176BC5" w:rsidRDefault="00364429" w:rsidP="00C078E2">
      <w:pPr>
        <w:pStyle w:val="Heading1"/>
        <w:ind w:left="0" w:right="142" w:firstLine="0"/>
        <w:rPr>
          <w:rFonts w:ascii="Arial" w:eastAsiaTheme="minorEastAsia" w:hAnsi="Arial" w:cs="Arial"/>
          <w:bCs/>
          <w:color w:val="1074CB"/>
        </w:rPr>
      </w:pPr>
      <w:r>
        <w:rPr>
          <w:rFonts w:ascii="Arial" w:eastAsiaTheme="minorEastAsia" w:hAnsi="Arial" w:cs="Arial"/>
          <w:bCs/>
          <w:noProof/>
          <w:color w:val="1074CB"/>
        </w:rPr>
        <w:pict>
          <v:line id="_x0000_s1028" style="position:absolute;z-index:251660288" from=".55pt,3.1pt" to="455.9pt,3.1pt" strokecolor="#1074cb"/>
        </w:pict>
      </w:r>
    </w:p>
    <w:p w:rsidR="00C078E2" w:rsidRPr="00331EE5" w:rsidRDefault="006C5B82" w:rsidP="00C078E2">
      <w:pPr>
        <w:pStyle w:val="Heading1"/>
        <w:ind w:left="0" w:right="425" w:firstLine="0"/>
        <w:rPr>
          <w:rFonts w:ascii="Arial" w:eastAsiaTheme="minorEastAsia" w:hAnsi="Arial" w:cs="Arial"/>
          <w:bCs/>
          <w:color w:val="1074CB"/>
          <w:sz w:val="36"/>
          <w:szCs w:val="36"/>
        </w:rPr>
      </w:pPr>
      <w:r w:rsidRPr="00331EE5">
        <w:rPr>
          <w:rFonts w:ascii="Arial" w:eastAsiaTheme="minorEastAsia" w:hAnsi="Arial" w:cs="Arial"/>
          <w:bCs/>
          <w:color w:val="1074CB"/>
          <w:sz w:val="36"/>
          <w:szCs w:val="36"/>
        </w:rPr>
        <w:t>UK v</w:t>
      </w:r>
      <w:r w:rsidR="002006D0" w:rsidRPr="00331EE5">
        <w:rPr>
          <w:rFonts w:ascii="Arial" w:eastAsiaTheme="minorEastAsia" w:hAnsi="Arial" w:cs="Arial"/>
          <w:bCs/>
          <w:color w:val="1074CB"/>
          <w:sz w:val="36"/>
          <w:szCs w:val="36"/>
        </w:rPr>
        <w:t xml:space="preserve">ehicle output </w:t>
      </w:r>
      <w:r w:rsidRPr="00331EE5">
        <w:rPr>
          <w:rFonts w:ascii="Arial" w:eastAsiaTheme="minorEastAsia" w:hAnsi="Arial" w:cs="Arial"/>
          <w:bCs/>
          <w:color w:val="1074CB"/>
          <w:sz w:val="36"/>
          <w:szCs w:val="36"/>
        </w:rPr>
        <w:t>climbs again in November</w:t>
      </w:r>
    </w:p>
    <w:p w:rsidR="00C078E2" w:rsidRPr="00331EE5" w:rsidRDefault="00C078E2" w:rsidP="00C078E2">
      <w:pPr>
        <w:ind w:right="283"/>
        <w:rPr>
          <w:rFonts w:ascii="Arial" w:hAnsi="Arial" w:cs="Arial"/>
          <w:sz w:val="20"/>
        </w:rPr>
      </w:pPr>
    </w:p>
    <w:p w:rsidR="00C078E2" w:rsidRPr="00331EE5" w:rsidRDefault="00B20D22" w:rsidP="00331EE5">
      <w:pPr>
        <w:numPr>
          <w:ilvl w:val="0"/>
          <w:numId w:val="1"/>
        </w:numPr>
        <w:spacing w:line="276" w:lineRule="auto"/>
        <w:rPr>
          <w:rFonts w:ascii="Arial" w:hAnsi="Arial" w:cs="Arial"/>
          <w:sz w:val="20"/>
        </w:rPr>
      </w:pPr>
      <w:r w:rsidRPr="00331EE5">
        <w:rPr>
          <w:rFonts w:ascii="Arial" w:hAnsi="Arial" w:cs="Arial"/>
          <w:sz w:val="20"/>
        </w:rPr>
        <w:t>UK c</w:t>
      </w:r>
      <w:r w:rsidR="00C078E2" w:rsidRPr="00331EE5">
        <w:rPr>
          <w:rFonts w:ascii="Arial" w:hAnsi="Arial" w:cs="Arial"/>
          <w:sz w:val="20"/>
        </w:rPr>
        <w:t xml:space="preserve">ar </w:t>
      </w:r>
      <w:r w:rsidRPr="00331EE5">
        <w:rPr>
          <w:rFonts w:ascii="Arial" w:hAnsi="Arial" w:cs="Arial"/>
          <w:sz w:val="20"/>
        </w:rPr>
        <w:t>manufacturing</w:t>
      </w:r>
      <w:r w:rsidR="00C078E2" w:rsidRPr="00331EE5">
        <w:rPr>
          <w:rFonts w:ascii="Arial" w:hAnsi="Arial" w:cs="Arial"/>
          <w:sz w:val="20"/>
        </w:rPr>
        <w:t xml:space="preserve"> </w:t>
      </w:r>
      <w:r w:rsidR="00AA635D" w:rsidRPr="00331EE5">
        <w:rPr>
          <w:rFonts w:ascii="Arial" w:hAnsi="Arial" w:cs="Arial"/>
          <w:sz w:val="20"/>
        </w:rPr>
        <w:t xml:space="preserve">rose </w:t>
      </w:r>
      <w:r w:rsidR="00321760" w:rsidRPr="00331EE5">
        <w:rPr>
          <w:rFonts w:ascii="Arial" w:hAnsi="Arial" w:cs="Arial"/>
          <w:sz w:val="20"/>
        </w:rPr>
        <w:t>4.9</w:t>
      </w:r>
      <w:r w:rsidR="0039040F" w:rsidRPr="00331EE5">
        <w:rPr>
          <w:rFonts w:ascii="Arial" w:hAnsi="Arial" w:cs="Arial"/>
          <w:sz w:val="20"/>
        </w:rPr>
        <w:t xml:space="preserve">% in </w:t>
      </w:r>
      <w:r w:rsidR="00321760" w:rsidRPr="00331EE5">
        <w:rPr>
          <w:rFonts w:ascii="Arial" w:hAnsi="Arial" w:cs="Arial"/>
          <w:sz w:val="20"/>
        </w:rPr>
        <w:t>November a</w:t>
      </w:r>
      <w:r w:rsidR="00AA635D" w:rsidRPr="00331EE5">
        <w:rPr>
          <w:rFonts w:ascii="Arial" w:hAnsi="Arial" w:cs="Arial"/>
          <w:sz w:val="20"/>
        </w:rPr>
        <w:t>nd 9.</w:t>
      </w:r>
      <w:r w:rsidR="00321760" w:rsidRPr="00331EE5">
        <w:rPr>
          <w:rFonts w:ascii="Arial" w:hAnsi="Arial" w:cs="Arial"/>
          <w:sz w:val="20"/>
        </w:rPr>
        <w:t>2</w:t>
      </w:r>
      <w:r w:rsidR="0039040F" w:rsidRPr="00331EE5">
        <w:rPr>
          <w:rFonts w:ascii="Arial" w:hAnsi="Arial" w:cs="Arial"/>
          <w:sz w:val="20"/>
        </w:rPr>
        <w:t xml:space="preserve">% over </w:t>
      </w:r>
      <w:r w:rsidR="00C078E2" w:rsidRPr="00331EE5">
        <w:rPr>
          <w:rFonts w:ascii="Arial" w:hAnsi="Arial" w:cs="Arial"/>
          <w:sz w:val="20"/>
        </w:rPr>
        <w:t>the year-to-date.</w:t>
      </w:r>
    </w:p>
    <w:p w:rsidR="00C078E2" w:rsidRPr="00331EE5" w:rsidRDefault="00C078E2" w:rsidP="00331EE5">
      <w:pPr>
        <w:numPr>
          <w:ilvl w:val="0"/>
          <w:numId w:val="1"/>
        </w:numPr>
        <w:spacing w:line="276" w:lineRule="auto"/>
        <w:rPr>
          <w:rFonts w:ascii="Arial" w:hAnsi="Arial" w:cs="Arial"/>
          <w:sz w:val="20"/>
        </w:rPr>
      </w:pPr>
      <w:r w:rsidRPr="00331EE5">
        <w:rPr>
          <w:rFonts w:ascii="Arial" w:hAnsi="Arial" w:cs="Arial"/>
          <w:sz w:val="20"/>
        </w:rPr>
        <w:t xml:space="preserve">CV output </w:t>
      </w:r>
      <w:r w:rsidR="00321760" w:rsidRPr="00331EE5">
        <w:rPr>
          <w:rFonts w:ascii="Arial" w:hAnsi="Arial" w:cs="Arial"/>
          <w:sz w:val="20"/>
        </w:rPr>
        <w:t>fell by 3.6</w:t>
      </w:r>
      <w:r w:rsidR="0039040F" w:rsidRPr="00331EE5">
        <w:rPr>
          <w:rFonts w:ascii="Arial" w:hAnsi="Arial" w:cs="Arial"/>
          <w:sz w:val="20"/>
        </w:rPr>
        <w:t xml:space="preserve">% in </w:t>
      </w:r>
      <w:r w:rsidR="00B20D22" w:rsidRPr="00331EE5">
        <w:rPr>
          <w:rFonts w:ascii="Arial" w:hAnsi="Arial" w:cs="Arial"/>
          <w:sz w:val="20"/>
        </w:rPr>
        <w:t>the month</w:t>
      </w:r>
      <w:r w:rsidR="00321760" w:rsidRPr="00331EE5">
        <w:rPr>
          <w:rFonts w:ascii="Arial" w:hAnsi="Arial" w:cs="Arial"/>
          <w:sz w:val="20"/>
        </w:rPr>
        <w:t xml:space="preserve"> and </w:t>
      </w:r>
      <w:r w:rsidR="00B20D22" w:rsidRPr="00331EE5">
        <w:rPr>
          <w:rFonts w:ascii="Arial" w:hAnsi="Arial" w:cs="Arial"/>
          <w:sz w:val="20"/>
        </w:rPr>
        <w:t>5</w:t>
      </w:r>
      <w:r w:rsidR="00321760" w:rsidRPr="00331EE5">
        <w:rPr>
          <w:rFonts w:ascii="Arial" w:hAnsi="Arial" w:cs="Arial"/>
          <w:sz w:val="20"/>
        </w:rPr>
        <w:t>.9</w:t>
      </w:r>
      <w:r w:rsidR="0039040F" w:rsidRPr="00331EE5">
        <w:rPr>
          <w:rFonts w:ascii="Arial" w:hAnsi="Arial" w:cs="Arial"/>
          <w:sz w:val="20"/>
        </w:rPr>
        <w:t>%</w:t>
      </w:r>
      <w:r w:rsidRPr="00331EE5">
        <w:rPr>
          <w:rFonts w:ascii="Arial" w:hAnsi="Arial" w:cs="Arial"/>
          <w:sz w:val="20"/>
        </w:rPr>
        <w:t xml:space="preserve"> </w:t>
      </w:r>
      <w:r w:rsidR="0039040F" w:rsidRPr="00331EE5">
        <w:rPr>
          <w:rFonts w:ascii="Arial" w:hAnsi="Arial" w:cs="Arial"/>
          <w:sz w:val="20"/>
        </w:rPr>
        <w:t>over the f</w:t>
      </w:r>
      <w:r w:rsidRPr="00331EE5">
        <w:rPr>
          <w:rFonts w:ascii="Arial" w:hAnsi="Arial" w:cs="Arial"/>
          <w:sz w:val="20"/>
        </w:rPr>
        <w:t xml:space="preserve">irst </w:t>
      </w:r>
      <w:r w:rsidR="00C93079">
        <w:rPr>
          <w:rFonts w:ascii="Arial" w:hAnsi="Arial" w:cs="Arial"/>
          <w:sz w:val="20"/>
        </w:rPr>
        <w:t>11</w:t>
      </w:r>
      <w:r w:rsidRPr="00331EE5">
        <w:rPr>
          <w:rFonts w:ascii="Arial" w:hAnsi="Arial" w:cs="Arial"/>
          <w:sz w:val="20"/>
        </w:rPr>
        <w:t xml:space="preserve"> months</w:t>
      </w:r>
      <w:r w:rsidR="0039040F" w:rsidRPr="00331EE5">
        <w:rPr>
          <w:rFonts w:ascii="Arial" w:hAnsi="Arial" w:cs="Arial"/>
          <w:sz w:val="20"/>
        </w:rPr>
        <w:t xml:space="preserve"> of 2012</w:t>
      </w:r>
      <w:r w:rsidRPr="00331EE5">
        <w:rPr>
          <w:rFonts w:ascii="Arial" w:hAnsi="Arial" w:cs="Arial"/>
          <w:sz w:val="20"/>
        </w:rPr>
        <w:t>.</w:t>
      </w:r>
    </w:p>
    <w:p w:rsidR="00C078E2" w:rsidRPr="00331EE5" w:rsidRDefault="00C078E2" w:rsidP="00331EE5">
      <w:pPr>
        <w:numPr>
          <w:ilvl w:val="0"/>
          <w:numId w:val="1"/>
        </w:numPr>
        <w:spacing w:line="276" w:lineRule="auto"/>
        <w:rPr>
          <w:rFonts w:ascii="Arial" w:hAnsi="Arial" w:cs="Arial"/>
          <w:sz w:val="20"/>
        </w:rPr>
      </w:pPr>
      <w:r w:rsidRPr="00331EE5">
        <w:rPr>
          <w:rFonts w:ascii="Arial" w:hAnsi="Arial" w:cs="Arial"/>
          <w:sz w:val="20"/>
        </w:rPr>
        <w:t xml:space="preserve">UK engine production </w:t>
      </w:r>
      <w:r w:rsidR="00766FF6" w:rsidRPr="00331EE5">
        <w:rPr>
          <w:rFonts w:ascii="Arial" w:hAnsi="Arial" w:cs="Arial"/>
          <w:sz w:val="20"/>
        </w:rPr>
        <w:t xml:space="preserve">remained stable in November, down just 1.4% </w:t>
      </w:r>
      <w:r w:rsidR="00321760" w:rsidRPr="00331EE5">
        <w:rPr>
          <w:rFonts w:ascii="Arial" w:hAnsi="Arial" w:cs="Arial"/>
          <w:sz w:val="20"/>
        </w:rPr>
        <w:t xml:space="preserve">and 0.3% </w:t>
      </w:r>
      <w:r w:rsidR="00766FF6" w:rsidRPr="00331EE5">
        <w:rPr>
          <w:rFonts w:ascii="Arial" w:hAnsi="Arial" w:cs="Arial"/>
          <w:sz w:val="20"/>
        </w:rPr>
        <w:t>for</w:t>
      </w:r>
      <w:r w:rsidR="00AA635D" w:rsidRPr="00331EE5">
        <w:rPr>
          <w:rFonts w:ascii="Arial" w:hAnsi="Arial" w:cs="Arial"/>
          <w:sz w:val="20"/>
        </w:rPr>
        <w:t xml:space="preserve"> the </w:t>
      </w:r>
      <w:r w:rsidR="0039040F" w:rsidRPr="00331EE5">
        <w:rPr>
          <w:rFonts w:ascii="Arial" w:hAnsi="Arial" w:cs="Arial"/>
          <w:sz w:val="20"/>
        </w:rPr>
        <w:t>year-to-date</w:t>
      </w:r>
      <w:r w:rsidR="00321760" w:rsidRPr="00331EE5">
        <w:rPr>
          <w:rFonts w:ascii="Arial" w:hAnsi="Arial" w:cs="Arial"/>
          <w:sz w:val="20"/>
        </w:rPr>
        <w:t>.</w:t>
      </w:r>
    </w:p>
    <w:p w:rsidR="00C078E2" w:rsidRPr="00331EE5" w:rsidRDefault="00C078E2" w:rsidP="00331EE5">
      <w:pPr>
        <w:pStyle w:val="PlainText"/>
        <w:spacing w:line="276" w:lineRule="auto"/>
        <w:rPr>
          <w:rFonts w:eastAsia="Times" w:cs="Arial"/>
          <w:sz w:val="12"/>
          <w:szCs w:val="12"/>
          <w:lang w:eastAsia="en-GB"/>
        </w:rPr>
      </w:pPr>
    </w:p>
    <w:p w:rsidR="006661A8" w:rsidRDefault="006661A8" w:rsidP="006661A8">
      <w:pPr>
        <w:spacing w:line="276" w:lineRule="auto"/>
        <w:rPr>
          <w:rFonts w:ascii="Arial" w:hAnsi="Arial" w:cs="Arial"/>
          <w:sz w:val="20"/>
        </w:rPr>
      </w:pPr>
      <w:r>
        <w:rPr>
          <w:rFonts w:ascii="Arial" w:hAnsi="Arial" w:cs="Arial"/>
          <w:sz w:val="20"/>
        </w:rPr>
        <w:t>"UK car manufacturing has gone from strength to strength in 2012, growing almost 10% for the year and 5% in November," said Paul Everitt, SMMT Chief Executive. "The global appeal of UK-built products is a key factor in the strength of our manufacturing sector, supported by world leading productivity and a dedicated and flexible work</w:t>
      </w:r>
      <w:bookmarkStart w:id="0" w:name="_GoBack"/>
      <w:bookmarkEnd w:id="0"/>
      <w:r>
        <w:rPr>
          <w:rFonts w:ascii="Arial" w:hAnsi="Arial" w:cs="Arial"/>
          <w:sz w:val="20"/>
        </w:rPr>
        <w:t>force. This is good news, but there can be no room for complacency; the development of a long-term industrial strategy and consistent support by government is essential to secure future success and more opportunities for the UK-based supply chain."</w:t>
      </w:r>
    </w:p>
    <w:p w:rsidR="00C078E2" w:rsidRPr="00331EE5" w:rsidRDefault="00C078E2" w:rsidP="00C078E2">
      <w:pPr>
        <w:rPr>
          <w:rFonts w:ascii="Arial" w:hAnsi="Arial" w:cs="Arial"/>
          <w:sz w:val="20"/>
        </w:rPr>
      </w:pPr>
    </w:p>
    <w:tbl>
      <w:tblPr>
        <w:tblW w:w="9256" w:type="dxa"/>
        <w:tblBorders>
          <w:left w:val="single" w:sz="4" w:space="0" w:color="548DD4" w:themeColor="text2" w:themeTint="99"/>
          <w:right w:val="single" w:sz="4" w:space="0" w:color="548DD4" w:themeColor="text2" w:themeTint="99"/>
          <w:insideV w:val="single" w:sz="4" w:space="0" w:color="548DD4" w:themeColor="text2" w:themeTint="99"/>
        </w:tblBorders>
        <w:tblLook w:val="04A0"/>
      </w:tblPr>
      <w:tblGrid>
        <w:gridCol w:w="1017"/>
        <w:gridCol w:w="867"/>
        <w:gridCol w:w="1288"/>
        <w:gridCol w:w="1032"/>
        <w:gridCol w:w="1284"/>
        <w:gridCol w:w="867"/>
        <w:gridCol w:w="1017"/>
        <w:gridCol w:w="867"/>
        <w:gridCol w:w="1017"/>
      </w:tblGrid>
      <w:tr w:rsidR="00C078E2" w:rsidRPr="00307829" w:rsidTr="000641AB">
        <w:trPr>
          <w:trHeight w:val="288"/>
        </w:trPr>
        <w:tc>
          <w:tcPr>
            <w:tcW w:w="0" w:type="auto"/>
            <w:tcBorders>
              <w:left w:val="nil"/>
            </w:tcBorders>
            <w:shd w:val="clear" w:color="auto" w:fill="auto"/>
            <w:noWrap/>
            <w:hideMark/>
          </w:tcPr>
          <w:p w:rsidR="00C078E2" w:rsidRPr="00BE2914" w:rsidRDefault="00C078E2" w:rsidP="000641AB">
            <w:pPr>
              <w:rPr>
                <w:rFonts w:ascii="Arial" w:hAnsi="Arial" w:cs="Arial"/>
                <w:b/>
                <w:bCs/>
                <w:color w:val="1074CB"/>
                <w:sz w:val="18"/>
                <w:szCs w:val="18"/>
              </w:rPr>
            </w:pPr>
            <w:r>
              <w:rPr>
                <w:rFonts w:ascii="Arial" w:hAnsi="Arial" w:cs="Arial"/>
                <w:b/>
                <w:bCs/>
                <w:color w:val="1074CB"/>
                <w:sz w:val="18"/>
                <w:szCs w:val="18"/>
              </w:rPr>
              <w:t>SMMT</w:t>
            </w:r>
          </w:p>
        </w:tc>
        <w:tc>
          <w:tcPr>
            <w:tcW w:w="2155" w:type="dxa"/>
            <w:gridSpan w:val="2"/>
            <w:shd w:val="clear" w:color="auto" w:fill="auto"/>
            <w:noWrap/>
            <w:hideMark/>
          </w:tcPr>
          <w:p w:rsidR="00C078E2" w:rsidRPr="00BE2914" w:rsidRDefault="00C078E2" w:rsidP="000641AB">
            <w:pPr>
              <w:jc w:val="center"/>
              <w:rPr>
                <w:rFonts w:ascii="Arial" w:hAnsi="Arial" w:cs="Arial"/>
                <w:b/>
                <w:bCs/>
                <w:color w:val="1074CB"/>
                <w:sz w:val="18"/>
                <w:szCs w:val="18"/>
              </w:rPr>
            </w:pPr>
            <w:r w:rsidRPr="00BE2914">
              <w:rPr>
                <w:rFonts w:ascii="Arial" w:hAnsi="Arial" w:cs="Arial"/>
                <w:b/>
                <w:bCs/>
                <w:color w:val="1074CB"/>
                <w:sz w:val="18"/>
                <w:szCs w:val="18"/>
              </w:rPr>
              <w:t>Cars</w:t>
            </w:r>
          </w:p>
        </w:tc>
        <w:tc>
          <w:tcPr>
            <w:tcW w:w="2316" w:type="dxa"/>
            <w:gridSpan w:val="2"/>
            <w:shd w:val="clear" w:color="auto" w:fill="auto"/>
            <w:noWrap/>
            <w:hideMark/>
          </w:tcPr>
          <w:p w:rsidR="00C078E2" w:rsidRPr="00BE2914" w:rsidRDefault="00C078E2" w:rsidP="000641AB">
            <w:pPr>
              <w:jc w:val="center"/>
              <w:rPr>
                <w:rFonts w:ascii="Arial" w:hAnsi="Arial" w:cs="Arial"/>
                <w:b/>
                <w:bCs/>
                <w:color w:val="1074CB"/>
                <w:sz w:val="18"/>
                <w:szCs w:val="18"/>
              </w:rPr>
            </w:pPr>
            <w:r w:rsidRPr="00BE2914">
              <w:rPr>
                <w:rFonts w:ascii="Arial" w:hAnsi="Arial" w:cs="Arial"/>
                <w:b/>
                <w:bCs/>
                <w:color w:val="1074CB"/>
                <w:sz w:val="18"/>
                <w:szCs w:val="18"/>
              </w:rPr>
              <w:t>Commercial Vehicles</w:t>
            </w:r>
          </w:p>
        </w:tc>
        <w:tc>
          <w:tcPr>
            <w:tcW w:w="0" w:type="auto"/>
            <w:gridSpan w:val="2"/>
            <w:shd w:val="clear" w:color="auto" w:fill="auto"/>
            <w:noWrap/>
            <w:hideMark/>
          </w:tcPr>
          <w:p w:rsidR="00C078E2" w:rsidRPr="00BE2914" w:rsidRDefault="00C078E2" w:rsidP="000641AB">
            <w:pPr>
              <w:jc w:val="center"/>
              <w:rPr>
                <w:rFonts w:ascii="Arial" w:hAnsi="Arial" w:cs="Arial"/>
                <w:b/>
                <w:bCs/>
                <w:color w:val="1074CB"/>
                <w:sz w:val="18"/>
                <w:szCs w:val="18"/>
              </w:rPr>
            </w:pPr>
            <w:r w:rsidRPr="00BE2914">
              <w:rPr>
                <w:rFonts w:ascii="Arial" w:hAnsi="Arial" w:cs="Arial"/>
                <w:b/>
                <w:bCs/>
                <w:color w:val="1074CB"/>
                <w:sz w:val="18"/>
                <w:szCs w:val="18"/>
              </w:rPr>
              <w:t>Total Vehicles</w:t>
            </w:r>
          </w:p>
        </w:tc>
        <w:tc>
          <w:tcPr>
            <w:tcW w:w="1884" w:type="dxa"/>
            <w:gridSpan w:val="2"/>
            <w:tcBorders>
              <w:right w:val="nil"/>
            </w:tcBorders>
            <w:shd w:val="clear" w:color="auto" w:fill="auto"/>
          </w:tcPr>
          <w:p w:rsidR="00C078E2" w:rsidRPr="00BE2914" w:rsidRDefault="00C078E2" w:rsidP="000641AB">
            <w:pPr>
              <w:jc w:val="center"/>
              <w:rPr>
                <w:rFonts w:ascii="Arial" w:hAnsi="Arial" w:cs="Arial"/>
                <w:b/>
                <w:bCs/>
                <w:color w:val="1074CB"/>
                <w:sz w:val="18"/>
                <w:szCs w:val="18"/>
              </w:rPr>
            </w:pPr>
            <w:r w:rsidRPr="00BE2914">
              <w:rPr>
                <w:rFonts w:ascii="Arial" w:hAnsi="Arial" w:cs="Arial"/>
                <w:b/>
                <w:bCs/>
                <w:color w:val="1074CB"/>
                <w:sz w:val="18"/>
                <w:szCs w:val="18"/>
              </w:rPr>
              <w:t>Total Engines</w:t>
            </w:r>
          </w:p>
        </w:tc>
      </w:tr>
      <w:tr w:rsidR="00BD092A" w:rsidRPr="00307829" w:rsidTr="000641AB">
        <w:trPr>
          <w:trHeight w:val="288"/>
        </w:trPr>
        <w:tc>
          <w:tcPr>
            <w:tcW w:w="0" w:type="auto"/>
            <w:tcBorders>
              <w:left w:val="nil"/>
            </w:tcBorders>
            <w:shd w:val="clear" w:color="auto" w:fill="auto"/>
            <w:noWrap/>
            <w:hideMark/>
          </w:tcPr>
          <w:p w:rsidR="00BD092A" w:rsidRPr="00BE2914" w:rsidRDefault="00BD092A" w:rsidP="000641AB">
            <w:pPr>
              <w:rPr>
                <w:rFonts w:ascii="Arial" w:hAnsi="Arial" w:cs="Arial"/>
                <w:b/>
                <w:bCs/>
                <w:color w:val="1074CB"/>
                <w:sz w:val="18"/>
                <w:szCs w:val="18"/>
              </w:rPr>
            </w:pPr>
            <w:r>
              <w:rPr>
                <w:rFonts w:ascii="Arial" w:hAnsi="Arial" w:cs="Arial"/>
                <w:b/>
                <w:bCs/>
                <w:color w:val="1074CB"/>
                <w:sz w:val="18"/>
                <w:szCs w:val="18"/>
              </w:rPr>
              <w:t>Data.</w:t>
            </w:r>
          </w:p>
        </w:tc>
        <w:tc>
          <w:tcPr>
            <w:tcW w:w="0" w:type="auto"/>
            <w:tcBorders>
              <w:righ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Nov-12</w:t>
            </w:r>
          </w:p>
        </w:tc>
        <w:tc>
          <w:tcPr>
            <w:tcW w:w="1288" w:type="dxa"/>
            <w:tcBorders>
              <w:lef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YTD-12</w:t>
            </w:r>
          </w:p>
        </w:tc>
        <w:tc>
          <w:tcPr>
            <w:tcW w:w="1032" w:type="dxa"/>
            <w:tcBorders>
              <w:righ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Nov-12</w:t>
            </w:r>
          </w:p>
        </w:tc>
        <w:tc>
          <w:tcPr>
            <w:tcW w:w="1284" w:type="dxa"/>
            <w:tcBorders>
              <w:lef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YTD-12</w:t>
            </w:r>
          </w:p>
        </w:tc>
        <w:tc>
          <w:tcPr>
            <w:tcW w:w="0" w:type="auto"/>
            <w:tcBorders>
              <w:righ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Nov-12</w:t>
            </w:r>
          </w:p>
        </w:tc>
        <w:tc>
          <w:tcPr>
            <w:tcW w:w="0" w:type="auto"/>
            <w:tcBorders>
              <w:lef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YTD-12</w:t>
            </w:r>
          </w:p>
        </w:tc>
        <w:tc>
          <w:tcPr>
            <w:tcW w:w="867" w:type="dxa"/>
            <w:tcBorders>
              <w:right w:val="nil"/>
            </w:tcBorders>
            <w:shd w:val="clear" w:color="auto" w:fill="auto"/>
            <w:vAlign w:val="center"/>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Nov-12</w:t>
            </w:r>
          </w:p>
        </w:tc>
        <w:tc>
          <w:tcPr>
            <w:tcW w:w="1017" w:type="dxa"/>
            <w:tcBorders>
              <w:left w:val="nil"/>
              <w:right w:val="nil"/>
            </w:tcBorders>
            <w:shd w:val="clear" w:color="auto" w:fill="auto"/>
            <w:vAlign w:val="center"/>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YTD-12</w:t>
            </w:r>
          </w:p>
        </w:tc>
      </w:tr>
      <w:tr w:rsidR="00BD092A" w:rsidRPr="002C57DA" w:rsidTr="000641AB">
        <w:trPr>
          <w:trHeight w:val="288"/>
        </w:trPr>
        <w:tc>
          <w:tcPr>
            <w:tcW w:w="0" w:type="auto"/>
            <w:tcBorders>
              <w:left w:val="nil"/>
            </w:tcBorders>
            <w:shd w:val="clear" w:color="auto" w:fill="auto"/>
            <w:noWrap/>
            <w:vAlign w:val="center"/>
            <w:hideMark/>
          </w:tcPr>
          <w:p w:rsidR="00BD092A" w:rsidRPr="002C57DA" w:rsidRDefault="00BD092A" w:rsidP="000641AB">
            <w:pPr>
              <w:jc w:val="right"/>
              <w:rPr>
                <w:rFonts w:ascii="Arial" w:hAnsi="Arial" w:cs="Arial"/>
                <w:bCs/>
                <w:color w:val="1074CB"/>
                <w:sz w:val="18"/>
                <w:szCs w:val="18"/>
              </w:rPr>
            </w:pPr>
            <w:r w:rsidRPr="002C57DA">
              <w:rPr>
                <w:rFonts w:ascii="Arial" w:hAnsi="Arial" w:cs="Arial"/>
                <w:bCs/>
                <w:color w:val="1074CB"/>
                <w:sz w:val="18"/>
                <w:szCs w:val="18"/>
              </w:rPr>
              <w:t>Total</w:t>
            </w:r>
          </w:p>
        </w:tc>
        <w:tc>
          <w:tcPr>
            <w:tcW w:w="0" w:type="auto"/>
            <w:tcBorders>
              <w:righ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142,825</w:t>
            </w:r>
          </w:p>
        </w:tc>
        <w:tc>
          <w:tcPr>
            <w:tcW w:w="1288" w:type="dxa"/>
            <w:tcBorders>
              <w:lef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1,363,129</w:t>
            </w:r>
          </w:p>
        </w:tc>
        <w:tc>
          <w:tcPr>
            <w:tcW w:w="1032" w:type="dxa"/>
            <w:tcBorders>
              <w:righ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10,974</w:t>
            </w:r>
          </w:p>
        </w:tc>
        <w:tc>
          <w:tcPr>
            <w:tcW w:w="1284" w:type="dxa"/>
            <w:tcBorders>
              <w:lef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105,188</w:t>
            </w:r>
          </w:p>
        </w:tc>
        <w:tc>
          <w:tcPr>
            <w:tcW w:w="0" w:type="auto"/>
            <w:tcBorders>
              <w:righ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153,799</w:t>
            </w:r>
          </w:p>
        </w:tc>
        <w:tc>
          <w:tcPr>
            <w:tcW w:w="0" w:type="auto"/>
            <w:tcBorders>
              <w:lef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1,468,317</w:t>
            </w:r>
          </w:p>
        </w:tc>
        <w:tc>
          <w:tcPr>
            <w:tcW w:w="867" w:type="dxa"/>
            <w:tcBorders>
              <w:right w:val="nil"/>
            </w:tcBorders>
            <w:shd w:val="clear" w:color="auto" w:fill="auto"/>
            <w:vAlign w:val="center"/>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223,853</w:t>
            </w:r>
          </w:p>
        </w:tc>
        <w:tc>
          <w:tcPr>
            <w:tcW w:w="1017" w:type="dxa"/>
            <w:tcBorders>
              <w:left w:val="nil"/>
              <w:right w:val="nil"/>
            </w:tcBorders>
            <w:shd w:val="clear" w:color="auto" w:fill="auto"/>
            <w:vAlign w:val="center"/>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2,345,167</w:t>
            </w:r>
          </w:p>
        </w:tc>
      </w:tr>
      <w:tr w:rsidR="00BD092A" w:rsidRPr="00307829" w:rsidTr="000641AB">
        <w:trPr>
          <w:trHeight w:val="288"/>
        </w:trPr>
        <w:tc>
          <w:tcPr>
            <w:tcW w:w="0" w:type="auto"/>
            <w:tcBorders>
              <w:left w:val="nil"/>
            </w:tcBorders>
            <w:shd w:val="clear" w:color="auto" w:fill="auto"/>
            <w:noWrap/>
            <w:vAlign w:val="center"/>
            <w:hideMark/>
          </w:tcPr>
          <w:p w:rsidR="00BD092A" w:rsidRPr="00BE2914" w:rsidRDefault="00BD092A" w:rsidP="000641AB">
            <w:pPr>
              <w:jc w:val="right"/>
              <w:rPr>
                <w:rFonts w:ascii="Arial" w:hAnsi="Arial" w:cs="Arial"/>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4.9%</w:t>
            </w:r>
          </w:p>
        </w:tc>
        <w:tc>
          <w:tcPr>
            <w:tcW w:w="1288" w:type="dxa"/>
            <w:tcBorders>
              <w:lef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9.2%</w:t>
            </w:r>
          </w:p>
        </w:tc>
        <w:tc>
          <w:tcPr>
            <w:tcW w:w="1032" w:type="dxa"/>
            <w:tcBorders>
              <w:righ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-3.6%</w:t>
            </w:r>
          </w:p>
        </w:tc>
        <w:tc>
          <w:tcPr>
            <w:tcW w:w="1284" w:type="dxa"/>
            <w:tcBorders>
              <w:lef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-5.9%</w:t>
            </w:r>
          </w:p>
        </w:tc>
        <w:tc>
          <w:tcPr>
            <w:tcW w:w="0" w:type="auto"/>
            <w:tcBorders>
              <w:righ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4.3%</w:t>
            </w:r>
          </w:p>
        </w:tc>
        <w:tc>
          <w:tcPr>
            <w:tcW w:w="0" w:type="auto"/>
            <w:tcBorders>
              <w:lef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8.0%</w:t>
            </w:r>
          </w:p>
        </w:tc>
        <w:tc>
          <w:tcPr>
            <w:tcW w:w="867" w:type="dxa"/>
            <w:tcBorders>
              <w:right w:val="nil"/>
            </w:tcBorders>
            <w:shd w:val="clear" w:color="auto" w:fill="auto"/>
            <w:vAlign w:val="center"/>
          </w:tcPr>
          <w:p w:rsidR="00BD092A" w:rsidRDefault="00BD092A" w:rsidP="000641AB">
            <w:pPr>
              <w:jc w:val="right"/>
              <w:rPr>
                <w:rFonts w:ascii="Arial" w:hAnsi="Arial" w:cs="Arial"/>
                <w:color w:val="0070C0"/>
                <w:sz w:val="18"/>
                <w:szCs w:val="18"/>
              </w:rPr>
            </w:pPr>
            <w:r>
              <w:rPr>
                <w:rFonts w:ascii="Arial" w:hAnsi="Arial" w:cs="Arial"/>
                <w:color w:val="0070C0"/>
                <w:sz w:val="18"/>
                <w:szCs w:val="18"/>
              </w:rPr>
              <w:t>-1.4%</w:t>
            </w:r>
          </w:p>
        </w:tc>
        <w:tc>
          <w:tcPr>
            <w:tcW w:w="1017" w:type="dxa"/>
            <w:tcBorders>
              <w:left w:val="nil"/>
              <w:right w:val="nil"/>
            </w:tcBorders>
            <w:shd w:val="clear" w:color="auto" w:fill="auto"/>
            <w:vAlign w:val="center"/>
          </w:tcPr>
          <w:p w:rsidR="00BD092A" w:rsidRDefault="00BD092A" w:rsidP="000641AB">
            <w:pPr>
              <w:jc w:val="right"/>
              <w:rPr>
                <w:rFonts w:ascii="Arial" w:hAnsi="Arial" w:cs="Arial"/>
                <w:color w:val="0070C0"/>
                <w:sz w:val="18"/>
                <w:szCs w:val="18"/>
              </w:rPr>
            </w:pPr>
            <w:r>
              <w:rPr>
                <w:rFonts w:ascii="Arial" w:hAnsi="Arial" w:cs="Arial"/>
                <w:color w:val="0070C0"/>
                <w:sz w:val="18"/>
                <w:szCs w:val="18"/>
              </w:rPr>
              <w:t>-0.3%</w:t>
            </w:r>
          </w:p>
        </w:tc>
      </w:tr>
      <w:tr w:rsidR="00BD092A" w:rsidRPr="00307829" w:rsidTr="000641AB">
        <w:trPr>
          <w:trHeight w:val="288"/>
        </w:trPr>
        <w:tc>
          <w:tcPr>
            <w:tcW w:w="0" w:type="auto"/>
            <w:tcBorders>
              <w:left w:val="nil"/>
            </w:tcBorders>
            <w:shd w:val="clear" w:color="auto" w:fill="auto"/>
            <w:noWrap/>
            <w:vAlign w:val="center"/>
            <w:hideMark/>
          </w:tcPr>
          <w:p w:rsidR="00BD092A" w:rsidRPr="00BE2914" w:rsidRDefault="00BD092A" w:rsidP="000641AB">
            <w:pPr>
              <w:jc w:val="right"/>
              <w:rPr>
                <w:rFonts w:ascii="Arial" w:hAnsi="Arial" w:cs="Arial"/>
                <w:b/>
                <w:bCs/>
                <w:color w:val="1074CB"/>
                <w:sz w:val="18"/>
                <w:szCs w:val="18"/>
              </w:rPr>
            </w:pPr>
            <w:r w:rsidRPr="00BE2914">
              <w:rPr>
                <w:rFonts w:ascii="Arial" w:hAnsi="Arial" w:cs="Arial"/>
                <w:b/>
                <w:bCs/>
                <w:color w:val="1074CB"/>
                <w:sz w:val="18"/>
                <w:szCs w:val="18"/>
              </w:rPr>
              <w:t>Export</w:t>
            </w:r>
          </w:p>
        </w:tc>
        <w:tc>
          <w:tcPr>
            <w:tcW w:w="0" w:type="auto"/>
            <w:tcBorders>
              <w:righ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121,303</w:t>
            </w:r>
          </w:p>
        </w:tc>
        <w:tc>
          <w:tcPr>
            <w:tcW w:w="1288" w:type="dxa"/>
            <w:tcBorders>
              <w:lef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1,127,045</w:t>
            </w:r>
          </w:p>
        </w:tc>
        <w:tc>
          <w:tcPr>
            <w:tcW w:w="1032" w:type="dxa"/>
            <w:tcBorders>
              <w:righ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5,631</w:t>
            </w:r>
          </w:p>
        </w:tc>
        <w:tc>
          <w:tcPr>
            <w:tcW w:w="1284" w:type="dxa"/>
            <w:tcBorders>
              <w:lef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60,183</w:t>
            </w:r>
          </w:p>
        </w:tc>
        <w:tc>
          <w:tcPr>
            <w:tcW w:w="0" w:type="auto"/>
            <w:tcBorders>
              <w:righ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126,934</w:t>
            </w:r>
          </w:p>
        </w:tc>
        <w:tc>
          <w:tcPr>
            <w:tcW w:w="0" w:type="auto"/>
            <w:tcBorders>
              <w:lef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1,187,228</w:t>
            </w:r>
          </w:p>
        </w:tc>
        <w:tc>
          <w:tcPr>
            <w:tcW w:w="867" w:type="dxa"/>
            <w:tcBorders>
              <w:right w:val="nil"/>
            </w:tcBorders>
            <w:shd w:val="clear" w:color="auto" w:fill="auto"/>
            <w:vAlign w:val="center"/>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132,473</w:t>
            </w:r>
          </w:p>
        </w:tc>
        <w:tc>
          <w:tcPr>
            <w:tcW w:w="1017" w:type="dxa"/>
            <w:tcBorders>
              <w:left w:val="nil"/>
              <w:right w:val="nil"/>
            </w:tcBorders>
            <w:shd w:val="clear" w:color="auto" w:fill="auto"/>
            <w:vAlign w:val="center"/>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1,457,275</w:t>
            </w:r>
          </w:p>
        </w:tc>
      </w:tr>
      <w:tr w:rsidR="00BD092A" w:rsidRPr="00307829" w:rsidTr="000641AB">
        <w:trPr>
          <w:trHeight w:val="288"/>
        </w:trPr>
        <w:tc>
          <w:tcPr>
            <w:tcW w:w="0" w:type="auto"/>
            <w:tcBorders>
              <w:left w:val="nil"/>
            </w:tcBorders>
            <w:shd w:val="clear" w:color="auto" w:fill="auto"/>
            <w:noWrap/>
            <w:vAlign w:val="center"/>
            <w:hideMark/>
          </w:tcPr>
          <w:p w:rsidR="00BD092A" w:rsidRPr="00BE2914" w:rsidRDefault="00BD092A" w:rsidP="000641AB">
            <w:pPr>
              <w:jc w:val="right"/>
              <w:rPr>
                <w:rFonts w:ascii="Arial" w:hAnsi="Arial" w:cs="Arial"/>
                <w:b/>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1.2%</w:t>
            </w:r>
          </w:p>
        </w:tc>
        <w:tc>
          <w:tcPr>
            <w:tcW w:w="1288" w:type="dxa"/>
            <w:tcBorders>
              <w:lef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8.0%</w:t>
            </w:r>
          </w:p>
        </w:tc>
        <w:tc>
          <w:tcPr>
            <w:tcW w:w="1032" w:type="dxa"/>
            <w:tcBorders>
              <w:righ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-8.8%</w:t>
            </w:r>
          </w:p>
        </w:tc>
        <w:tc>
          <w:tcPr>
            <w:tcW w:w="1284" w:type="dxa"/>
            <w:tcBorders>
              <w:lef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-6.7%</w:t>
            </w:r>
          </w:p>
        </w:tc>
        <w:tc>
          <w:tcPr>
            <w:tcW w:w="0" w:type="auto"/>
            <w:tcBorders>
              <w:righ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0.7%</w:t>
            </w:r>
          </w:p>
        </w:tc>
        <w:tc>
          <w:tcPr>
            <w:tcW w:w="0" w:type="auto"/>
            <w:tcBorders>
              <w:lef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7.2%</w:t>
            </w:r>
          </w:p>
        </w:tc>
        <w:tc>
          <w:tcPr>
            <w:tcW w:w="867" w:type="dxa"/>
            <w:tcBorders>
              <w:right w:val="nil"/>
            </w:tcBorders>
            <w:shd w:val="clear" w:color="auto" w:fill="auto"/>
            <w:vAlign w:val="center"/>
          </w:tcPr>
          <w:p w:rsidR="00BD092A" w:rsidRDefault="00BD092A" w:rsidP="000641AB">
            <w:pPr>
              <w:jc w:val="right"/>
              <w:rPr>
                <w:rFonts w:ascii="Arial" w:hAnsi="Arial" w:cs="Arial"/>
                <w:color w:val="0070C0"/>
                <w:sz w:val="18"/>
                <w:szCs w:val="18"/>
              </w:rPr>
            </w:pPr>
            <w:r>
              <w:rPr>
                <w:rFonts w:ascii="Arial" w:hAnsi="Arial" w:cs="Arial"/>
                <w:color w:val="0070C0"/>
                <w:sz w:val="18"/>
                <w:szCs w:val="18"/>
              </w:rPr>
              <w:t>-8.8%</w:t>
            </w:r>
          </w:p>
        </w:tc>
        <w:tc>
          <w:tcPr>
            <w:tcW w:w="1017" w:type="dxa"/>
            <w:tcBorders>
              <w:left w:val="nil"/>
              <w:right w:val="nil"/>
            </w:tcBorders>
            <w:shd w:val="clear" w:color="auto" w:fill="auto"/>
            <w:vAlign w:val="center"/>
          </w:tcPr>
          <w:p w:rsidR="00BD092A" w:rsidRDefault="00BD092A" w:rsidP="000641AB">
            <w:pPr>
              <w:jc w:val="right"/>
              <w:rPr>
                <w:rFonts w:ascii="Arial" w:hAnsi="Arial" w:cs="Arial"/>
                <w:color w:val="0070C0"/>
                <w:sz w:val="18"/>
                <w:szCs w:val="18"/>
              </w:rPr>
            </w:pPr>
            <w:r>
              <w:rPr>
                <w:rFonts w:ascii="Arial" w:hAnsi="Arial" w:cs="Arial"/>
                <w:color w:val="0070C0"/>
                <w:sz w:val="18"/>
                <w:szCs w:val="18"/>
              </w:rPr>
              <w:t>-12.2%</w:t>
            </w:r>
          </w:p>
        </w:tc>
      </w:tr>
      <w:tr w:rsidR="00BD092A" w:rsidRPr="00307829" w:rsidTr="000641AB">
        <w:trPr>
          <w:trHeight w:val="288"/>
        </w:trPr>
        <w:tc>
          <w:tcPr>
            <w:tcW w:w="0" w:type="auto"/>
            <w:tcBorders>
              <w:left w:val="nil"/>
            </w:tcBorders>
            <w:shd w:val="clear" w:color="auto" w:fill="auto"/>
            <w:noWrap/>
            <w:vAlign w:val="center"/>
            <w:hideMark/>
          </w:tcPr>
          <w:p w:rsidR="00BD092A" w:rsidRPr="00BE2914" w:rsidRDefault="00BD092A" w:rsidP="000641AB">
            <w:pPr>
              <w:jc w:val="right"/>
              <w:rPr>
                <w:rFonts w:ascii="Arial" w:hAnsi="Arial" w:cs="Arial"/>
                <w:color w:val="1074CB"/>
                <w:sz w:val="18"/>
                <w:szCs w:val="18"/>
              </w:rPr>
            </w:pPr>
            <w:r w:rsidRPr="00BE2914">
              <w:rPr>
                <w:rFonts w:ascii="Arial" w:hAnsi="Arial" w:cs="Arial"/>
                <w:color w:val="1074CB"/>
                <w:sz w:val="18"/>
                <w:szCs w:val="18"/>
              </w:rPr>
              <w:t>% of total</w:t>
            </w:r>
          </w:p>
        </w:tc>
        <w:tc>
          <w:tcPr>
            <w:tcW w:w="0" w:type="auto"/>
            <w:tcBorders>
              <w:right w:val="nil"/>
            </w:tcBorders>
            <w:shd w:val="clear" w:color="auto" w:fill="auto"/>
            <w:noWrap/>
            <w:vAlign w:val="center"/>
            <w:hideMark/>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84.9%</w:t>
            </w:r>
          </w:p>
        </w:tc>
        <w:tc>
          <w:tcPr>
            <w:tcW w:w="1288" w:type="dxa"/>
            <w:tcBorders>
              <w:left w:val="nil"/>
            </w:tcBorders>
            <w:shd w:val="clear" w:color="auto" w:fill="auto"/>
            <w:noWrap/>
            <w:vAlign w:val="center"/>
            <w:hideMark/>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82.7%</w:t>
            </w:r>
          </w:p>
        </w:tc>
        <w:tc>
          <w:tcPr>
            <w:tcW w:w="1032" w:type="dxa"/>
            <w:tcBorders>
              <w:right w:val="nil"/>
            </w:tcBorders>
            <w:shd w:val="clear" w:color="auto" w:fill="auto"/>
            <w:noWrap/>
            <w:vAlign w:val="center"/>
            <w:hideMark/>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51.3%</w:t>
            </w:r>
          </w:p>
        </w:tc>
        <w:tc>
          <w:tcPr>
            <w:tcW w:w="1284" w:type="dxa"/>
            <w:tcBorders>
              <w:left w:val="nil"/>
            </w:tcBorders>
            <w:shd w:val="clear" w:color="auto" w:fill="auto"/>
            <w:noWrap/>
            <w:vAlign w:val="center"/>
            <w:hideMark/>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57.2%</w:t>
            </w:r>
          </w:p>
        </w:tc>
        <w:tc>
          <w:tcPr>
            <w:tcW w:w="0" w:type="auto"/>
            <w:tcBorders>
              <w:right w:val="nil"/>
            </w:tcBorders>
            <w:shd w:val="clear" w:color="auto" w:fill="auto"/>
            <w:noWrap/>
            <w:vAlign w:val="center"/>
            <w:hideMark/>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82.5%</w:t>
            </w:r>
          </w:p>
        </w:tc>
        <w:tc>
          <w:tcPr>
            <w:tcW w:w="0" w:type="auto"/>
            <w:tcBorders>
              <w:left w:val="nil"/>
            </w:tcBorders>
            <w:shd w:val="clear" w:color="auto" w:fill="auto"/>
            <w:noWrap/>
            <w:vAlign w:val="center"/>
            <w:hideMark/>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80.9%</w:t>
            </w:r>
          </w:p>
        </w:tc>
        <w:tc>
          <w:tcPr>
            <w:tcW w:w="867" w:type="dxa"/>
            <w:tcBorders>
              <w:right w:val="nil"/>
            </w:tcBorders>
            <w:shd w:val="clear" w:color="auto" w:fill="auto"/>
            <w:vAlign w:val="center"/>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59.2%</w:t>
            </w:r>
          </w:p>
        </w:tc>
        <w:tc>
          <w:tcPr>
            <w:tcW w:w="1017" w:type="dxa"/>
            <w:tcBorders>
              <w:left w:val="nil"/>
              <w:right w:val="nil"/>
            </w:tcBorders>
            <w:shd w:val="clear" w:color="auto" w:fill="auto"/>
            <w:vAlign w:val="center"/>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62.1%</w:t>
            </w:r>
          </w:p>
        </w:tc>
      </w:tr>
      <w:tr w:rsidR="00BD092A" w:rsidRPr="00307829" w:rsidTr="000641AB">
        <w:trPr>
          <w:trHeight w:val="288"/>
        </w:trPr>
        <w:tc>
          <w:tcPr>
            <w:tcW w:w="0" w:type="auto"/>
            <w:tcBorders>
              <w:left w:val="nil"/>
            </w:tcBorders>
            <w:shd w:val="clear" w:color="auto" w:fill="auto"/>
            <w:noWrap/>
            <w:vAlign w:val="center"/>
            <w:hideMark/>
          </w:tcPr>
          <w:p w:rsidR="00BD092A" w:rsidRPr="00BE2914" w:rsidRDefault="00BD092A" w:rsidP="000641AB">
            <w:pPr>
              <w:jc w:val="right"/>
              <w:rPr>
                <w:rFonts w:ascii="Arial" w:hAnsi="Arial" w:cs="Arial"/>
                <w:b/>
                <w:bCs/>
                <w:color w:val="1074CB"/>
                <w:sz w:val="18"/>
                <w:szCs w:val="18"/>
              </w:rPr>
            </w:pPr>
            <w:r w:rsidRPr="00BE2914">
              <w:rPr>
                <w:rFonts w:ascii="Arial" w:hAnsi="Arial" w:cs="Arial"/>
                <w:b/>
                <w:bCs/>
                <w:color w:val="1074CB"/>
                <w:sz w:val="18"/>
                <w:szCs w:val="18"/>
              </w:rPr>
              <w:t>Home</w:t>
            </w:r>
          </w:p>
        </w:tc>
        <w:tc>
          <w:tcPr>
            <w:tcW w:w="0" w:type="auto"/>
            <w:tcBorders>
              <w:righ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21,522</w:t>
            </w:r>
          </w:p>
        </w:tc>
        <w:tc>
          <w:tcPr>
            <w:tcW w:w="1288" w:type="dxa"/>
            <w:tcBorders>
              <w:lef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236,084</w:t>
            </w:r>
          </w:p>
        </w:tc>
        <w:tc>
          <w:tcPr>
            <w:tcW w:w="1032" w:type="dxa"/>
            <w:tcBorders>
              <w:righ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5,343</w:t>
            </w:r>
          </w:p>
        </w:tc>
        <w:tc>
          <w:tcPr>
            <w:tcW w:w="1284" w:type="dxa"/>
            <w:tcBorders>
              <w:lef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45,005</w:t>
            </w:r>
          </w:p>
        </w:tc>
        <w:tc>
          <w:tcPr>
            <w:tcW w:w="0" w:type="auto"/>
            <w:tcBorders>
              <w:righ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26,865</w:t>
            </w:r>
          </w:p>
        </w:tc>
        <w:tc>
          <w:tcPr>
            <w:tcW w:w="0" w:type="auto"/>
            <w:tcBorders>
              <w:left w:val="nil"/>
            </w:tcBorders>
            <w:shd w:val="clear" w:color="auto" w:fill="auto"/>
            <w:noWrap/>
            <w:vAlign w:val="center"/>
            <w:hideMark/>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281,089</w:t>
            </w:r>
          </w:p>
        </w:tc>
        <w:tc>
          <w:tcPr>
            <w:tcW w:w="867" w:type="dxa"/>
            <w:tcBorders>
              <w:right w:val="nil"/>
            </w:tcBorders>
            <w:shd w:val="clear" w:color="auto" w:fill="auto"/>
            <w:vAlign w:val="center"/>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91,380</w:t>
            </w:r>
          </w:p>
        </w:tc>
        <w:tc>
          <w:tcPr>
            <w:tcW w:w="1017" w:type="dxa"/>
            <w:tcBorders>
              <w:left w:val="nil"/>
              <w:right w:val="nil"/>
            </w:tcBorders>
            <w:shd w:val="clear" w:color="auto" w:fill="auto"/>
            <w:vAlign w:val="center"/>
          </w:tcPr>
          <w:p w:rsidR="00BD092A" w:rsidRDefault="00BD092A" w:rsidP="000641AB">
            <w:pPr>
              <w:jc w:val="right"/>
              <w:rPr>
                <w:rFonts w:ascii="Arial" w:hAnsi="Arial" w:cs="Arial"/>
                <w:b/>
                <w:bCs/>
                <w:color w:val="0070C0"/>
                <w:sz w:val="18"/>
                <w:szCs w:val="18"/>
              </w:rPr>
            </w:pPr>
            <w:r>
              <w:rPr>
                <w:rFonts w:ascii="Arial" w:hAnsi="Arial" w:cs="Arial"/>
                <w:b/>
                <w:bCs/>
                <w:color w:val="0070C0"/>
                <w:sz w:val="18"/>
                <w:szCs w:val="18"/>
              </w:rPr>
              <w:t>887,892</w:t>
            </w:r>
          </w:p>
        </w:tc>
      </w:tr>
      <w:tr w:rsidR="00BD092A" w:rsidRPr="00307829" w:rsidTr="000641AB">
        <w:trPr>
          <w:trHeight w:val="288"/>
        </w:trPr>
        <w:tc>
          <w:tcPr>
            <w:tcW w:w="0" w:type="auto"/>
            <w:tcBorders>
              <w:left w:val="nil"/>
            </w:tcBorders>
            <w:shd w:val="clear" w:color="auto" w:fill="auto"/>
            <w:noWrap/>
            <w:vAlign w:val="center"/>
            <w:hideMark/>
          </w:tcPr>
          <w:p w:rsidR="00BD092A" w:rsidRPr="00BE2914" w:rsidRDefault="00BD092A" w:rsidP="000641AB">
            <w:pPr>
              <w:jc w:val="right"/>
              <w:rPr>
                <w:rFonts w:ascii="Arial" w:hAnsi="Arial" w:cs="Arial"/>
                <w:b/>
                <w:bCs/>
                <w:color w:val="1074CB"/>
                <w:sz w:val="18"/>
                <w:szCs w:val="18"/>
              </w:rPr>
            </w:pPr>
            <w:r w:rsidRPr="00BE2914">
              <w:rPr>
                <w:rFonts w:ascii="Arial" w:hAnsi="Arial" w:cs="Arial"/>
                <w:bCs/>
                <w:color w:val="1074CB"/>
                <w:sz w:val="18"/>
                <w:szCs w:val="18"/>
              </w:rPr>
              <w:t>% change</w:t>
            </w:r>
          </w:p>
        </w:tc>
        <w:tc>
          <w:tcPr>
            <w:tcW w:w="0" w:type="auto"/>
            <w:tcBorders>
              <w:righ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32.3%</w:t>
            </w:r>
          </w:p>
        </w:tc>
        <w:tc>
          <w:tcPr>
            <w:tcW w:w="1288" w:type="dxa"/>
            <w:tcBorders>
              <w:lef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15.2%</w:t>
            </w:r>
          </w:p>
        </w:tc>
        <w:tc>
          <w:tcPr>
            <w:tcW w:w="1032" w:type="dxa"/>
            <w:tcBorders>
              <w:righ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2.6%</w:t>
            </w:r>
          </w:p>
        </w:tc>
        <w:tc>
          <w:tcPr>
            <w:tcW w:w="1284" w:type="dxa"/>
            <w:tcBorders>
              <w:lef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-4.7%</w:t>
            </w:r>
          </w:p>
        </w:tc>
        <w:tc>
          <w:tcPr>
            <w:tcW w:w="0" w:type="auto"/>
            <w:tcBorders>
              <w:righ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25.1%</w:t>
            </w:r>
          </w:p>
        </w:tc>
        <w:tc>
          <w:tcPr>
            <w:tcW w:w="0" w:type="auto"/>
            <w:tcBorders>
              <w:left w:val="nil"/>
            </w:tcBorders>
            <w:shd w:val="clear" w:color="auto" w:fill="auto"/>
            <w:noWrap/>
            <w:vAlign w:val="center"/>
            <w:hideMark/>
          </w:tcPr>
          <w:p w:rsidR="00BD092A" w:rsidRDefault="00BD092A" w:rsidP="000641AB">
            <w:pPr>
              <w:jc w:val="right"/>
              <w:rPr>
                <w:rFonts w:ascii="Arial" w:hAnsi="Arial" w:cs="Arial"/>
                <w:color w:val="0070C0"/>
                <w:sz w:val="18"/>
                <w:szCs w:val="18"/>
              </w:rPr>
            </w:pPr>
            <w:r>
              <w:rPr>
                <w:rFonts w:ascii="Arial" w:hAnsi="Arial" w:cs="Arial"/>
                <w:color w:val="0070C0"/>
                <w:sz w:val="18"/>
                <w:szCs w:val="18"/>
              </w:rPr>
              <w:t>11.5%</w:t>
            </w:r>
          </w:p>
        </w:tc>
        <w:tc>
          <w:tcPr>
            <w:tcW w:w="867" w:type="dxa"/>
            <w:tcBorders>
              <w:right w:val="nil"/>
            </w:tcBorders>
            <w:shd w:val="clear" w:color="auto" w:fill="auto"/>
            <w:vAlign w:val="center"/>
          </w:tcPr>
          <w:p w:rsidR="00BD092A" w:rsidRDefault="00BD092A" w:rsidP="000641AB">
            <w:pPr>
              <w:jc w:val="right"/>
              <w:rPr>
                <w:rFonts w:ascii="Arial" w:hAnsi="Arial" w:cs="Arial"/>
                <w:color w:val="0070C0"/>
                <w:sz w:val="18"/>
                <w:szCs w:val="18"/>
              </w:rPr>
            </w:pPr>
            <w:r>
              <w:rPr>
                <w:rFonts w:ascii="Arial" w:hAnsi="Arial" w:cs="Arial"/>
                <w:color w:val="0070C0"/>
                <w:sz w:val="18"/>
                <w:szCs w:val="18"/>
              </w:rPr>
              <w:t>11.7%</w:t>
            </w:r>
          </w:p>
        </w:tc>
        <w:tc>
          <w:tcPr>
            <w:tcW w:w="1017" w:type="dxa"/>
            <w:tcBorders>
              <w:left w:val="nil"/>
              <w:right w:val="nil"/>
            </w:tcBorders>
            <w:shd w:val="clear" w:color="auto" w:fill="auto"/>
            <w:vAlign w:val="center"/>
          </w:tcPr>
          <w:p w:rsidR="00BD092A" w:rsidRDefault="00BD092A" w:rsidP="000641AB">
            <w:pPr>
              <w:jc w:val="right"/>
              <w:rPr>
                <w:rFonts w:ascii="Arial" w:hAnsi="Arial" w:cs="Arial"/>
                <w:color w:val="0070C0"/>
                <w:sz w:val="18"/>
                <w:szCs w:val="18"/>
              </w:rPr>
            </w:pPr>
            <w:r>
              <w:rPr>
                <w:rFonts w:ascii="Arial" w:hAnsi="Arial" w:cs="Arial"/>
                <w:color w:val="0070C0"/>
                <w:sz w:val="18"/>
                <w:szCs w:val="18"/>
              </w:rPr>
              <w:t>28.1%</w:t>
            </w:r>
          </w:p>
        </w:tc>
      </w:tr>
      <w:tr w:rsidR="00BD092A" w:rsidRPr="00307829" w:rsidTr="000641AB">
        <w:trPr>
          <w:trHeight w:val="288"/>
        </w:trPr>
        <w:tc>
          <w:tcPr>
            <w:tcW w:w="0" w:type="auto"/>
            <w:tcBorders>
              <w:left w:val="nil"/>
            </w:tcBorders>
            <w:shd w:val="clear" w:color="auto" w:fill="auto"/>
            <w:noWrap/>
            <w:vAlign w:val="center"/>
            <w:hideMark/>
          </w:tcPr>
          <w:p w:rsidR="00BD092A" w:rsidRPr="00BE2914" w:rsidRDefault="00BD092A" w:rsidP="000641AB">
            <w:pPr>
              <w:jc w:val="right"/>
              <w:rPr>
                <w:rFonts w:ascii="Arial" w:hAnsi="Arial" w:cs="Arial"/>
                <w:color w:val="1074CB"/>
                <w:sz w:val="18"/>
                <w:szCs w:val="18"/>
              </w:rPr>
            </w:pPr>
            <w:r w:rsidRPr="00BE2914">
              <w:rPr>
                <w:rFonts w:ascii="Arial" w:hAnsi="Arial" w:cs="Arial"/>
                <w:color w:val="1074CB"/>
                <w:sz w:val="18"/>
                <w:szCs w:val="18"/>
              </w:rPr>
              <w:t>% of total</w:t>
            </w:r>
          </w:p>
        </w:tc>
        <w:tc>
          <w:tcPr>
            <w:tcW w:w="0" w:type="auto"/>
            <w:tcBorders>
              <w:right w:val="nil"/>
            </w:tcBorders>
            <w:shd w:val="clear" w:color="auto" w:fill="auto"/>
            <w:noWrap/>
            <w:vAlign w:val="center"/>
            <w:hideMark/>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15.1%</w:t>
            </w:r>
          </w:p>
        </w:tc>
        <w:tc>
          <w:tcPr>
            <w:tcW w:w="1288" w:type="dxa"/>
            <w:tcBorders>
              <w:left w:val="nil"/>
            </w:tcBorders>
            <w:shd w:val="clear" w:color="auto" w:fill="auto"/>
            <w:noWrap/>
            <w:vAlign w:val="center"/>
            <w:hideMark/>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17.3%</w:t>
            </w:r>
          </w:p>
        </w:tc>
        <w:tc>
          <w:tcPr>
            <w:tcW w:w="1032" w:type="dxa"/>
            <w:tcBorders>
              <w:right w:val="nil"/>
            </w:tcBorders>
            <w:shd w:val="clear" w:color="auto" w:fill="auto"/>
            <w:noWrap/>
            <w:vAlign w:val="center"/>
            <w:hideMark/>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48.7%</w:t>
            </w:r>
          </w:p>
        </w:tc>
        <w:tc>
          <w:tcPr>
            <w:tcW w:w="1284" w:type="dxa"/>
            <w:tcBorders>
              <w:left w:val="nil"/>
            </w:tcBorders>
            <w:shd w:val="clear" w:color="auto" w:fill="auto"/>
            <w:noWrap/>
            <w:vAlign w:val="center"/>
            <w:hideMark/>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42.8%</w:t>
            </w:r>
          </w:p>
        </w:tc>
        <w:tc>
          <w:tcPr>
            <w:tcW w:w="0" w:type="auto"/>
            <w:tcBorders>
              <w:right w:val="nil"/>
            </w:tcBorders>
            <w:shd w:val="clear" w:color="auto" w:fill="auto"/>
            <w:noWrap/>
            <w:vAlign w:val="center"/>
            <w:hideMark/>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17.5%</w:t>
            </w:r>
          </w:p>
        </w:tc>
        <w:tc>
          <w:tcPr>
            <w:tcW w:w="0" w:type="auto"/>
            <w:tcBorders>
              <w:left w:val="nil"/>
            </w:tcBorders>
            <w:shd w:val="clear" w:color="auto" w:fill="auto"/>
            <w:noWrap/>
            <w:vAlign w:val="center"/>
            <w:hideMark/>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19.1%</w:t>
            </w:r>
          </w:p>
        </w:tc>
        <w:tc>
          <w:tcPr>
            <w:tcW w:w="867" w:type="dxa"/>
            <w:tcBorders>
              <w:right w:val="nil"/>
            </w:tcBorders>
            <w:shd w:val="clear" w:color="auto" w:fill="auto"/>
            <w:vAlign w:val="center"/>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40.8%</w:t>
            </w:r>
          </w:p>
        </w:tc>
        <w:tc>
          <w:tcPr>
            <w:tcW w:w="1017" w:type="dxa"/>
            <w:tcBorders>
              <w:left w:val="nil"/>
              <w:right w:val="nil"/>
            </w:tcBorders>
            <w:shd w:val="clear" w:color="auto" w:fill="auto"/>
            <w:vAlign w:val="center"/>
          </w:tcPr>
          <w:p w:rsidR="00BD092A" w:rsidRDefault="00BD092A" w:rsidP="000641AB">
            <w:pPr>
              <w:jc w:val="right"/>
              <w:rPr>
                <w:rFonts w:ascii="Arial" w:hAnsi="Arial" w:cs="Arial"/>
                <w:i/>
                <w:iCs/>
                <w:color w:val="0070C0"/>
                <w:sz w:val="18"/>
                <w:szCs w:val="18"/>
              </w:rPr>
            </w:pPr>
            <w:r>
              <w:rPr>
                <w:rFonts w:ascii="Arial" w:hAnsi="Arial" w:cs="Arial"/>
                <w:i/>
                <w:iCs/>
                <w:color w:val="0070C0"/>
                <w:sz w:val="18"/>
                <w:szCs w:val="18"/>
              </w:rPr>
              <w:t>37.9%</w:t>
            </w:r>
          </w:p>
        </w:tc>
      </w:tr>
    </w:tbl>
    <w:p w:rsidR="00361F75" w:rsidRPr="00331EE5" w:rsidRDefault="00361F75" w:rsidP="00C078E2">
      <w:pPr>
        <w:keepNext/>
        <w:spacing w:line="276" w:lineRule="auto"/>
        <w:rPr>
          <w:rFonts w:ascii="Arial" w:hAnsi="Arial" w:cs="Arial"/>
          <w:b/>
          <w:color w:val="0D2255"/>
          <w:sz w:val="20"/>
        </w:rPr>
      </w:pPr>
    </w:p>
    <w:p w:rsidR="00C078E2" w:rsidRPr="00331EE5" w:rsidRDefault="00C078E2" w:rsidP="00331EE5">
      <w:pPr>
        <w:keepNext/>
        <w:spacing w:line="276" w:lineRule="auto"/>
        <w:sectPr w:rsidR="00C078E2" w:rsidRPr="00331EE5" w:rsidSect="00AF2748">
          <w:headerReference w:type="default" r:id="rId7"/>
          <w:footerReference w:type="default" r:id="rId8"/>
          <w:pgSz w:w="11906" w:h="16838"/>
          <w:pgMar w:top="707" w:right="1133" w:bottom="1134" w:left="1418" w:header="0" w:footer="277" w:gutter="0"/>
          <w:cols w:space="720" w:equalWidth="0">
            <w:col w:w="9355"/>
          </w:cols>
          <w:docGrid w:linePitch="360"/>
        </w:sectPr>
      </w:pPr>
      <w:r w:rsidRPr="0081561D">
        <w:rPr>
          <w:rFonts w:ascii="Arial" w:hAnsi="Arial" w:cs="Arial"/>
          <w:b/>
          <w:color w:val="0D2255"/>
          <w:sz w:val="20"/>
        </w:rPr>
        <w:t xml:space="preserve">Car </w:t>
      </w:r>
      <w:r w:rsidR="00361F75">
        <w:rPr>
          <w:rFonts w:ascii="Arial" w:hAnsi="Arial" w:cs="Arial"/>
          <w:b/>
          <w:color w:val="0D2255"/>
          <w:sz w:val="20"/>
        </w:rPr>
        <w:t>o</w:t>
      </w:r>
      <w:r>
        <w:rPr>
          <w:rFonts w:ascii="Arial" w:hAnsi="Arial" w:cs="Arial"/>
          <w:b/>
          <w:color w:val="0D2255"/>
          <w:sz w:val="20"/>
        </w:rPr>
        <w:t>utput</w:t>
      </w:r>
      <w:r w:rsidRPr="0081561D">
        <w:rPr>
          <w:rFonts w:ascii="Arial" w:hAnsi="Arial" w:cs="Arial"/>
          <w:b/>
          <w:color w:val="0D2255"/>
          <w:sz w:val="20"/>
        </w:rPr>
        <w:t xml:space="preserve"> rolling year total </w:t>
      </w:r>
      <w:r>
        <w:rPr>
          <w:rFonts w:ascii="Arial" w:hAnsi="Arial" w:cs="Arial"/>
          <w:b/>
          <w:color w:val="0D2255"/>
          <w:sz w:val="20"/>
        </w:rPr>
        <w:tab/>
      </w:r>
      <w:r>
        <w:rPr>
          <w:rFonts w:ascii="Arial" w:hAnsi="Arial" w:cs="Arial"/>
          <w:b/>
          <w:color w:val="0D2255"/>
          <w:sz w:val="20"/>
        </w:rPr>
        <w:tab/>
        <w:t xml:space="preserve">           </w:t>
      </w:r>
      <w:r w:rsidR="00361F75">
        <w:rPr>
          <w:rFonts w:ascii="Arial" w:hAnsi="Arial" w:cs="Arial"/>
          <w:b/>
          <w:color w:val="0D2255"/>
          <w:sz w:val="20"/>
        </w:rPr>
        <w:t xml:space="preserve">      CV output rolling year total </w:t>
      </w:r>
      <w:r w:rsidR="00BD092A" w:rsidRPr="00BD092A">
        <w:rPr>
          <w:rFonts w:ascii="Arial" w:hAnsi="Arial" w:cs="Arial"/>
          <w:b/>
          <w:noProof/>
          <w:color w:val="0D2255"/>
          <w:sz w:val="20"/>
        </w:rPr>
        <w:drawing>
          <wp:inline distT="0" distB="0" distL="0" distR="0">
            <wp:extent cx="2886324" cy="2520563"/>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D092A" w:rsidRPr="00BD092A">
        <w:rPr>
          <w:noProof/>
        </w:rPr>
        <w:t xml:space="preserve"> </w:t>
      </w:r>
      <w:r w:rsidR="00BD092A" w:rsidRPr="00BD092A">
        <w:rPr>
          <w:rFonts w:ascii="Arial" w:hAnsi="Arial" w:cs="Arial"/>
          <w:b/>
          <w:noProof/>
          <w:color w:val="0D2255"/>
          <w:sz w:val="20"/>
        </w:rPr>
        <w:drawing>
          <wp:inline distT="0" distB="0" distL="0" distR="0">
            <wp:extent cx="2775006" cy="251714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6C54" w:rsidRPr="006661A8" w:rsidRDefault="00E56C54" w:rsidP="006661A8">
      <w:pPr>
        <w:rPr>
          <w:rFonts w:ascii="Arial" w:hAnsi="Arial" w:cs="Arial"/>
          <w:sz w:val="12"/>
          <w:szCs w:val="12"/>
        </w:rPr>
      </w:pPr>
    </w:p>
    <w:sectPr w:rsidR="00E56C54" w:rsidRPr="006661A8" w:rsidSect="00AF2748">
      <w:headerReference w:type="default" r:id="rId11"/>
      <w:footerReference w:type="default" r:id="rId12"/>
      <w:type w:val="continuous"/>
      <w:pgSz w:w="11906" w:h="16838" w:code="9"/>
      <w:pgMar w:top="-249" w:right="284" w:bottom="851" w:left="1418" w:header="23" w:footer="277"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469" w:rsidRDefault="00842469" w:rsidP="00C078E2">
      <w:r>
        <w:separator/>
      </w:r>
    </w:p>
  </w:endnote>
  <w:endnote w:type="continuationSeparator" w:id="0">
    <w:p w:rsidR="00842469" w:rsidRDefault="00842469" w:rsidP="00C07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F7" w:rsidRDefault="007B34F7" w:rsidP="00AF2748">
    <w:pPr>
      <w:pStyle w:val="Heading1"/>
      <w:ind w:left="0" w:firstLine="0"/>
      <w:rPr>
        <w:rFonts w:ascii="Arial" w:hAnsi="Arial" w:cs="Arial"/>
        <w:color w:val="1074CB"/>
        <w:sz w:val="16"/>
        <w:szCs w:val="16"/>
        <w:u w:val="single"/>
      </w:rPr>
    </w:pPr>
    <w:r>
      <w:rPr>
        <w:rFonts w:ascii="Arial" w:hAnsi="Arial" w:cs="Arial"/>
        <w:color w:val="1074CB"/>
        <w:sz w:val="16"/>
        <w:szCs w:val="16"/>
        <w:u w:val="single"/>
      </w:rPr>
      <w:t>N</w:t>
    </w:r>
    <w:r w:rsidRPr="00A46C84">
      <w:rPr>
        <w:rFonts w:ascii="Arial" w:hAnsi="Arial" w:cs="Arial"/>
        <w:color w:val="1074CB"/>
        <w:sz w:val="16"/>
        <w:szCs w:val="16"/>
        <w:u w:val="single"/>
      </w:rPr>
      <w:t>otes</w:t>
    </w:r>
  </w:p>
  <w:p w:rsidR="007B34F7" w:rsidRPr="0098763B" w:rsidRDefault="007B34F7" w:rsidP="00AF2748">
    <w:pPr>
      <w:pStyle w:val="Heading1"/>
      <w:ind w:left="0" w:firstLine="0"/>
      <w:rPr>
        <w:rFonts w:ascii="Arial" w:hAnsi="Arial" w:cs="Arial"/>
        <w:b w:val="0"/>
        <w:color w:val="1074CB"/>
        <w:sz w:val="16"/>
        <w:szCs w:val="16"/>
      </w:rPr>
    </w:pPr>
    <w:r w:rsidRPr="0098763B">
      <w:rPr>
        <w:rFonts w:ascii="Arial" w:hAnsi="Arial" w:cs="Arial"/>
        <w:b w:val="0"/>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The automotive industry is a vital part of the UK economy accounting for £</w:t>
    </w:r>
    <w:r>
      <w:rPr>
        <w:rFonts w:ascii="Arial" w:hAnsi="Arial" w:cs="Arial"/>
        <w:b w:val="0"/>
        <w:color w:val="1074CB"/>
        <w:sz w:val="16"/>
        <w:szCs w:val="16"/>
      </w:rPr>
      <w:t xml:space="preserve">55 billion turnover and </w:t>
    </w:r>
    <w:r w:rsidRPr="000641AB">
      <w:rPr>
        <w:rFonts w:ascii="Arial" w:hAnsi="Arial" w:cs="Arial"/>
        <w:color w:val="1074CB"/>
        <w:sz w:val="16"/>
        <w:szCs w:val="16"/>
      </w:rPr>
      <w:t>£12 billion value added</w:t>
    </w:r>
    <w:r w:rsidRPr="0098763B">
      <w:rPr>
        <w:rFonts w:ascii="Arial" w:hAnsi="Arial" w:cs="Arial"/>
        <w:b w:val="0"/>
        <w:color w:val="1074CB"/>
        <w:sz w:val="16"/>
        <w:szCs w:val="16"/>
      </w:rPr>
      <w:t xml:space="preserve">. With </w:t>
    </w:r>
    <w:r>
      <w:rPr>
        <w:rFonts w:ascii="Arial" w:hAnsi="Arial" w:cs="Arial"/>
        <w:b w:val="0"/>
        <w:color w:val="1074CB"/>
        <w:sz w:val="16"/>
        <w:szCs w:val="16"/>
      </w:rPr>
      <w:t>more than</w:t>
    </w:r>
    <w:r w:rsidRPr="0098763B">
      <w:rPr>
        <w:rFonts w:ascii="Arial" w:hAnsi="Arial" w:cs="Arial"/>
        <w:b w:val="0"/>
        <w:color w:val="1074CB"/>
        <w:sz w:val="16"/>
        <w:szCs w:val="16"/>
      </w:rPr>
      <w:t xml:space="preserve"> </w:t>
    </w:r>
    <w:r w:rsidRPr="000641AB">
      <w:rPr>
        <w:rFonts w:ascii="Arial" w:hAnsi="Arial" w:cs="Arial"/>
        <w:color w:val="1074CB"/>
        <w:sz w:val="16"/>
        <w:szCs w:val="16"/>
      </w:rPr>
      <w:t>700,000 jobs</w:t>
    </w:r>
    <w:r w:rsidRPr="0098763B">
      <w:rPr>
        <w:rFonts w:ascii="Arial" w:hAnsi="Arial" w:cs="Arial"/>
        <w:b w:val="0"/>
        <w:color w:val="1074CB"/>
        <w:sz w:val="16"/>
        <w:szCs w:val="16"/>
      </w:rPr>
      <w:t xml:space="preserve"> dependent on the industry, it accounts for </w:t>
    </w:r>
    <w:r w:rsidRPr="000641AB">
      <w:rPr>
        <w:rFonts w:ascii="Arial" w:hAnsi="Arial" w:cs="Arial"/>
        <w:color w:val="1074CB"/>
        <w:sz w:val="16"/>
        <w:szCs w:val="16"/>
      </w:rPr>
      <w:t>10% of total exports</w:t>
    </w:r>
    <w:r w:rsidRPr="0098763B">
      <w:rPr>
        <w:rFonts w:ascii="Arial" w:hAnsi="Arial" w:cs="Arial"/>
        <w:b w:val="0"/>
        <w:color w:val="1074CB"/>
        <w:sz w:val="16"/>
        <w:szCs w:val="16"/>
      </w:rPr>
      <w:t xml:space="preserve"> and </w:t>
    </w:r>
    <w:r w:rsidRPr="000641AB">
      <w:rPr>
        <w:rFonts w:ascii="Arial" w:hAnsi="Arial" w:cs="Arial"/>
        <w:b w:val="0"/>
        <w:color w:val="1074CB"/>
        <w:sz w:val="16"/>
        <w:szCs w:val="16"/>
      </w:rPr>
      <w:t>invests</w:t>
    </w:r>
    <w:r w:rsidRPr="000641AB">
      <w:rPr>
        <w:rFonts w:ascii="Arial" w:hAnsi="Arial" w:cs="Arial"/>
        <w:color w:val="1074CB"/>
        <w:sz w:val="16"/>
        <w:szCs w:val="16"/>
      </w:rPr>
      <w:t xml:space="preserve"> £1.3</w:t>
    </w:r>
    <w:r w:rsidRPr="0098763B">
      <w:rPr>
        <w:rFonts w:ascii="Arial" w:hAnsi="Arial" w:cs="Arial"/>
        <w:b w:val="0"/>
        <w:color w:val="1074CB"/>
        <w:sz w:val="16"/>
        <w:szCs w:val="16"/>
      </w:rPr>
      <w:t xml:space="preserve"> </w:t>
    </w:r>
    <w:r w:rsidRPr="000641AB">
      <w:rPr>
        <w:rFonts w:ascii="Arial" w:hAnsi="Arial" w:cs="Arial"/>
        <w:color w:val="1074CB"/>
        <w:sz w:val="16"/>
        <w:szCs w:val="16"/>
      </w:rPr>
      <w:t>billion</w:t>
    </w:r>
    <w:r w:rsidRPr="0098763B">
      <w:rPr>
        <w:rFonts w:ascii="Arial" w:hAnsi="Arial" w:cs="Arial"/>
        <w:b w:val="0"/>
        <w:color w:val="1074CB"/>
        <w:sz w:val="16"/>
        <w:szCs w:val="16"/>
      </w:rPr>
      <w:t xml:space="preserve"> each year in automotive R&amp;D. </w:t>
    </w:r>
    <w:r w:rsidRPr="00281847">
      <w:rPr>
        <w:rFonts w:ascii="Arial" w:hAnsi="Arial" w:cs="Arial"/>
        <w:b w:val="0"/>
        <w:color w:val="1074CB"/>
        <w:sz w:val="16"/>
        <w:szCs w:val="16"/>
      </w:rPr>
      <w:t xml:space="preserve">For more details, see SMMT’s Sustainability Report 2012 and Motor Industry Facts 2012 at </w:t>
    </w:r>
    <w:hyperlink r:id="rId1" w:history="1">
      <w:r w:rsidRPr="00281847">
        <w:rPr>
          <w:rStyle w:val="Hyperlink"/>
          <w:rFonts w:ascii="Arial" w:hAnsi="Arial" w:cs="Arial"/>
          <w:sz w:val="16"/>
          <w:szCs w:val="16"/>
        </w:rPr>
        <w:t>www.smmt.co.uk/publications</w:t>
      </w:r>
    </w:hyperlink>
  </w:p>
  <w:p w:rsidR="007B34F7" w:rsidRPr="00593F7B" w:rsidRDefault="007B34F7" w:rsidP="00AF2748">
    <w:pPr>
      <w:pStyle w:val="Footer"/>
      <w:rPr>
        <w:rFonts w:ascii="Arial" w:hAnsi="Arial" w:cs="Arial"/>
        <w:sz w:val="16"/>
        <w:szCs w:val="16"/>
      </w:rPr>
    </w:pPr>
  </w:p>
  <w:p w:rsidR="007B34F7" w:rsidRPr="00EE4E1C" w:rsidRDefault="007B34F7" w:rsidP="00331EE5">
    <w:pPr>
      <w:rPr>
        <w:rFonts w:ascii="Arial" w:hAnsi="Arial" w:cs="Arial"/>
        <w:b/>
        <w:color w:val="1074CB"/>
        <w:sz w:val="16"/>
        <w:szCs w:val="16"/>
      </w:rPr>
    </w:pPr>
    <w:r>
      <w:rPr>
        <w:rFonts w:ascii="Arial" w:hAnsi="Arial" w:cs="Arial"/>
        <w:b/>
        <w:color w:val="1074CB"/>
        <w:sz w:val="16"/>
        <w:szCs w:val="16"/>
      </w:rPr>
      <w:t>Media contacts:</w:t>
    </w:r>
  </w:p>
  <w:p w:rsidR="007B34F7" w:rsidRDefault="007B34F7" w:rsidP="00331EE5">
    <w:pPr>
      <w:rPr>
        <w:rFonts w:ascii="Arial" w:hAnsi="Arial" w:cs="Arial"/>
        <w:color w:val="1074CB"/>
        <w:sz w:val="16"/>
        <w:szCs w:val="16"/>
      </w:rPr>
    </w:pPr>
    <w:r>
      <w:rPr>
        <w:rFonts w:ascii="Arial" w:hAnsi="Arial" w:cs="Arial"/>
        <w:color w:val="1074CB"/>
        <w:sz w:val="16"/>
        <w:szCs w:val="16"/>
      </w:rPr>
      <w:t>Kayleigh Lawrence</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020 7344 9222</w:t>
    </w:r>
    <w:r>
      <w:rPr>
        <w:rFonts w:ascii="Arial" w:hAnsi="Arial" w:cs="Arial"/>
        <w:color w:val="1074CB"/>
        <w:sz w:val="16"/>
        <w:szCs w:val="16"/>
      </w:rPr>
      <w:tab/>
    </w:r>
    <w:r>
      <w:rPr>
        <w:rFonts w:ascii="Arial" w:hAnsi="Arial" w:cs="Arial"/>
        <w:color w:val="1074CB"/>
        <w:sz w:val="16"/>
        <w:szCs w:val="16"/>
      </w:rPr>
      <w:tab/>
    </w:r>
    <w:hyperlink r:id="rId2" w:history="1">
      <w:r w:rsidRPr="00FC69B3">
        <w:rPr>
          <w:rStyle w:val="Hyperlink"/>
          <w:rFonts w:ascii="Arial" w:hAnsi="Arial" w:cs="Arial"/>
          <w:sz w:val="16"/>
          <w:szCs w:val="16"/>
        </w:rPr>
        <w:t>klawrence@smmt.co.uk</w:t>
      </w:r>
    </w:hyperlink>
    <w:r>
      <w:rPr>
        <w:rFonts w:ascii="Arial" w:hAnsi="Arial" w:cs="Arial"/>
        <w:color w:val="1074CB"/>
        <w:sz w:val="16"/>
        <w:szCs w:val="16"/>
      </w:rPr>
      <w:t xml:space="preserve"> </w:t>
    </w:r>
  </w:p>
  <w:p w:rsidR="007B34F7" w:rsidRDefault="007B34F7" w:rsidP="00331EE5">
    <w:pPr>
      <w:rPr>
        <w:rFonts w:ascii="Arial" w:hAnsi="Arial" w:cs="Arial"/>
        <w:color w:val="1074CB"/>
        <w:sz w:val="16"/>
        <w:szCs w:val="16"/>
      </w:rPr>
    </w:pPr>
    <w:r>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r>
      <w:rPr>
        <w:rFonts w:ascii="Arial" w:hAnsi="Arial" w:cs="Arial"/>
        <w:color w:val="1074CB"/>
        <w:sz w:val="16"/>
        <w:szCs w:val="16"/>
      </w:rPr>
      <w:tab/>
    </w:r>
    <w:hyperlink r:id="rId3" w:history="1">
      <w:r w:rsidRPr="00CE49C7">
        <w:rPr>
          <w:rStyle w:val="Hyperlink"/>
          <w:rFonts w:ascii="Arial" w:hAnsi="Arial" w:cs="Arial"/>
          <w:sz w:val="16"/>
          <w:szCs w:val="16"/>
        </w:rPr>
        <w:t>jvisscher@smmt.co.uk</w:t>
      </w:r>
    </w:hyperlink>
    <w:r>
      <w:rPr>
        <w:rFonts w:ascii="Arial" w:hAnsi="Arial" w:cs="Arial"/>
        <w:color w:val="1074CB"/>
        <w:sz w:val="16"/>
        <w:szCs w:val="16"/>
      </w:rPr>
      <w:t xml:space="preserve"> </w:t>
    </w:r>
  </w:p>
  <w:p w:rsidR="007B34F7" w:rsidRPr="00331EE5" w:rsidRDefault="007B34F7" w:rsidP="00331EE5">
    <w:pPr>
      <w:rPr>
        <w:rFonts w:ascii="Arial" w:hAnsi="Arial" w:cs="Arial"/>
        <w:color w:val="1074CB"/>
        <w:sz w:val="16"/>
        <w:szCs w:val="16"/>
      </w:rPr>
    </w:pPr>
    <w:r>
      <w:rPr>
        <w:rFonts w:ascii="Arial" w:hAnsi="Arial" w:cs="Arial"/>
        <w:color w:val="1074CB"/>
        <w:sz w:val="16"/>
        <w:szCs w:val="16"/>
      </w:rPr>
      <w:t>Keith Lewis</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4" w:history="1">
      <w:r w:rsidRPr="00CE49C7">
        <w:rPr>
          <w:rStyle w:val="Hyperlink"/>
          <w:rFonts w:ascii="Arial" w:hAnsi="Arial" w:cs="Arial"/>
          <w:sz w:val="16"/>
          <w:szCs w:val="16"/>
        </w:rPr>
        <w:t>klewis@smmt.co.uk</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F7" w:rsidRDefault="007B34F7" w:rsidP="00AF2748">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469" w:rsidRDefault="00842469" w:rsidP="00C078E2">
      <w:r>
        <w:separator/>
      </w:r>
    </w:p>
  </w:footnote>
  <w:footnote w:type="continuationSeparator" w:id="0">
    <w:p w:rsidR="00842469" w:rsidRDefault="00842469" w:rsidP="00C07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F7" w:rsidRDefault="007B34F7" w:rsidP="00AF2748">
    <w:pPr>
      <w:pStyle w:val="Header"/>
      <w:jc w:val="right"/>
    </w:pPr>
    <w:r w:rsidRPr="0040241C">
      <w:rPr>
        <w:noProof/>
      </w:rPr>
      <w:drawing>
        <wp:anchor distT="0" distB="0" distL="114300" distR="114300" simplePos="0" relativeHeight="251659264" behindDoc="1" locked="0" layoutInCell="1" allowOverlap="1">
          <wp:simplePos x="0" y="0"/>
          <wp:positionH relativeFrom="column">
            <wp:posOffset>4138295</wp:posOffset>
          </wp:positionH>
          <wp:positionV relativeFrom="paragraph">
            <wp:posOffset>66675</wp:posOffset>
          </wp:positionV>
          <wp:extent cx="1952625" cy="742950"/>
          <wp:effectExtent l="19050" t="0" r="9525" b="0"/>
          <wp:wrapNone/>
          <wp:docPr id="14"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2950"/>
                  </a:xfrm>
                  <a:prstGeom prst="rect">
                    <a:avLst/>
                  </a:prstGeom>
                  <a:noFill/>
                  <a:ln w="9525">
                    <a:noFill/>
                    <a:miter lim="800000"/>
                    <a:headEnd/>
                    <a:tailEnd/>
                  </a:ln>
                </pic:spPr>
              </pic:pic>
            </a:graphicData>
          </a:graphic>
        </wp:anchor>
      </w:drawing>
    </w:r>
  </w:p>
  <w:p w:rsidR="007B34F7" w:rsidRDefault="007B34F7" w:rsidP="00AF2748">
    <w:pPr>
      <w:rPr>
        <w:rStyle w:val="Strong"/>
        <w:rFonts w:ascii="Arial" w:hAnsi="Arial" w:cs="Arial"/>
        <w:color w:val="1074CB"/>
        <w:sz w:val="20"/>
      </w:rPr>
    </w:pPr>
    <w:r>
      <w:rPr>
        <w:rStyle w:val="Strong"/>
        <w:rFonts w:ascii="Arial" w:hAnsi="Arial" w:cs="Arial"/>
        <w:color w:val="1074CB"/>
        <w:sz w:val="20"/>
      </w:rPr>
      <w:t xml:space="preserve">                                                                                   </w:t>
    </w:r>
  </w:p>
  <w:p w:rsidR="007B34F7" w:rsidRDefault="007B34F7" w:rsidP="00AF2748">
    <w:pPr>
      <w:rPr>
        <w:rStyle w:val="Strong"/>
        <w:rFonts w:ascii="Arial" w:hAnsi="Arial" w:cs="Arial"/>
        <w:color w:val="1074CB"/>
        <w:sz w:val="20"/>
      </w:rPr>
    </w:pPr>
  </w:p>
  <w:p w:rsidR="007B34F7" w:rsidRDefault="007B34F7" w:rsidP="00AF2748">
    <w:pPr>
      <w:rPr>
        <w:rStyle w:val="Strong"/>
        <w:rFonts w:ascii="Arial" w:hAnsi="Arial" w:cs="Arial"/>
        <w:color w:val="1074CB"/>
        <w:sz w:val="20"/>
      </w:rPr>
    </w:pPr>
  </w:p>
  <w:p w:rsidR="007B34F7" w:rsidRDefault="007B34F7" w:rsidP="00AF2748">
    <w:pPr>
      <w:rPr>
        <w:rStyle w:val="Strong"/>
        <w:rFonts w:ascii="Arial" w:hAnsi="Arial" w:cs="Arial"/>
        <w:color w:val="1074CB"/>
        <w:sz w:val="20"/>
      </w:rPr>
    </w:pPr>
  </w:p>
  <w:p w:rsidR="007B34F7" w:rsidRDefault="007B34F7" w:rsidP="00AF2748">
    <w:pPr>
      <w:jc w:val="right"/>
      <w:rPr>
        <w:rStyle w:val="Strong"/>
        <w:rFonts w:ascii="Arial" w:hAnsi="Arial" w:cs="Arial"/>
        <w:color w:val="1074CB"/>
        <w:sz w:val="20"/>
      </w:rPr>
    </w:pPr>
    <w:r>
      <w:rPr>
        <w:rStyle w:val="Strong"/>
        <w:rFonts w:ascii="Arial" w:hAnsi="Arial" w:cs="Arial"/>
        <w:color w:val="1074CB"/>
        <w:sz w:val="20"/>
      </w:rPr>
      <w:t>Note to broadcasters: SMMT has an ISDN studio</w:t>
    </w:r>
  </w:p>
  <w:p w:rsidR="007B34F7" w:rsidRPr="001A5B1A" w:rsidRDefault="007B34F7" w:rsidP="00AF2748">
    <w:pPr>
      <w:ind w:firstLine="720"/>
      <w:rPr>
        <w:rFonts w:ascii="Arial" w:hAnsi="Arial" w:cs="Arial"/>
        <w:b/>
        <w:bCs/>
        <w:color w:val="1074C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F7" w:rsidRPr="003517A2" w:rsidRDefault="007B34F7" w:rsidP="00AF274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078E2"/>
    <w:rsid w:val="000641AB"/>
    <w:rsid w:val="00145418"/>
    <w:rsid w:val="00161EDC"/>
    <w:rsid w:val="00164E43"/>
    <w:rsid w:val="001E7259"/>
    <w:rsid w:val="002006D0"/>
    <w:rsid w:val="00236CD3"/>
    <w:rsid w:val="002A04BC"/>
    <w:rsid w:val="00305DC2"/>
    <w:rsid w:val="00321760"/>
    <w:rsid w:val="00331EE5"/>
    <w:rsid w:val="00361F75"/>
    <w:rsid w:val="00364429"/>
    <w:rsid w:val="0039040F"/>
    <w:rsid w:val="00416E0E"/>
    <w:rsid w:val="00473D48"/>
    <w:rsid w:val="004E2EB6"/>
    <w:rsid w:val="004E3E2E"/>
    <w:rsid w:val="004E5D68"/>
    <w:rsid w:val="005C28E0"/>
    <w:rsid w:val="006269ED"/>
    <w:rsid w:val="00661D6A"/>
    <w:rsid w:val="006661A8"/>
    <w:rsid w:val="006C5B82"/>
    <w:rsid w:val="00766FF6"/>
    <w:rsid w:val="007A5E2B"/>
    <w:rsid w:val="007B34F7"/>
    <w:rsid w:val="007E7CEF"/>
    <w:rsid w:val="00842469"/>
    <w:rsid w:val="008946C6"/>
    <w:rsid w:val="009246A1"/>
    <w:rsid w:val="00A93A3E"/>
    <w:rsid w:val="00AA26C3"/>
    <w:rsid w:val="00AA635D"/>
    <w:rsid w:val="00AB264E"/>
    <w:rsid w:val="00AD024F"/>
    <w:rsid w:val="00AF2748"/>
    <w:rsid w:val="00B20D22"/>
    <w:rsid w:val="00B85768"/>
    <w:rsid w:val="00BA3E4E"/>
    <w:rsid w:val="00BD092A"/>
    <w:rsid w:val="00C078E2"/>
    <w:rsid w:val="00C72FCF"/>
    <w:rsid w:val="00C93079"/>
    <w:rsid w:val="00DB053D"/>
    <w:rsid w:val="00E50BDB"/>
    <w:rsid w:val="00E56562"/>
    <w:rsid w:val="00E56C54"/>
    <w:rsid w:val="00FF52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8E2"/>
    <w:rPr>
      <w:rFonts w:ascii="Times" w:eastAsia="Times" w:hAnsi="Times"/>
      <w:sz w:val="24"/>
    </w:rPr>
  </w:style>
  <w:style w:type="paragraph" w:styleId="Heading1">
    <w:name w:val="heading 1"/>
    <w:basedOn w:val="Normal"/>
    <w:next w:val="Normal"/>
    <w:link w:val="Heading1Char"/>
    <w:qFormat/>
    <w:rsid w:val="00C078E2"/>
    <w:pPr>
      <w:keepNext/>
      <w:widowControl w:val="0"/>
      <w:autoSpaceDE w:val="0"/>
      <w:autoSpaceDN w:val="0"/>
      <w:adjustRightInd w:val="0"/>
      <w:ind w:left="720" w:hanging="720"/>
      <w:outlineLvl w:val="0"/>
    </w:pPr>
    <w:rPr>
      <w:rFonts w:ascii="Arial Bold" w:eastAsia="Times New Roman" w:hAnsi="Arial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8E2"/>
    <w:rPr>
      <w:rFonts w:ascii="Arial Bold" w:hAnsi="Arial Bold"/>
      <w:b/>
    </w:rPr>
  </w:style>
  <w:style w:type="paragraph" w:styleId="Header">
    <w:name w:val="header"/>
    <w:basedOn w:val="Normal"/>
    <w:link w:val="HeaderChar"/>
    <w:rsid w:val="00C078E2"/>
    <w:pPr>
      <w:tabs>
        <w:tab w:val="center" w:pos="4320"/>
        <w:tab w:val="right" w:pos="8640"/>
      </w:tabs>
    </w:pPr>
  </w:style>
  <w:style w:type="character" w:customStyle="1" w:styleId="HeaderChar">
    <w:name w:val="Header Char"/>
    <w:basedOn w:val="DefaultParagraphFont"/>
    <w:link w:val="Header"/>
    <w:rsid w:val="00C078E2"/>
    <w:rPr>
      <w:rFonts w:ascii="Times" w:eastAsia="Times" w:hAnsi="Times"/>
      <w:sz w:val="24"/>
    </w:rPr>
  </w:style>
  <w:style w:type="paragraph" w:styleId="Footer">
    <w:name w:val="footer"/>
    <w:basedOn w:val="Normal"/>
    <w:link w:val="FooterChar"/>
    <w:rsid w:val="00C078E2"/>
    <w:pPr>
      <w:tabs>
        <w:tab w:val="center" w:pos="4320"/>
        <w:tab w:val="right" w:pos="8640"/>
      </w:tabs>
    </w:pPr>
  </w:style>
  <w:style w:type="character" w:customStyle="1" w:styleId="FooterChar">
    <w:name w:val="Footer Char"/>
    <w:basedOn w:val="DefaultParagraphFont"/>
    <w:link w:val="Footer"/>
    <w:rsid w:val="00C078E2"/>
    <w:rPr>
      <w:rFonts w:ascii="Times" w:eastAsia="Times" w:hAnsi="Times"/>
      <w:sz w:val="24"/>
    </w:rPr>
  </w:style>
  <w:style w:type="character" w:styleId="Hyperlink">
    <w:name w:val="Hyperlink"/>
    <w:basedOn w:val="DefaultParagraphFont"/>
    <w:rsid w:val="00C078E2"/>
    <w:rPr>
      <w:color w:val="0000FF"/>
      <w:u w:val="single"/>
    </w:rPr>
  </w:style>
  <w:style w:type="character" w:styleId="Strong">
    <w:name w:val="Strong"/>
    <w:basedOn w:val="DefaultParagraphFont"/>
    <w:qFormat/>
    <w:rsid w:val="00C078E2"/>
    <w:rPr>
      <w:b/>
      <w:bCs/>
    </w:rPr>
  </w:style>
  <w:style w:type="paragraph" w:styleId="PlainText">
    <w:name w:val="Plain Text"/>
    <w:basedOn w:val="Normal"/>
    <w:link w:val="PlainTextChar"/>
    <w:uiPriority w:val="99"/>
    <w:unhideWhenUsed/>
    <w:rsid w:val="00C078E2"/>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rsid w:val="00C078E2"/>
    <w:rPr>
      <w:rFonts w:ascii="Arial" w:eastAsiaTheme="minorHAnsi" w:hAnsi="Arial" w:cstheme="minorBidi"/>
      <w:szCs w:val="21"/>
      <w:lang w:eastAsia="en-US"/>
    </w:rPr>
  </w:style>
  <w:style w:type="paragraph" w:styleId="Caption">
    <w:name w:val="caption"/>
    <w:basedOn w:val="Normal"/>
    <w:next w:val="Normal"/>
    <w:uiPriority w:val="35"/>
    <w:unhideWhenUsed/>
    <w:qFormat/>
    <w:rsid w:val="00C078E2"/>
    <w:pPr>
      <w:spacing w:after="200"/>
    </w:pPr>
    <w:rPr>
      <w:b/>
      <w:bCs/>
      <w:color w:val="4F81BD" w:themeColor="accent1"/>
      <w:sz w:val="18"/>
      <w:szCs w:val="18"/>
    </w:rPr>
  </w:style>
  <w:style w:type="paragraph" w:styleId="BalloonText">
    <w:name w:val="Balloon Text"/>
    <w:basedOn w:val="Normal"/>
    <w:link w:val="BalloonTextChar"/>
    <w:rsid w:val="00C078E2"/>
    <w:rPr>
      <w:rFonts w:ascii="Tahoma" w:hAnsi="Tahoma" w:cs="Tahoma"/>
      <w:sz w:val="16"/>
      <w:szCs w:val="16"/>
    </w:rPr>
  </w:style>
  <w:style w:type="character" w:customStyle="1" w:styleId="BalloonTextChar">
    <w:name w:val="Balloon Text Char"/>
    <w:basedOn w:val="DefaultParagraphFont"/>
    <w:link w:val="BalloonText"/>
    <w:rsid w:val="00C078E2"/>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klawrence@smmt.co.uk" TargetMode="External"/><Relationship Id="rId1" Type="http://schemas.openxmlformats.org/officeDocument/2006/relationships/hyperlink" Target="http://www.smmt.co.uk/publications" TargetMode="External"/><Relationship Id="rId4" Type="http://schemas.openxmlformats.org/officeDocument/2006/relationships/hyperlink" Target="mailto:klewis@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21002714866827221"/>
          <c:y val="0.13010425780110821"/>
          <c:w val="0.67037481700926105"/>
          <c:h val="0.76714023247094154"/>
        </c:manualLayout>
      </c:layout>
      <c:lineChart>
        <c:grouping val="standard"/>
        <c:ser>
          <c:idx val="0"/>
          <c:order val="0"/>
          <c:tx>
            <c:strRef>
              <c:f>'PR-12MONTH-charts'!$B$4</c:f>
              <c:strCache>
                <c:ptCount val="1"/>
                <c:pt idx="0">
                  <c:v>Total Car</c:v>
                </c:pt>
              </c:strCache>
            </c:strRef>
          </c:tx>
          <c:spPr>
            <a:ln>
              <a:solidFill>
                <a:schemeClr val="tx2">
                  <a:lumMod val="75000"/>
                </a:schemeClr>
              </a:solidFill>
            </a:ln>
          </c:spPr>
          <c:marker>
            <c:symbol val="none"/>
          </c:marker>
          <c:cat>
            <c:numRef>
              <c:f>'PR-12MONTH-charts'!$C$3:$BV$3</c:f>
              <c:numCache>
                <c:formatCode>General</c:formatCode>
                <c:ptCount val="72"/>
                <c:pt idx="0">
                  <c:v>2007</c:v>
                </c:pt>
                <c:pt idx="12">
                  <c:v>2008</c:v>
                </c:pt>
                <c:pt idx="24">
                  <c:v>2009</c:v>
                </c:pt>
                <c:pt idx="36">
                  <c:v>2010</c:v>
                </c:pt>
                <c:pt idx="48">
                  <c:v>2011</c:v>
                </c:pt>
                <c:pt idx="60">
                  <c:v>2012</c:v>
                </c:pt>
              </c:numCache>
            </c:numRef>
          </c:cat>
          <c:val>
            <c:numRef>
              <c:f>'PR-12MONTH-charts'!$C$4:$BV$4</c:f>
              <c:numCache>
                <c:formatCode>General</c:formatCode>
                <c:ptCount val="72"/>
                <c:pt idx="0">
                  <c:v>1447.1529999999998</c:v>
                </c:pt>
                <c:pt idx="1">
                  <c:v>1431.6109999999999</c:v>
                </c:pt>
                <c:pt idx="2">
                  <c:v>1410.6589999999999</c:v>
                </c:pt>
                <c:pt idx="3">
                  <c:v>1412.5039999999999</c:v>
                </c:pt>
                <c:pt idx="4">
                  <c:v>1408.6849999999988</c:v>
                </c:pt>
                <c:pt idx="5">
                  <c:v>1406.8619999999999</c:v>
                </c:pt>
                <c:pt idx="6">
                  <c:v>1418.768</c:v>
                </c:pt>
                <c:pt idx="7">
                  <c:v>1446.009</c:v>
                </c:pt>
                <c:pt idx="8">
                  <c:v>1462.98</c:v>
                </c:pt>
                <c:pt idx="9">
                  <c:v>1499.0650000000001</c:v>
                </c:pt>
                <c:pt idx="10">
                  <c:v>1516.7380000000001</c:v>
                </c:pt>
                <c:pt idx="11">
                  <c:v>1534.567</c:v>
                </c:pt>
                <c:pt idx="12">
                  <c:v>1559.021</c:v>
                </c:pt>
                <c:pt idx="13">
                  <c:v>1589.1929999999998</c:v>
                </c:pt>
                <c:pt idx="14">
                  <c:v>1578.221</c:v>
                </c:pt>
                <c:pt idx="15">
                  <c:v>1610.53</c:v>
                </c:pt>
                <c:pt idx="16">
                  <c:v>1600.8989999999999</c:v>
                </c:pt>
                <c:pt idx="17">
                  <c:v>1594.8639999999998</c:v>
                </c:pt>
                <c:pt idx="18">
                  <c:v>1596.2080000000001</c:v>
                </c:pt>
                <c:pt idx="19">
                  <c:v>1578.866</c:v>
                </c:pt>
                <c:pt idx="20">
                  <c:v>1582.1889999999999</c:v>
                </c:pt>
                <c:pt idx="21">
                  <c:v>1544.019</c:v>
                </c:pt>
                <c:pt idx="22">
                  <c:v>1495.3869999999999</c:v>
                </c:pt>
                <c:pt idx="23">
                  <c:v>1446.6189999999999</c:v>
                </c:pt>
                <c:pt idx="24">
                  <c:v>1359.3789999999999</c:v>
                </c:pt>
                <c:pt idx="25">
                  <c:v>1273.3329999999999</c:v>
                </c:pt>
                <c:pt idx="26">
                  <c:v>1208.098</c:v>
                </c:pt>
                <c:pt idx="27">
                  <c:v>1123.6299999999999</c:v>
                </c:pt>
                <c:pt idx="28">
                  <c:v>1072.518</c:v>
                </c:pt>
                <c:pt idx="29">
                  <c:v>1032.768</c:v>
                </c:pt>
                <c:pt idx="30">
                  <c:v>1009.3649999999994</c:v>
                </c:pt>
                <c:pt idx="31">
                  <c:v>983.24400000000003</c:v>
                </c:pt>
                <c:pt idx="32">
                  <c:v>960.25400000000002</c:v>
                </c:pt>
                <c:pt idx="33">
                  <c:v>952.62300000000005</c:v>
                </c:pt>
                <c:pt idx="34">
                  <c:v>967.9669999999993</c:v>
                </c:pt>
                <c:pt idx="35">
                  <c:v>999.45999999999947</c:v>
                </c:pt>
                <c:pt idx="36">
                  <c:v>1039.2460000000001</c:v>
                </c:pt>
                <c:pt idx="37">
                  <c:v>1076.7239999999999</c:v>
                </c:pt>
                <c:pt idx="38">
                  <c:v>1132.5170000000001</c:v>
                </c:pt>
                <c:pt idx="39">
                  <c:v>1162.549</c:v>
                </c:pt>
                <c:pt idx="40">
                  <c:v>1199.1599999999999</c:v>
                </c:pt>
                <c:pt idx="41">
                  <c:v>1225.3799999999999</c:v>
                </c:pt>
                <c:pt idx="42">
                  <c:v>1214.5050000000001</c:v>
                </c:pt>
                <c:pt idx="43">
                  <c:v>1235.6499999999999</c:v>
                </c:pt>
                <c:pt idx="44">
                  <c:v>1242.5819999999999</c:v>
                </c:pt>
                <c:pt idx="45">
                  <c:v>1248.953</c:v>
                </c:pt>
                <c:pt idx="46">
                  <c:v>1261.4349999999999</c:v>
                </c:pt>
                <c:pt idx="47">
                  <c:v>1270.444</c:v>
                </c:pt>
                <c:pt idx="48">
                  <c:v>1279.4490000000001</c:v>
                </c:pt>
                <c:pt idx="49">
                  <c:v>1294.1769999999999</c:v>
                </c:pt>
                <c:pt idx="50">
                  <c:v>1311.607</c:v>
                </c:pt>
                <c:pt idx="51">
                  <c:v>1299.6229999999998</c:v>
                </c:pt>
                <c:pt idx="52">
                  <c:v>1294.538</c:v>
                </c:pt>
                <c:pt idx="53">
                  <c:v>1296.636</c:v>
                </c:pt>
                <c:pt idx="54">
                  <c:v>1297.9290000000001</c:v>
                </c:pt>
                <c:pt idx="55">
                  <c:v>1306.297</c:v>
                </c:pt>
                <c:pt idx="56">
                  <c:v>1315.8</c:v>
                </c:pt>
                <c:pt idx="57">
                  <c:v>1331.6559999999999</c:v>
                </c:pt>
                <c:pt idx="58">
                  <c:v>1342.337</c:v>
                </c:pt>
                <c:pt idx="59">
                  <c:v>1343.81</c:v>
                </c:pt>
                <c:pt idx="60">
                  <c:v>1361.165</c:v>
                </c:pt>
                <c:pt idx="61">
                  <c:v>1387.665</c:v>
                </c:pt>
                <c:pt idx="62">
                  <c:v>1388.0050000000001</c:v>
                </c:pt>
                <c:pt idx="63">
                  <c:v>1396.0509999999999</c:v>
                </c:pt>
                <c:pt idx="64">
                  <c:v>1437.9170000000001</c:v>
                </c:pt>
                <c:pt idx="65">
                  <c:v>1437.0739999999998</c:v>
                </c:pt>
                <c:pt idx="66">
                  <c:v>1459.3709999999999</c:v>
                </c:pt>
                <c:pt idx="67">
                  <c:v>1451.6979999999999</c:v>
                </c:pt>
                <c:pt idx="68">
                  <c:v>1443.8389999999999</c:v>
                </c:pt>
                <c:pt idx="69">
                  <c:v>1452.213</c:v>
                </c:pt>
                <c:pt idx="70">
                  <c:v>1458.9270000000001</c:v>
                </c:pt>
              </c:numCache>
            </c:numRef>
          </c:val>
        </c:ser>
        <c:ser>
          <c:idx val="1"/>
          <c:order val="1"/>
          <c:tx>
            <c:strRef>
              <c:f>'PR-12MONTH-charts'!$B$5</c:f>
              <c:strCache>
                <c:ptCount val="1"/>
                <c:pt idx="0">
                  <c:v>Car Exports</c:v>
                </c:pt>
              </c:strCache>
            </c:strRef>
          </c:tx>
          <c:spPr>
            <a:ln>
              <a:solidFill>
                <a:schemeClr val="tx2">
                  <a:lumMod val="40000"/>
                  <a:lumOff val="60000"/>
                </a:schemeClr>
              </a:solidFill>
            </a:ln>
          </c:spPr>
          <c:marker>
            <c:symbol val="none"/>
          </c:marker>
          <c:cat>
            <c:numRef>
              <c:f>'PR-12MONTH-charts'!$C$3:$BV$3</c:f>
              <c:numCache>
                <c:formatCode>General</c:formatCode>
                <c:ptCount val="72"/>
                <c:pt idx="0">
                  <c:v>2007</c:v>
                </c:pt>
                <c:pt idx="12">
                  <c:v>2008</c:v>
                </c:pt>
                <c:pt idx="24">
                  <c:v>2009</c:v>
                </c:pt>
                <c:pt idx="36">
                  <c:v>2010</c:v>
                </c:pt>
                <c:pt idx="48">
                  <c:v>2011</c:v>
                </c:pt>
                <c:pt idx="60">
                  <c:v>2012</c:v>
                </c:pt>
              </c:numCache>
            </c:numRef>
          </c:cat>
          <c:val>
            <c:numRef>
              <c:f>'PR-12MONTH-charts'!$C$5:$BV$5</c:f>
              <c:numCache>
                <c:formatCode>General</c:formatCode>
                <c:ptCount val="72"/>
                <c:pt idx="0">
                  <c:v>1114.518</c:v>
                </c:pt>
                <c:pt idx="1">
                  <c:v>1104.2639999999999</c:v>
                </c:pt>
                <c:pt idx="2">
                  <c:v>1084.7049999999999</c:v>
                </c:pt>
                <c:pt idx="3">
                  <c:v>1084.068</c:v>
                </c:pt>
                <c:pt idx="4">
                  <c:v>1081.6789999999999</c:v>
                </c:pt>
                <c:pt idx="5">
                  <c:v>1083.6509999999998</c:v>
                </c:pt>
                <c:pt idx="6">
                  <c:v>1093.01</c:v>
                </c:pt>
                <c:pt idx="7">
                  <c:v>1110.5709999999999</c:v>
                </c:pt>
                <c:pt idx="8">
                  <c:v>1122.7260000000001</c:v>
                </c:pt>
                <c:pt idx="9">
                  <c:v>1151.279</c:v>
                </c:pt>
                <c:pt idx="10">
                  <c:v>1167.6849999999988</c:v>
                </c:pt>
                <c:pt idx="11">
                  <c:v>1185.4590000000001</c:v>
                </c:pt>
                <c:pt idx="12">
                  <c:v>1202.5839999999998</c:v>
                </c:pt>
                <c:pt idx="13">
                  <c:v>1228.625</c:v>
                </c:pt>
                <c:pt idx="14">
                  <c:v>1226.4100000000001</c:v>
                </c:pt>
                <c:pt idx="15">
                  <c:v>1252.585</c:v>
                </c:pt>
                <c:pt idx="16">
                  <c:v>1242.4749999999999</c:v>
                </c:pt>
                <c:pt idx="17">
                  <c:v>1234.6959999999999</c:v>
                </c:pt>
                <c:pt idx="18">
                  <c:v>1234.9680000000001</c:v>
                </c:pt>
                <c:pt idx="19">
                  <c:v>1225.3579999999999</c:v>
                </c:pt>
                <c:pt idx="20">
                  <c:v>1231.2439999999999</c:v>
                </c:pt>
                <c:pt idx="21">
                  <c:v>1201.3009999999999</c:v>
                </c:pt>
                <c:pt idx="22">
                  <c:v>1165.7170000000001</c:v>
                </c:pt>
                <c:pt idx="23">
                  <c:v>1128.586</c:v>
                </c:pt>
                <c:pt idx="24">
                  <c:v>1067.8409999999999</c:v>
                </c:pt>
                <c:pt idx="25">
                  <c:v>1003.4599999999995</c:v>
                </c:pt>
                <c:pt idx="26">
                  <c:v>951.97</c:v>
                </c:pt>
                <c:pt idx="27">
                  <c:v>887.52599999999939</c:v>
                </c:pt>
                <c:pt idx="28">
                  <c:v>848.56499999999949</c:v>
                </c:pt>
                <c:pt idx="29">
                  <c:v>819.971</c:v>
                </c:pt>
                <c:pt idx="30">
                  <c:v>801.24800000000005</c:v>
                </c:pt>
                <c:pt idx="31">
                  <c:v>778.755</c:v>
                </c:pt>
                <c:pt idx="32">
                  <c:v>743.75099999999998</c:v>
                </c:pt>
                <c:pt idx="33">
                  <c:v>737.03599999999949</c:v>
                </c:pt>
                <c:pt idx="34">
                  <c:v>742.12099999999998</c:v>
                </c:pt>
                <c:pt idx="35">
                  <c:v>762.23400000000004</c:v>
                </c:pt>
                <c:pt idx="36">
                  <c:v>784.01499999999999</c:v>
                </c:pt>
                <c:pt idx="37">
                  <c:v>807.88</c:v>
                </c:pt>
                <c:pt idx="38">
                  <c:v>846.79900000000055</c:v>
                </c:pt>
                <c:pt idx="39">
                  <c:v>862.95899999999949</c:v>
                </c:pt>
                <c:pt idx="40">
                  <c:v>883.37900000000002</c:v>
                </c:pt>
                <c:pt idx="41">
                  <c:v>895.63599999999997</c:v>
                </c:pt>
                <c:pt idx="42">
                  <c:v>886.52199999999948</c:v>
                </c:pt>
                <c:pt idx="43">
                  <c:v>905.96299999999917</c:v>
                </c:pt>
                <c:pt idx="44">
                  <c:v>922.69299999999998</c:v>
                </c:pt>
                <c:pt idx="45">
                  <c:v>928.33599999999944</c:v>
                </c:pt>
                <c:pt idx="46">
                  <c:v>946.99900000000002</c:v>
                </c:pt>
                <c:pt idx="47">
                  <c:v>961.42</c:v>
                </c:pt>
                <c:pt idx="48">
                  <c:v>982.45899999999949</c:v>
                </c:pt>
                <c:pt idx="49">
                  <c:v>1005.0119999999994</c:v>
                </c:pt>
                <c:pt idx="50">
                  <c:v>1029.3819999999998</c:v>
                </c:pt>
                <c:pt idx="51">
                  <c:v>1030.5829999999999</c:v>
                </c:pt>
                <c:pt idx="52">
                  <c:v>1038.749</c:v>
                </c:pt>
                <c:pt idx="53">
                  <c:v>1051.087</c:v>
                </c:pt>
                <c:pt idx="54">
                  <c:v>1062.3429999999998</c:v>
                </c:pt>
                <c:pt idx="55">
                  <c:v>1072.626</c:v>
                </c:pt>
                <c:pt idx="56">
                  <c:v>1092.9190000000001</c:v>
                </c:pt>
                <c:pt idx="57">
                  <c:v>1111.2160000000001</c:v>
                </c:pt>
                <c:pt idx="58">
                  <c:v>1124.2280000000001</c:v>
                </c:pt>
                <c:pt idx="59">
                  <c:v>1124.6759999999999</c:v>
                </c:pt>
                <c:pt idx="60">
                  <c:v>1136.7739999999999</c:v>
                </c:pt>
                <c:pt idx="61">
                  <c:v>1156.9939999999999</c:v>
                </c:pt>
                <c:pt idx="62">
                  <c:v>1154.95</c:v>
                </c:pt>
                <c:pt idx="63">
                  <c:v>1162.258</c:v>
                </c:pt>
                <c:pt idx="64">
                  <c:v>1199.8119999999999</c:v>
                </c:pt>
                <c:pt idx="65">
                  <c:v>1199.9050000000011</c:v>
                </c:pt>
                <c:pt idx="66">
                  <c:v>1217.319</c:v>
                </c:pt>
                <c:pt idx="67">
                  <c:v>1211.8429999999998</c:v>
                </c:pt>
                <c:pt idx="68">
                  <c:v>1201.8389999999999</c:v>
                </c:pt>
                <c:pt idx="69">
                  <c:v>1207.1309999999999</c:v>
                </c:pt>
                <c:pt idx="70">
                  <c:v>1208.587</c:v>
                </c:pt>
              </c:numCache>
            </c:numRef>
          </c:val>
        </c:ser>
        <c:dLbls/>
        <c:marker val="1"/>
        <c:axId val="72055040"/>
        <c:axId val="72073216"/>
      </c:lineChart>
      <c:catAx>
        <c:axId val="72055040"/>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72073216"/>
        <c:crosses val="autoZero"/>
        <c:auto val="1"/>
        <c:lblAlgn val="ctr"/>
        <c:lblOffset val="100"/>
        <c:tickMarkSkip val="12"/>
      </c:catAx>
      <c:valAx>
        <c:axId val="72073216"/>
        <c:scaling>
          <c:orientation val="minMax"/>
          <c:min val="60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2055040"/>
        <c:crosses val="autoZero"/>
        <c:crossBetween val="between"/>
      </c:valAx>
    </c:plotArea>
    <c:legend>
      <c:legendPos val="r"/>
      <c:layout>
        <c:manualLayout>
          <c:xMode val="edge"/>
          <c:yMode val="edge"/>
          <c:x val="4.6204769379026719E-2"/>
          <c:y val="1.785717399758302E-2"/>
          <c:w val="0.93729675026025638"/>
          <c:h val="0.10000017438646493"/>
        </c:manualLayout>
      </c:layout>
      <c:txPr>
        <a:bodyPr/>
        <a:lstStyle/>
        <a:p>
          <a:pPr>
            <a:defRPr sz="845"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7543884334045898"/>
          <c:y val="0.13010425780110821"/>
          <c:w val="0.70004527784542503"/>
          <c:h val="0.76714023247094154"/>
        </c:manualLayout>
      </c:layout>
      <c:lineChart>
        <c:grouping val="standard"/>
        <c:ser>
          <c:idx val="0"/>
          <c:order val="0"/>
          <c:tx>
            <c:strRef>
              <c:f>'PR-12MONTH-charts'!$B$9</c:f>
              <c:strCache>
                <c:ptCount val="1"/>
                <c:pt idx="0">
                  <c:v>Total CV</c:v>
                </c:pt>
              </c:strCache>
            </c:strRef>
          </c:tx>
          <c:spPr>
            <a:ln>
              <a:solidFill>
                <a:schemeClr val="tx2">
                  <a:lumMod val="75000"/>
                </a:schemeClr>
              </a:solidFill>
            </a:ln>
          </c:spPr>
          <c:marker>
            <c:symbol val="none"/>
          </c:marker>
          <c:cat>
            <c:numRef>
              <c:f>'PR-12MONTH-charts'!$C$8:$BU$8</c:f>
              <c:numCache>
                <c:formatCode>General</c:formatCode>
                <c:ptCount val="71"/>
                <c:pt idx="0">
                  <c:v>2007</c:v>
                </c:pt>
                <c:pt idx="12">
                  <c:v>2008</c:v>
                </c:pt>
                <c:pt idx="24">
                  <c:v>2009</c:v>
                </c:pt>
                <c:pt idx="36">
                  <c:v>2010</c:v>
                </c:pt>
                <c:pt idx="48">
                  <c:v>2011</c:v>
                </c:pt>
                <c:pt idx="60">
                  <c:v>2012</c:v>
                </c:pt>
              </c:numCache>
            </c:numRef>
          </c:cat>
          <c:val>
            <c:numRef>
              <c:f>'PR-12MONTH-charts'!$C$9:$BV$9</c:f>
              <c:numCache>
                <c:formatCode>General</c:formatCode>
                <c:ptCount val="72"/>
                <c:pt idx="0">
                  <c:v>209.13800000000001</c:v>
                </c:pt>
                <c:pt idx="1">
                  <c:v>208.41499999999999</c:v>
                </c:pt>
                <c:pt idx="2">
                  <c:v>207.38600000000014</c:v>
                </c:pt>
                <c:pt idx="3">
                  <c:v>207.62</c:v>
                </c:pt>
                <c:pt idx="4">
                  <c:v>209.48000000000013</c:v>
                </c:pt>
                <c:pt idx="5">
                  <c:v>211.53300000000002</c:v>
                </c:pt>
                <c:pt idx="6">
                  <c:v>210.2</c:v>
                </c:pt>
                <c:pt idx="7">
                  <c:v>214.48400000000001</c:v>
                </c:pt>
                <c:pt idx="8">
                  <c:v>213.006</c:v>
                </c:pt>
                <c:pt idx="9">
                  <c:v>215.35300000000001</c:v>
                </c:pt>
                <c:pt idx="10">
                  <c:v>216.12300000000002</c:v>
                </c:pt>
                <c:pt idx="11">
                  <c:v>215.68600000000001</c:v>
                </c:pt>
                <c:pt idx="12">
                  <c:v>216.93200000000004</c:v>
                </c:pt>
                <c:pt idx="13">
                  <c:v>220.09</c:v>
                </c:pt>
                <c:pt idx="14">
                  <c:v>218.60499999999999</c:v>
                </c:pt>
                <c:pt idx="15">
                  <c:v>224.066</c:v>
                </c:pt>
                <c:pt idx="16">
                  <c:v>224.81300000000002</c:v>
                </c:pt>
                <c:pt idx="17">
                  <c:v>227.24299999999999</c:v>
                </c:pt>
                <c:pt idx="18">
                  <c:v>234.255</c:v>
                </c:pt>
                <c:pt idx="19">
                  <c:v>230.57899999999998</c:v>
                </c:pt>
                <c:pt idx="20">
                  <c:v>231.30100000000004</c:v>
                </c:pt>
                <c:pt idx="21">
                  <c:v>222.191</c:v>
                </c:pt>
                <c:pt idx="22">
                  <c:v>211.12800000000001</c:v>
                </c:pt>
                <c:pt idx="23">
                  <c:v>202.89600000000004</c:v>
                </c:pt>
                <c:pt idx="24">
                  <c:v>190.40700000000001</c:v>
                </c:pt>
                <c:pt idx="25">
                  <c:v>175.62800000000001</c:v>
                </c:pt>
                <c:pt idx="26">
                  <c:v>164.89700000000013</c:v>
                </c:pt>
                <c:pt idx="27">
                  <c:v>150.56800000000001</c:v>
                </c:pt>
                <c:pt idx="28">
                  <c:v>137.55800000000013</c:v>
                </c:pt>
                <c:pt idx="29">
                  <c:v>124.563</c:v>
                </c:pt>
                <c:pt idx="30">
                  <c:v>112.142</c:v>
                </c:pt>
                <c:pt idx="31">
                  <c:v>107.607</c:v>
                </c:pt>
                <c:pt idx="32">
                  <c:v>96.647999999999996</c:v>
                </c:pt>
                <c:pt idx="33">
                  <c:v>91.477000000000004</c:v>
                </c:pt>
                <c:pt idx="34">
                  <c:v>89.697999999999993</c:v>
                </c:pt>
                <c:pt idx="35">
                  <c:v>90.678999999999988</c:v>
                </c:pt>
                <c:pt idx="36">
                  <c:v>91.483999999999995</c:v>
                </c:pt>
                <c:pt idx="37">
                  <c:v>95.84</c:v>
                </c:pt>
                <c:pt idx="38">
                  <c:v>100.812</c:v>
                </c:pt>
                <c:pt idx="39">
                  <c:v>103.93400000000007</c:v>
                </c:pt>
                <c:pt idx="40">
                  <c:v>109.98699999999999</c:v>
                </c:pt>
                <c:pt idx="41">
                  <c:v>112.111</c:v>
                </c:pt>
                <c:pt idx="42">
                  <c:v>113.232</c:v>
                </c:pt>
                <c:pt idx="43">
                  <c:v>114.29600000000002</c:v>
                </c:pt>
                <c:pt idx="44">
                  <c:v>115.91900000000007</c:v>
                </c:pt>
                <c:pt idx="45">
                  <c:v>119.65799999999999</c:v>
                </c:pt>
                <c:pt idx="46">
                  <c:v>121.60799999999999</c:v>
                </c:pt>
                <c:pt idx="47">
                  <c:v>123.01900000000002</c:v>
                </c:pt>
                <c:pt idx="48">
                  <c:v>123.83</c:v>
                </c:pt>
                <c:pt idx="49">
                  <c:v>123.527</c:v>
                </c:pt>
                <c:pt idx="50">
                  <c:v>122.748</c:v>
                </c:pt>
                <c:pt idx="51">
                  <c:v>120.604</c:v>
                </c:pt>
                <c:pt idx="52">
                  <c:v>120.06399999999999</c:v>
                </c:pt>
                <c:pt idx="53">
                  <c:v>119.833</c:v>
                </c:pt>
                <c:pt idx="54">
                  <c:v>119.26300000000002</c:v>
                </c:pt>
                <c:pt idx="55">
                  <c:v>119.81100000000002</c:v>
                </c:pt>
                <c:pt idx="56">
                  <c:v>120.518</c:v>
                </c:pt>
                <c:pt idx="57">
                  <c:v>120.181</c:v>
                </c:pt>
                <c:pt idx="58">
                  <c:v>120.425</c:v>
                </c:pt>
                <c:pt idx="59">
                  <c:v>120.18899999999998</c:v>
                </c:pt>
                <c:pt idx="60">
                  <c:v>120.066</c:v>
                </c:pt>
                <c:pt idx="61">
                  <c:v>119.798</c:v>
                </c:pt>
                <c:pt idx="62">
                  <c:v>117.40300000000002</c:v>
                </c:pt>
                <c:pt idx="63">
                  <c:v>117.68300000000001</c:v>
                </c:pt>
                <c:pt idx="64">
                  <c:v>116.923</c:v>
                </c:pt>
                <c:pt idx="65">
                  <c:v>114.86499999999999</c:v>
                </c:pt>
                <c:pt idx="66">
                  <c:v>114.742</c:v>
                </c:pt>
                <c:pt idx="67">
                  <c:v>115.91700000000007</c:v>
                </c:pt>
                <c:pt idx="68">
                  <c:v>113.47799999999999</c:v>
                </c:pt>
                <c:pt idx="69">
                  <c:v>114.04</c:v>
                </c:pt>
                <c:pt idx="70">
                  <c:v>113.634</c:v>
                </c:pt>
              </c:numCache>
            </c:numRef>
          </c:val>
        </c:ser>
        <c:ser>
          <c:idx val="1"/>
          <c:order val="1"/>
          <c:tx>
            <c:strRef>
              <c:f>'PR-12MONTH-charts'!$B$10</c:f>
              <c:strCache>
                <c:ptCount val="1"/>
                <c:pt idx="0">
                  <c:v>CV Exports</c:v>
                </c:pt>
              </c:strCache>
            </c:strRef>
          </c:tx>
          <c:spPr>
            <a:ln>
              <a:solidFill>
                <a:schemeClr val="tx2">
                  <a:lumMod val="40000"/>
                  <a:lumOff val="60000"/>
                </a:schemeClr>
              </a:solidFill>
            </a:ln>
          </c:spPr>
          <c:marker>
            <c:symbol val="none"/>
          </c:marker>
          <c:cat>
            <c:numRef>
              <c:f>'PR-12MONTH-charts'!$C$8:$BU$8</c:f>
              <c:numCache>
                <c:formatCode>General</c:formatCode>
                <c:ptCount val="71"/>
                <c:pt idx="0">
                  <c:v>2007</c:v>
                </c:pt>
                <c:pt idx="12">
                  <c:v>2008</c:v>
                </c:pt>
                <c:pt idx="24">
                  <c:v>2009</c:v>
                </c:pt>
                <c:pt idx="36">
                  <c:v>2010</c:v>
                </c:pt>
                <c:pt idx="48">
                  <c:v>2011</c:v>
                </c:pt>
                <c:pt idx="60">
                  <c:v>2012</c:v>
                </c:pt>
              </c:numCache>
            </c:numRef>
          </c:cat>
          <c:val>
            <c:numRef>
              <c:f>'PR-12MONTH-charts'!$C$10:$BV$10</c:f>
              <c:numCache>
                <c:formatCode>General</c:formatCode>
                <c:ptCount val="72"/>
                <c:pt idx="0">
                  <c:v>135.833</c:v>
                </c:pt>
                <c:pt idx="1">
                  <c:v>133.73399999999998</c:v>
                </c:pt>
                <c:pt idx="2">
                  <c:v>132.298</c:v>
                </c:pt>
                <c:pt idx="3">
                  <c:v>131.35900000000001</c:v>
                </c:pt>
                <c:pt idx="4">
                  <c:v>131.59100000000001</c:v>
                </c:pt>
                <c:pt idx="5">
                  <c:v>132.369</c:v>
                </c:pt>
                <c:pt idx="6">
                  <c:v>130.54499999999999</c:v>
                </c:pt>
                <c:pt idx="7">
                  <c:v>133.79499999999999</c:v>
                </c:pt>
                <c:pt idx="8">
                  <c:v>132.17699999999999</c:v>
                </c:pt>
                <c:pt idx="9">
                  <c:v>132.46100000000001</c:v>
                </c:pt>
                <c:pt idx="10">
                  <c:v>131.995</c:v>
                </c:pt>
                <c:pt idx="11">
                  <c:v>131.56200000000001</c:v>
                </c:pt>
                <c:pt idx="12">
                  <c:v>132.43900000000002</c:v>
                </c:pt>
                <c:pt idx="13">
                  <c:v>134.09800000000001</c:v>
                </c:pt>
                <c:pt idx="14">
                  <c:v>133.68700000000001</c:v>
                </c:pt>
                <c:pt idx="15">
                  <c:v>137.15700000000001</c:v>
                </c:pt>
                <c:pt idx="16">
                  <c:v>138.565</c:v>
                </c:pt>
                <c:pt idx="17">
                  <c:v>140.45400000000001</c:v>
                </c:pt>
                <c:pt idx="18">
                  <c:v>143.67099999999999</c:v>
                </c:pt>
                <c:pt idx="19">
                  <c:v>141.946</c:v>
                </c:pt>
                <c:pt idx="20">
                  <c:v>142.72899999999998</c:v>
                </c:pt>
                <c:pt idx="21">
                  <c:v>136.85100000000014</c:v>
                </c:pt>
                <c:pt idx="22">
                  <c:v>130.52600000000001</c:v>
                </c:pt>
                <c:pt idx="23">
                  <c:v>125.611</c:v>
                </c:pt>
                <c:pt idx="24">
                  <c:v>119.71899999999999</c:v>
                </c:pt>
                <c:pt idx="25">
                  <c:v>112.473</c:v>
                </c:pt>
                <c:pt idx="26">
                  <c:v>106.93700000000007</c:v>
                </c:pt>
                <c:pt idx="27">
                  <c:v>98.334000000000003</c:v>
                </c:pt>
                <c:pt idx="28">
                  <c:v>90.127999999999986</c:v>
                </c:pt>
                <c:pt idx="29">
                  <c:v>82.698999999999998</c:v>
                </c:pt>
                <c:pt idx="30">
                  <c:v>76.718000000000004</c:v>
                </c:pt>
                <c:pt idx="31">
                  <c:v>73.986999999999995</c:v>
                </c:pt>
                <c:pt idx="32">
                  <c:v>68.596999999999994</c:v>
                </c:pt>
                <c:pt idx="33">
                  <c:v>67.10499999999999</c:v>
                </c:pt>
                <c:pt idx="34">
                  <c:v>65.796000000000006</c:v>
                </c:pt>
                <c:pt idx="35">
                  <c:v>66.453999999999994</c:v>
                </c:pt>
                <c:pt idx="36">
                  <c:v>67.141999999999996</c:v>
                </c:pt>
                <c:pt idx="37">
                  <c:v>70.181999999999988</c:v>
                </c:pt>
                <c:pt idx="38">
                  <c:v>72.653999999999982</c:v>
                </c:pt>
                <c:pt idx="39">
                  <c:v>73.804999999999993</c:v>
                </c:pt>
                <c:pt idx="40">
                  <c:v>77.438000000000002</c:v>
                </c:pt>
                <c:pt idx="41">
                  <c:v>78.872999999999948</c:v>
                </c:pt>
                <c:pt idx="42">
                  <c:v>79.634999999999991</c:v>
                </c:pt>
                <c:pt idx="43">
                  <c:v>80.062000000000012</c:v>
                </c:pt>
                <c:pt idx="44">
                  <c:v>81.004999999999995</c:v>
                </c:pt>
                <c:pt idx="45">
                  <c:v>82.897999999999996</c:v>
                </c:pt>
                <c:pt idx="46">
                  <c:v>83.736000000000004</c:v>
                </c:pt>
                <c:pt idx="47">
                  <c:v>85.546999999999997</c:v>
                </c:pt>
                <c:pt idx="48">
                  <c:v>84.194999999999993</c:v>
                </c:pt>
                <c:pt idx="49">
                  <c:v>83.001000000000005</c:v>
                </c:pt>
                <c:pt idx="50">
                  <c:v>82.183999999999983</c:v>
                </c:pt>
                <c:pt idx="51">
                  <c:v>80.667999999999992</c:v>
                </c:pt>
                <c:pt idx="52">
                  <c:v>79.090999999999994</c:v>
                </c:pt>
                <c:pt idx="53">
                  <c:v>76.480999999999995</c:v>
                </c:pt>
                <c:pt idx="54">
                  <c:v>75.248000000000005</c:v>
                </c:pt>
                <c:pt idx="55">
                  <c:v>75.232000000000014</c:v>
                </c:pt>
                <c:pt idx="56">
                  <c:v>74.678999999999988</c:v>
                </c:pt>
                <c:pt idx="57">
                  <c:v>72.906999999999996</c:v>
                </c:pt>
                <c:pt idx="58">
                  <c:v>71.468999999999994</c:v>
                </c:pt>
                <c:pt idx="59">
                  <c:v>69.375999999999948</c:v>
                </c:pt>
                <c:pt idx="60">
                  <c:v>69.414000000000087</c:v>
                </c:pt>
                <c:pt idx="61">
                  <c:v>68.712999999999994</c:v>
                </c:pt>
                <c:pt idx="62">
                  <c:v>66.611000000000004</c:v>
                </c:pt>
                <c:pt idx="63">
                  <c:v>67.027000000000001</c:v>
                </c:pt>
                <c:pt idx="64">
                  <c:v>67.058999999999983</c:v>
                </c:pt>
                <c:pt idx="65">
                  <c:v>67.63</c:v>
                </c:pt>
                <c:pt idx="66">
                  <c:v>66.906000000000006</c:v>
                </c:pt>
                <c:pt idx="67">
                  <c:v>67.298000000000002</c:v>
                </c:pt>
                <c:pt idx="68">
                  <c:v>65.501999999999995</c:v>
                </c:pt>
                <c:pt idx="69">
                  <c:v>65.566000000000003</c:v>
                </c:pt>
                <c:pt idx="70">
                  <c:v>65.024000000000001</c:v>
                </c:pt>
              </c:numCache>
            </c:numRef>
          </c:val>
        </c:ser>
        <c:dLbls/>
        <c:marker val="1"/>
        <c:axId val="72173056"/>
        <c:axId val="72174592"/>
      </c:lineChart>
      <c:catAx>
        <c:axId val="72173056"/>
        <c:scaling>
          <c:orientation val="minMax"/>
        </c:scaling>
        <c:axPos val="b"/>
        <c:numFmt formatCode="General" sourceLinked="1"/>
        <c:tickLblPos val="nextTo"/>
        <c:txPr>
          <a:bodyPr rot="60000" vert="horz"/>
          <a:lstStyle/>
          <a:p>
            <a:pPr>
              <a:defRPr sz="1000" b="0" i="0" u="none" strike="noStrike" baseline="0">
                <a:solidFill>
                  <a:srgbClr val="000000"/>
                </a:solidFill>
                <a:latin typeface="Arial"/>
                <a:ea typeface="Arial"/>
                <a:cs typeface="Arial"/>
              </a:defRPr>
            </a:pPr>
            <a:endParaRPr lang="en-US"/>
          </a:p>
        </c:txPr>
        <c:crossAx val="72174592"/>
        <c:crosses val="autoZero"/>
        <c:auto val="1"/>
        <c:lblAlgn val="ctr"/>
        <c:lblOffset val="100"/>
        <c:tickMarkSkip val="12"/>
      </c:catAx>
      <c:valAx>
        <c:axId val="72174592"/>
        <c:scaling>
          <c:orientation val="minMax"/>
          <c:max val="250"/>
          <c:min val="50"/>
        </c:scaling>
        <c:axPos val="l"/>
        <c:majorGridlines/>
        <c:title>
          <c:tx>
            <c:rich>
              <a:bodyPr/>
              <a:lstStyle/>
              <a:p>
                <a:pPr>
                  <a:defRPr sz="1000" b="0" i="0" u="none" strike="noStrike" baseline="0">
                    <a:solidFill>
                      <a:srgbClr val="000000"/>
                    </a:solidFill>
                    <a:latin typeface="Arial"/>
                    <a:ea typeface="Arial"/>
                    <a:cs typeface="Arial"/>
                  </a:defRPr>
                </a:pPr>
                <a:r>
                  <a:rPr lang="en-GB"/>
                  <a:t>'000s</a:t>
                </a:r>
              </a:p>
            </c:rich>
          </c:tx>
          <c:layout/>
        </c:title>
        <c:numFmt formatCode="General" sourceLinked="1"/>
        <c:tickLblPos val="nextTo"/>
        <c:txPr>
          <a:bodyPr rot="0" vert="horz"/>
          <a:lstStyle/>
          <a:p>
            <a:pPr>
              <a:defRPr sz="1000" b="0" i="0" u="none" strike="noStrike" baseline="0">
                <a:solidFill>
                  <a:srgbClr val="000000"/>
                </a:solidFill>
                <a:latin typeface="Arial"/>
                <a:ea typeface="Arial"/>
                <a:cs typeface="Arial"/>
              </a:defRPr>
            </a:pPr>
            <a:endParaRPr lang="en-US"/>
          </a:p>
        </c:txPr>
        <c:crossAx val="72173056"/>
        <c:crosses val="autoZero"/>
        <c:crossBetween val="between"/>
        <c:majorUnit val="50"/>
      </c:valAx>
    </c:plotArea>
    <c:legend>
      <c:legendPos val="r"/>
      <c:layout>
        <c:manualLayout>
          <c:xMode val="edge"/>
          <c:yMode val="edge"/>
          <c:x val="4.8110127087786884E-2"/>
          <c:y val="2.8571478396132787E-2"/>
          <c:w val="0.93814747821184463"/>
          <c:h val="0.10000017438646493"/>
        </c:manualLayout>
      </c:layout>
      <c:txPr>
        <a:bodyPr/>
        <a:lstStyle/>
        <a:p>
          <a:pPr>
            <a:defRPr sz="845" b="0" i="0" u="none" strike="noStrike" baseline="0">
              <a:solidFill>
                <a:srgbClr val="000000"/>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1499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visscj</dc:creator>
  <cp:lastModifiedBy>visscj</cp:lastModifiedBy>
  <cp:revision>2</cp:revision>
  <cp:lastPrinted>2012-08-15T15:22:00Z</cp:lastPrinted>
  <dcterms:created xsi:type="dcterms:W3CDTF">2012-12-12T12:57:00Z</dcterms:created>
  <dcterms:modified xsi:type="dcterms:W3CDTF">2012-12-12T12:57:00Z</dcterms:modified>
</cp:coreProperties>
</file>